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宋体" w:hAnsi="Calibri" w:cs="宋体"/>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4E1A0D0" w:rsidR="004024BC" w:rsidRDefault="00E16373" w:rsidP="00E16373">
      <w:pPr>
        <w:pStyle w:val="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af5"/>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not for msgA PUSCH, while RRC spec. only says “except msg3”</w:t>
      </w:r>
    </w:p>
    <w:p w14:paraId="4C63572B" w14:textId="32018E49" w:rsidR="00965F7B" w:rsidRPr="00AE2522" w:rsidRDefault="00965F7B" w:rsidP="00965F7B">
      <w:pPr>
        <w:spacing w:after="180"/>
        <w:rPr>
          <w:rFonts w:cs="Arial"/>
          <w:color w:val="000000"/>
        </w:rPr>
      </w:pPr>
    </w:p>
    <w:tbl>
      <w:tblPr>
        <w:tblStyle w:val="af4"/>
        <w:tblW w:w="0" w:type="auto"/>
        <w:tblLook w:val="04A0" w:firstRow="1" w:lastRow="0" w:firstColumn="1" w:lastColumn="0" w:noHBand="0" w:noVBand="1"/>
      </w:tblPr>
      <w:tblGrid>
        <w:gridCol w:w="9533"/>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r w:rsidRPr="002852E7">
              <w:rPr>
                <w:rFonts w:cs="Arial"/>
                <w:color w:val="000000"/>
                <w:sz w:val="20"/>
                <w:szCs w:val="20"/>
              </w:rPr>
              <w:t>configuration {p0-pusch, alpha} sets for PUSCH (</w:t>
            </w:r>
            <w:r w:rsidRPr="00102B18">
              <w:rPr>
                <w:rFonts w:cs="Arial"/>
                <w:color w:val="000000"/>
                <w:sz w:val="20"/>
                <w:szCs w:val="20"/>
                <w:highlight w:val="yellow"/>
              </w:rPr>
              <w:t>except msg3</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af5"/>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af4"/>
        <w:tblW w:w="0" w:type="auto"/>
        <w:tblLook w:val="04A0" w:firstRow="1" w:lastRow="0" w:firstColumn="1" w:lastColumn="0" w:noHBand="0" w:noVBand="1"/>
      </w:tblPr>
      <w:tblGrid>
        <w:gridCol w:w="9533"/>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r w:rsidRPr="002852E7">
              <w:rPr>
                <w:rFonts w:cs="Arial"/>
                <w:color w:val="000000"/>
                <w:sz w:val="20"/>
                <w:szCs w:val="20"/>
              </w:rPr>
              <w:t>configuration {p0-pusch, alpha} sets for PUSCH (except msg3</w:t>
            </w:r>
            <w:r>
              <w:rPr>
                <w:rFonts w:cs="Arial"/>
                <w:color w:val="000000"/>
                <w:sz w:val="20"/>
                <w:szCs w:val="20"/>
              </w:rPr>
              <w:t xml:space="preserve"> </w:t>
            </w:r>
            <w:r w:rsidRPr="00D17F13">
              <w:rPr>
                <w:rFonts w:cs="Arial"/>
                <w:color w:val="FF0000"/>
                <w:sz w:val="20"/>
                <w:szCs w:val="20"/>
              </w:rPr>
              <w:t>and msgA</w:t>
            </w:r>
            <w:r w:rsidRPr="002852E7">
              <w:rPr>
                <w:rFonts w:cs="Arial"/>
                <w:color w:val="000000"/>
                <w:sz w:val="20"/>
                <w:szCs w:val="20"/>
              </w:rPr>
              <w:t>), i.e., {{p0,alpha,index1},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2"/>
      </w:pPr>
      <w:r>
        <w:t>C</w:t>
      </w:r>
      <w:r w:rsidR="000665A0">
        <w:rPr>
          <w:rFonts w:hint="eastAsia"/>
        </w:rPr>
        <w:t>omments</w:t>
      </w:r>
      <w:r w:rsidR="00714149">
        <w:t xml:space="preserve"> to proposal 1</w:t>
      </w:r>
    </w:p>
    <w:tbl>
      <w:tblPr>
        <w:tblStyle w:val="af4"/>
        <w:tblW w:w="4871" w:type="pct"/>
        <w:tblLook w:val="04A0" w:firstRow="1" w:lastRow="0" w:firstColumn="1" w:lastColumn="0" w:noHBand="0" w:noVBand="1"/>
      </w:tblPr>
      <w:tblGrid>
        <w:gridCol w:w="1447"/>
        <w:gridCol w:w="7840"/>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is not aligned with RAN1 spec. either since in RAN1 spec. p0-nominal can be either msg3 PUSCH or msgA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r>
              <w:rPr>
                <w:rFonts w:cs="Arial"/>
                <w:color w:val="000000"/>
                <w:sz w:val="20"/>
                <w:szCs w:val="20"/>
              </w:rPr>
              <w:t>So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msgA-alpha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though this is now associated to proposal 2 discussions which does not have to in our understanding since p0-nominal can already be either msg3 p0-nominal or msgA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b/>
                <w:bCs/>
                <w:i/>
                <w:iCs/>
                <w:color w:val="000000"/>
                <w:sz w:val="20"/>
                <w:szCs w:val="20"/>
                <w:lang w:eastAsia="zh-CN"/>
              </w:rPr>
            </w:pPr>
            <w:r>
              <w:rPr>
                <w:lang w:eastAsia="zh-CN"/>
              </w:rPr>
              <w:t>W</w:t>
            </w:r>
            <w:r>
              <w:rPr>
                <w:rFonts w:hint="eastAsia"/>
                <w:lang w:eastAsia="zh-CN"/>
              </w:rPr>
              <w:t xml:space="preserve">e 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r w:rsidRPr="00A87F8B">
              <w:rPr>
                <w:rFonts w:cs="Arial"/>
                <w:color w:val="000000"/>
                <w:szCs w:val="20"/>
              </w:rPr>
              <w:t>msgA PUSCH</w:t>
            </w:r>
            <w:r>
              <w:rPr>
                <w:rFonts w:cs="Arial" w:hint="eastAsia"/>
                <w:color w:val="000000"/>
                <w:szCs w:val="20"/>
                <w:lang w:eastAsia="zh-CN"/>
              </w:rPr>
              <w:t>.</w:t>
            </w:r>
          </w:p>
        </w:tc>
      </w:tr>
      <w:tr w:rsidR="00963407" w14:paraId="26164284" w14:textId="7D66E11D" w:rsidTr="00EE54CD">
        <w:tc>
          <w:tcPr>
            <w:tcW w:w="779" w:type="pct"/>
          </w:tcPr>
          <w:p w14:paraId="561CD1DE" w14:textId="7D236475" w:rsidR="00963407" w:rsidRDefault="000764BE" w:rsidP="00D97209">
            <w:pPr>
              <w:rPr>
                <w:lang w:eastAsia="zh-CN"/>
              </w:rPr>
            </w:pPr>
            <w:r>
              <w:rPr>
                <w:lang w:eastAsia="zh-CN"/>
              </w:rPr>
              <w:t>Samsung</w:t>
            </w:r>
            <w:r>
              <w:rPr>
                <w:rFonts w:hint="eastAsia"/>
                <w:lang w:eastAsia="zh-CN"/>
              </w:rPr>
              <w:t xml:space="preserve"> </w:t>
            </w:r>
          </w:p>
        </w:tc>
        <w:tc>
          <w:tcPr>
            <w:tcW w:w="4221" w:type="pct"/>
          </w:tcPr>
          <w:p w14:paraId="57EE7182" w14:textId="77777777" w:rsidR="00963407" w:rsidRDefault="000764BE" w:rsidP="00D97209">
            <w:pPr>
              <w:rPr>
                <w:lang w:eastAsia="zh-CN"/>
              </w:rPr>
            </w:pPr>
            <w:r>
              <w:rPr>
                <w:lang w:eastAsia="zh-CN"/>
              </w:rPr>
              <w:t>W</w:t>
            </w:r>
            <w:r>
              <w:rPr>
                <w:rFonts w:hint="eastAsia"/>
                <w:lang w:eastAsia="zh-CN"/>
              </w:rPr>
              <w:t>e are fine with FL proposal.</w:t>
            </w:r>
          </w:p>
          <w:p w14:paraId="6ED70A7F" w14:textId="62124050" w:rsidR="000764BE" w:rsidRDefault="000764BE" w:rsidP="00D97209">
            <w:pPr>
              <w:rPr>
                <w:lang w:eastAsia="zh-CN"/>
              </w:rPr>
            </w:pPr>
            <w:r>
              <w:rPr>
                <w:lang w:eastAsia="zh-CN"/>
              </w:rPr>
              <w:t>R</w:t>
            </w:r>
            <w:r>
              <w:rPr>
                <w:rFonts w:hint="eastAsia"/>
                <w:lang w:eastAsia="zh-CN"/>
              </w:rPr>
              <w:t xml:space="preserve">egarding E/// comments, we may have </w:t>
            </w:r>
            <w:r>
              <w:rPr>
                <w:lang w:eastAsia="zh-CN"/>
              </w:rPr>
              <w:t>different</w:t>
            </w:r>
            <w:r>
              <w:rPr>
                <w:rFonts w:hint="eastAsia"/>
                <w:lang w:eastAsia="zh-CN"/>
              </w:rPr>
              <w:t xml:space="preserve"> understanding. </w:t>
            </w:r>
            <w:r>
              <w:rPr>
                <w:lang w:eastAsia="zh-CN"/>
              </w:rPr>
              <w:t>I</w:t>
            </w:r>
            <w:r>
              <w:rPr>
                <w:rFonts w:hint="eastAsia"/>
                <w:lang w:eastAsia="zh-CN"/>
              </w:rPr>
              <w:t xml:space="preserve">n 213, it defines Po_nonimal for both msg3 and msgA; but 213 did not specify when the set is not configured, which one to use. This issue is solved by 331, then in this case, msg3 based Po_nominal and msg3 based alpha value will be used. </w:t>
            </w:r>
            <w:r>
              <w:rPr>
                <w:lang w:eastAsia="zh-CN"/>
              </w:rPr>
              <w:t>I</w:t>
            </w:r>
            <w:r>
              <w:rPr>
                <w:rFonts w:hint="eastAsia"/>
                <w:lang w:eastAsia="zh-CN"/>
              </w:rPr>
              <w:t xml:space="preserve">t completes each other rather than </w:t>
            </w:r>
            <w:r>
              <w:rPr>
                <w:lang w:eastAsia="zh-CN"/>
              </w:rPr>
              <w:t>conflicts</w:t>
            </w:r>
            <w:r>
              <w:rPr>
                <w:rFonts w:hint="eastAsia"/>
                <w:lang w:eastAsia="zh-CN"/>
              </w:rPr>
              <w:t>.</w:t>
            </w:r>
          </w:p>
        </w:tc>
      </w:tr>
      <w:tr w:rsidR="00EE54CD" w14:paraId="4BEB6812" w14:textId="77777777" w:rsidTr="00EE54CD">
        <w:tc>
          <w:tcPr>
            <w:tcW w:w="779" w:type="pct"/>
          </w:tcPr>
          <w:p w14:paraId="41D6E722" w14:textId="4C1CB24A" w:rsidR="00EE54CD" w:rsidRDefault="00F358EF" w:rsidP="00D97209">
            <w:r>
              <w:t>Huawei</w:t>
            </w:r>
          </w:p>
        </w:tc>
        <w:tc>
          <w:tcPr>
            <w:tcW w:w="4221" w:type="pct"/>
          </w:tcPr>
          <w:p w14:paraId="6C6DD0AD" w14:textId="763D2D17" w:rsidR="00EE54CD" w:rsidRDefault="00F358EF" w:rsidP="00D97209">
            <w:r>
              <w:t>Agree with FL and SS comments.</w:t>
            </w:r>
          </w:p>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Therefore there could be some problem on the determination of P0-nominal, alpha, and waveform for the PUSCH.</w:t>
      </w:r>
    </w:p>
    <w:tbl>
      <w:tblPr>
        <w:tblStyle w:val="af4"/>
        <w:tblW w:w="0" w:type="auto"/>
        <w:tblLook w:val="04A0" w:firstRow="1" w:lastRow="0" w:firstColumn="1" w:lastColumn="0" w:noHBand="0" w:noVBand="1"/>
      </w:tblPr>
      <w:tblGrid>
        <w:gridCol w:w="9533"/>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 xml:space="preserve">configuration {p0-pusch, alpha} sets for PUSCH (except msg3), i.e., {{p0,alpha,index1},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af4"/>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r w:rsidRPr="00A62185">
              <w:rPr>
                <w:b/>
                <w:i/>
                <w:sz w:val="20"/>
                <w:lang w:eastAsia="sv-SE"/>
              </w:rPr>
              <w:t>transformPrecoder</w:t>
            </w:r>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af5"/>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af5"/>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2"/>
      </w:pPr>
      <w:r>
        <w:t>C</w:t>
      </w:r>
      <w:r w:rsidR="0076005C">
        <w:rPr>
          <w:rFonts w:hint="eastAsia"/>
        </w:rPr>
        <w:t>omments</w:t>
      </w:r>
      <w:r w:rsidR="00102B18">
        <w:t xml:space="preserve"> to proposal 2</w:t>
      </w:r>
    </w:p>
    <w:tbl>
      <w:tblPr>
        <w:tblStyle w:val="af4"/>
        <w:tblW w:w="4947" w:type="pct"/>
        <w:tblLook w:val="04A0" w:firstRow="1" w:lastRow="0" w:firstColumn="1" w:lastColumn="0" w:noHBand="0" w:noVBand="1"/>
      </w:tblPr>
      <w:tblGrid>
        <w:gridCol w:w="1447"/>
        <w:gridCol w:w="798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r w:rsidR="00AF1135">
              <w:t>in order</w:t>
            </w:r>
            <w:r w:rsidR="00E40C75">
              <w:t xml:space="preserve"> </w:t>
            </w:r>
            <w:r w:rsidR="00462D29">
              <w:t>to</w:t>
            </w:r>
            <w:r w:rsidR="00E40C75">
              <w:t xml:space="preserve"> </w:t>
            </w:r>
            <w:r>
              <w:t xml:space="preserve">add </w:t>
            </w:r>
            <w:r w:rsidR="00E40C75">
              <w:t xml:space="preserve">new conditions for the </w:t>
            </w:r>
            <w:r w:rsidR="00E40C75" w:rsidRPr="00806CE3">
              <w:rPr>
                <w:i/>
                <w:iCs/>
              </w:rPr>
              <w:t>RACH-ConfigCommon</w:t>
            </w:r>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as long as the spec. is clear</w:t>
            </w:r>
            <w:r>
              <w:t>.</w:t>
            </w:r>
          </w:p>
        </w:tc>
      </w:tr>
      <w:tr w:rsidR="00224E26" w14:paraId="390801AC" w14:textId="77777777" w:rsidTr="00EA0C3D">
        <w:tc>
          <w:tcPr>
            <w:tcW w:w="767" w:type="pct"/>
          </w:tcPr>
          <w:p w14:paraId="56E09AB0" w14:textId="3FBA3D73" w:rsidR="00224E26" w:rsidRDefault="00224E26" w:rsidP="00BD3558">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tr w:rsidR="0076005C" w14:paraId="27005312" w14:textId="77777777" w:rsidTr="00EA0C3D">
        <w:tc>
          <w:tcPr>
            <w:tcW w:w="767" w:type="pct"/>
          </w:tcPr>
          <w:p w14:paraId="0334FA08" w14:textId="3AAEDEC2" w:rsidR="0076005C" w:rsidRDefault="000764BE" w:rsidP="00BD3558">
            <w:pPr>
              <w:rPr>
                <w:lang w:eastAsia="zh-CN"/>
              </w:rPr>
            </w:pPr>
            <w:r>
              <w:rPr>
                <w:lang w:eastAsia="zh-CN"/>
              </w:rPr>
              <w:t>Samsung</w:t>
            </w:r>
            <w:r>
              <w:rPr>
                <w:rFonts w:hint="eastAsia"/>
                <w:lang w:eastAsia="zh-CN"/>
              </w:rPr>
              <w:t xml:space="preserve"> </w:t>
            </w:r>
          </w:p>
        </w:tc>
        <w:tc>
          <w:tcPr>
            <w:tcW w:w="4233" w:type="pct"/>
          </w:tcPr>
          <w:p w14:paraId="20DA7B67" w14:textId="77777777" w:rsidR="0076005C" w:rsidRDefault="000764BE" w:rsidP="00BD3558">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alt.1 is a possible understanding.</w:t>
            </w:r>
          </w:p>
          <w:p w14:paraId="7735505F" w14:textId="5D220D11" w:rsidR="000764BE" w:rsidRDefault="000764BE" w:rsidP="000764BE">
            <w:pPr>
              <w:rPr>
                <w:lang w:eastAsia="zh-CN"/>
              </w:rPr>
            </w:pPr>
            <w:r>
              <w:rPr>
                <w:lang w:eastAsia="zh-CN"/>
              </w:rPr>
              <w:t>O</w:t>
            </w:r>
            <w:r>
              <w:rPr>
                <w:rFonts w:hint="eastAsia"/>
                <w:lang w:eastAsia="zh-CN"/>
              </w:rPr>
              <w:t xml:space="preserve">n top of NBC issue </w:t>
            </w:r>
            <w:r>
              <w:rPr>
                <w:lang w:eastAsia="zh-CN"/>
              </w:rPr>
              <w:t>raised</w:t>
            </w:r>
            <w:r>
              <w:rPr>
                <w:rFonts w:hint="eastAsia"/>
                <w:lang w:eastAsia="zh-CN"/>
              </w:rPr>
              <w:t xml:space="preserve"> by CATT, even for 2step RACH, there will be </w:t>
            </w:r>
            <w:r>
              <w:rPr>
                <w:lang w:eastAsia="zh-CN"/>
              </w:rPr>
              <w:t>switching</w:t>
            </w:r>
            <w:r>
              <w:rPr>
                <w:rFonts w:hint="eastAsia"/>
                <w:lang w:eastAsia="zh-CN"/>
              </w:rPr>
              <w:t xml:space="preserve"> back to 4step RACH, how is that possible if RAN2 is intentionally or aware this configuration </w:t>
            </w:r>
            <w:r>
              <w:rPr>
                <w:rFonts w:hint="eastAsia"/>
                <w:lang w:eastAsia="zh-CN"/>
              </w:rPr>
              <w:lastRenderedPageBreak/>
              <w:t>of only 2step RACH is realistic.</w:t>
            </w:r>
            <w:r w:rsidR="00577593">
              <w:rPr>
                <w:rFonts w:hint="eastAsia"/>
                <w:lang w:eastAsia="zh-CN"/>
              </w:rPr>
              <w:t xml:space="preserve"> </w:t>
            </w:r>
            <w:r w:rsidR="00577593">
              <w:rPr>
                <w:lang w:eastAsia="zh-CN"/>
              </w:rPr>
              <w:t>W</w:t>
            </w:r>
            <w:r w:rsidR="00577593">
              <w:rPr>
                <w:rFonts w:hint="eastAsia"/>
                <w:lang w:eastAsia="zh-CN"/>
              </w:rPr>
              <w:t xml:space="preserve">e think even it is allowed by </w:t>
            </w:r>
            <w:r w:rsidR="00577593">
              <w:rPr>
                <w:lang w:eastAsia="zh-CN"/>
              </w:rPr>
              <w:t>signaling</w:t>
            </w:r>
            <w:r w:rsidR="00577593">
              <w:rPr>
                <w:rFonts w:hint="eastAsia"/>
                <w:lang w:eastAsia="zh-CN"/>
              </w:rPr>
              <w:t xml:space="preserve"> (still subjective to RAN2), it is a mis-configuration by gNB. </w:t>
            </w:r>
          </w:p>
          <w:p w14:paraId="2268BBFB" w14:textId="704A146A" w:rsidR="000764BE" w:rsidRDefault="000764BE" w:rsidP="000764BE">
            <w:pPr>
              <w:rPr>
                <w:lang w:eastAsia="zh-CN"/>
              </w:rPr>
            </w:pPr>
            <w:r>
              <w:rPr>
                <w:lang w:eastAsia="zh-CN"/>
              </w:rPr>
              <w:t>S</w:t>
            </w:r>
            <w:r>
              <w:rPr>
                <w:rFonts w:hint="eastAsia"/>
                <w:lang w:eastAsia="zh-CN"/>
              </w:rPr>
              <w:t xml:space="preserve">o we think alt.2 should </w:t>
            </w:r>
            <w:r w:rsidR="00577593">
              <w:rPr>
                <w:rFonts w:hint="eastAsia"/>
                <w:lang w:eastAsia="zh-CN"/>
              </w:rPr>
              <w:t xml:space="preserve">be the </w:t>
            </w:r>
            <w:r w:rsidR="00577593">
              <w:rPr>
                <w:lang w:eastAsia="zh-CN"/>
              </w:rPr>
              <w:t>understand</w:t>
            </w:r>
            <w:r w:rsidR="00577593">
              <w:rPr>
                <w:rFonts w:hint="eastAsia"/>
                <w:lang w:eastAsia="zh-CN"/>
              </w:rPr>
              <w:t>ing</w:t>
            </w:r>
            <w:r>
              <w:rPr>
                <w:rFonts w:hint="eastAsia"/>
                <w:lang w:eastAsia="zh-CN"/>
              </w:rPr>
              <w:t>.</w:t>
            </w:r>
          </w:p>
        </w:tc>
      </w:tr>
      <w:tr w:rsidR="00F358EF" w14:paraId="2E50E23D" w14:textId="77777777" w:rsidTr="00EA0C3D">
        <w:tc>
          <w:tcPr>
            <w:tcW w:w="767" w:type="pct"/>
          </w:tcPr>
          <w:p w14:paraId="11A152FF" w14:textId="7CB7B6EE" w:rsidR="00F358EF" w:rsidRDefault="00F358EF" w:rsidP="00BD3558">
            <w:pPr>
              <w:rPr>
                <w:lang w:eastAsia="zh-CN"/>
              </w:rPr>
            </w:pPr>
            <w:r>
              <w:rPr>
                <w:lang w:eastAsia="zh-CN"/>
              </w:rPr>
              <w:lastRenderedPageBreak/>
              <w:t>Huawei</w:t>
            </w:r>
          </w:p>
        </w:tc>
        <w:tc>
          <w:tcPr>
            <w:tcW w:w="4233" w:type="pct"/>
          </w:tcPr>
          <w:p w14:paraId="2B753D1A" w14:textId="77777777" w:rsidR="00F358EF" w:rsidRDefault="00F358EF" w:rsidP="00F358EF">
            <w:pPr>
              <w:rPr>
                <w:lang w:eastAsia="zh-CN"/>
              </w:rPr>
            </w:pPr>
            <w:r>
              <w:rPr>
                <w:lang w:eastAsia="zh-CN"/>
              </w:rPr>
              <w:t xml:space="preserve">We don’t think this needs any conclusion and does not expect any spec impact. </w:t>
            </w:r>
          </w:p>
          <w:p w14:paraId="74F9CD96" w14:textId="19947C87" w:rsidR="00F358EF" w:rsidRDefault="00F358EF" w:rsidP="00F358EF">
            <w:pPr>
              <w:rPr>
                <w:lang w:eastAsia="zh-CN"/>
              </w:rPr>
            </w:pPr>
            <w:r>
              <w:rPr>
                <w:lang w:eastAsia="zh-CN"/>
              </w:rPr>
              <w:t xml:space="preserve">This issue can also be decoupled from the issue raised for 2step RACH - </w:t>
            </w:r>
            <w:bookmarkStart w:id="3" w:name="_GoBack"/>
            <w:bookmarkEnd w:id="3"/>
            <w:r>
              <w:rPr>
                <w:lang w:eastAsia="zh-CN"/>
              </w:rPr>
              <w:t>without any change does the system has problem to operate 2step RACH especially for typical gNB configurations.</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1"/>
      </w:pPr>
      <w:r>
        <w:t>Summary</w:t>
      </w:r>
    </w:p>
    <w:p w14:paraId="0D9D7037" w14:textId="0E5C2047" w:rsidR="00F17397" w:rsidRDefault="00F17397" w:rsidP="00F17397">
      <w:r w:rsidRPr="003B2D51">
        <w:rPr>
          <w:highlight w:val="yellow"/>
        </w:rPr>
        <w:t xml:space="preserve">The </w:t>
      </w:r>
      <w:r w:rsidR="00DA1CA3">
        <w:rPr>
          <w:highlight w:val="yellow"/>
        </w:rPr>
        <w:t>draft LS</w:t>
      </w:r>
      <w:r w:rsidRPr="003B2D51">
        <w:rPr>
          <w:highlight w:val="yellow"/>
        </w:rPr>
        <w:t xml:space="preserve">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1"/>
      </w:pPr>
      <w:r>
        <w:rPr>
          <w:rFonts w:hint="eastAsia"/>
        </w:rPr>
        <w:t>References</w:t>
      </w:r>
    </w:p>
    <w:p w14:paraId="08F0A2D2" w14:textId="4A7836D7" w:rsidR="004635B2" w:rsidRDefault="00E120F8" w:rsidP="004635B2">
      <w:pPr>
        <w:pStyle w:val="ListParagraph1"/>
        <w:numPr>
          <w:ilvl w:val="0"/>
          <w:numId w:val="12"/>
        </w:numPr>
        <w:overflowPunct/>
        <w:snapToGrid w:val="0"/>
        <w:spacing w:before="0" w:beforeAutospacing="0" w:after="120"/>
        <w:jc w:val="both"/>
        <w:textAlignment w:val="auto"/>
      </w:pPr>
      <w:hyperlink r:id="rId10" w:history="1">
        <w:r w:rsidR="00E40C75">
          <w:rPr>
            <w:rStyle w:val="af2"/>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C661E" w14:textId="77777777" w:rsidR="00E120F8" w:rsidRDefault="00E120F8" w:rsidP="000878A1">
      <w:pPr>
        <w:spacing w:after="0"/>
      </w:pPr>
      <w:r>
        <w:separator/>
      </w:r>
    </w:p>
  </w:endnote>
  <w:endnote w:type="continuationSeparator" w:id="0">
    <w:p w14:paraId="56E3A549" w14:textId="77777777" w:rsidR="00E120F8" w:rsidRDefault="00E120F8"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560EB" w14:textId="77777777" w:rsidR="00E120F8" w:rsidRDefault="00E120F8" w:rsidP="000878A1">
      <w:pPr>
        <w:spacing w:after="0"/>
      </w:pPr>
      <w:r>
        <w:separator/>
      </w:r>
    </w:p>
  </w:footnote>
  <w:footnote w:type="continuationSeparator" w:id="0">
    <w:p w14:paraId="1EC5C4EC" w14:textId="77777777" w:rsidR="00E120F8" w:rsidRDefault="00E120F8"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4BE"/>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593"/>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764"/>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0F8"/>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8EF"/>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0735867C-8885-44F0-9420-E33BEB7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宋体"/>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Malgun Gothic"/>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题注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页脚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
    <w:qFormat/>
    <w:rPr>
      <w:rFonts w:ascii="Calibri Light" w:hAnsi="Calibri Light" w:cs="Times New Roman"/>
      <w:b/>
      <w:bCs/>
      <w:kern w:val="2"/>
      <w:sz w:val="32"/>
      <w:szCs w:val="32"/>
      <w:lang w:val="en-GB" w:eastAsia="en-US" w:bidi="ar-SA"/>
    </w:rPr>
  </w:style>
  <w:style w:type="character" w:customStyle="1" w:styleId="Char2">
    <w:name w:val="批注文字 Char"/>
    <w:link w:val="a6"/>
    <w:qFormat/>
    <w:rPr>
      <w:kern w:val="2"/>
      <w:sz w:val="22"/>
      <w:szCs w:val="22"/>
      <w:lang w:val="en-GB" w:eastAsia="en-US" w:bidi="ar-SA"/>
    </w:rPr>
  </w:style>
  <w:style w:type="character" w:customStyle="1" w:styleId="Char3">
    <w:name w:val="批注主题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文档结构图 Char"/>
    <w:link w:val="a8"/>
    <w:qFormat/>
    <w:rPr>
      <w:rFonts w:ascii="宋体"/>
      <w:kern w:val="2"/>
      <w:sz w:val="18"/>
      <w:szCs w:val="18"/>
      <w:lang w:val="en-GB" w:eastAsia="en-US" w:bidi="ar-SA"/>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6">
    <w:name w:val="脚注文本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标题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标题 5 Char"/>
    <w:link w:val="5"/>
    <w:rsid w:val="007200FC"/>
    <w:rPr>
      <w:rFonts w:eastAsiaTheme="minorEastAsia"/>
      <w:b/>
      <w:bCs/>
      <w:i/>
      <w:iCs/>
      <w:sz w:val="22"/>
      <w:szCs w:val="26"/>
      <w:lang w:eastAsia="en-US"/>
    </w:rPr>
  </w:style>
  <w:style w:type="character" w:customStyle="1" w:styleId="Char">
    <w:name w:val="批注框文本 Char"/>
    <w:link w:val="a3"/>
    <w:uiPriority w:val="99"/>
    <w:semiHidden/>
    <w:rsid w:val="007200FC"/>
    <w:rPr>
      <w:rFonts w:ascii="Tahoma" w:eastAsiaTheme="minorEastAsia" w:hAnsi="Tahoma" w:cs="Tahoma"/>
      <w:sz w:val="16"/>
      <w:szCs w:val="16"/>
      <w:lang w:eastAsia="en-US"/>
    </w:rPr>
  </w:style>
  <w:style w:type="character" w:customStyle="1" w:styleId="8Char">
    <w:name w:val="标题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a"/>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4">
    <w:name w:val="正文2"/>
    <w:rsid w:val="00DC280B"/>
    <w:pPr>
      <w:spacing w:before="100" w:beforeAutospacing="1" w:after="180"/>
    </w:pPr>
    <w:rPr>
      <w:rFonts w:eastAsia="等线"/>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正文3"/>
    <w:rsid w:val="00BB54D8"/>
    <w:rPr>
      <w:rFonts w:ascii="Times" w:hAnsi="Times" w:cs="Times"/>
      <w:sz w:val="24"/>
      <w:szCs w:val="24"/>
    </w:rPr>
  </w:style>
  <w:style w:type="paragraph" w:customStyle="1" w:styleId="06subTitle">
    <w:name w:val="06_subTitle"/>
    <w:basedOn w:val="a"/>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7317BC"/>
    <w:rPr>
      <w:rFonts w:eastAsia="Times New Roman"/>
      <w:b/>
      <w:bCs/>
      <w:iCs/>
      <w:kern w:val="2"/>
      <w:u w:val="single"/>
      <w:lang w:val="en-GB" w:eastAsia="en-US"/>
    </w:rPr>
  </w:style>
  <w:style w:type="character" w:styleId="afc">
    <w:name w:val="Strong"/>
    <w:basedOn w:val="a0"/>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40"/>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50"/>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40">
    <w:name w:val="List 4"/>
    <w:basedOn w:val="a"/>
    <w:rsid w:val="007E316D"/>
    <w:pPr>
      <w:ind w:leftChars="600" w:left="100" w:hangingChars="200" w:hanging="200"/>
      <w:contextualSpacing/>
    </w:pPr>
  </w:style>
  <w:style w:type="paragraph" w:styleId="50">
    <w:name w:val="List 5"/>
    <w:basedOn w:val="a"/>
    <w:rsid w:val="007E316D"/>
    <w:pPr>
      <w:ind w:leftChars="800" w:left="100" w:hangingChars="200" w:hanging="200"/>
      <w:contextualSpacing/>
    </w:pPr>
  </w:style>
  <w:style w:type="character" w:customStyle="1" w:styleId="UnresolvedMention">
    <w:name w:val="Unresolved Mention"/>
    <w:basedOn w:val="a0"/>
    <w:uiPriority w:val="99"/>
    <w:semiHidden/>
    <w:unhideWhenUsed/>
    <w:rsid w:val="00E40C75"/>
    <w:rPr>
      <w:color w:val="605E5C"/>
      <w:shd w:val="clear" w:color="auto" w:fill="E1DFDD"/>
    </w:rPr>
  </w:style>
  <w:style w:type="character" w:styleId="afd">
    <w:name w:val="FollowedHyperlink"/>
    <w:basedOn w:val="a0"/>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3gpp.org/ftp/tsg_ran/WG1_RL1//TSGR1_105-e/Docs/R1-2105507.zip" TargetMode="Externa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26085-8F52-4FAA-964C-287ECF5A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Huawei</cp:lastModifiedBy>
  <cp:revision>2</cp:revision>
  <cp:lastPrinted>2007-06-18T05:08:00Z</cp:lastPrinted>
  <dcterms:created xsi:type="dcterms:W3CDTF">2021-05-19T09:35:00Z</dcterms:created>
  <dcterms:modified xsi:type="dcterms:W3CDTF">2021-05-19T09:35:00Z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C:\Users\q1005.xiong\AppData\Local\Packages\Microsoft.MicrosoftEdge_8wekyb3d8bbwe\TempState\Downloads\R1-210xxxx Email discussion of [105-e-NR-2step-RACH-01]_v002_Ericsson-CATT (1).docx</vt:lpwstr>
  </property>
</Properties>
</file>