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E2" w:rsidRDefault="00866B21">
      <w:pPr>
        <w:pStyle w:val="af1"/>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rsidR="00102BE2" w:rsidRDefault="00866B21">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rsidR="00102BE2" w:rsidRDefault="00866B21">
      <w:pPr>
        <w:pStyle w:val="af1"/>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rsidR="00102BE2" w:rsidRDefault="00866B21">
      <w:pPr>
        <w:pStyle w:val="af1"/>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rsidR="00102BE2" w:rsidRDefault="00866B21">
      <w:pPr>
        <w:pStyle w:val="af1"/>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rsidR="00102BE2" w:rsidRDefault="00866B21">
      <w:pPr>
        <w:pStyle w:val="af1"/>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cs="Arial" w:hint="eastAsia"/>
          <w:bCs/>
          <w:sz w:val="24"/>
          <w:szCs w:val="24"/>
          <w:lang w:val="en-US" w:eastAsia="zh-TW"/>
        </w:rPr>
        <w:t xml:space="preserve"> </w:t>
      </w:r>
      <w:r>
        <w:rPr>
          <w:rFonts w:eastAsia="ＭＳ 明朝" w:cs="Arial"/>
          <w:bCs/>
          <w:sz w:val="24"/>
          <w:szCs w:val="24"/>
          <w:lang w:val="en-US"/>
        </w:rPr>
        <w:t>Discussion and Decision</w:t>
      </w:r>
    </w:p>
    <w:p w:rsidR="00102BE2" w:rsidRDefault="00866B21">
      <w:pPr>
        <w:pStyle w:val="1"/>
      </w:pPr>
      <w:bookmarkStart w:id="2" w:name="_Ref40394462"/>
      <w:bookmarkEnd w:id="0"/>
      <w:bookmarkEnd w:id="1"/>
      <w:r>
        <w:rPr>
          <w:rFonts w:hint="eastAsia"/>
        </w:rPr>
        <w:t>Introduction</w:t>
      </w:r>
      <w:bookmarkEnd w:id="2"/>
    </w:p>
    <w:p w:rsidR="00102BE2" w:rsidRDefault="00866B21">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spacing w:after="0"/>
              <w:ind w:left="1440" w:hanging="1440"/>
              <w:rPr>
                <w:b/>
                <w:lang w:eastAsia="zh-CN"/>
              </w:rPr>
            </w:pPr>
            <w:r>
              <w:rPr>
                <w:b/>
                <w:lang w:eastAsia="zh-CN"/>
              </w:rPr>
              <w:t>Issue#17</w:t>
            </w:r>
          </w:p>
          <w:p w:rsidR="00102BE2" w:rsidRDefault="00CB35A1">
            <w:pPr>
              <w:spacing w:after="0"/>
              <w:rPr>
                <w:lang w:eastAsia="zh-CN"/>
              </w:rPr>
            </w:pPr>
            <w:hyperlink r:id="rId14" w:history="1">
              <w:r w:rsidR="00866B21">
                <w:rPr>
                  <w:rStyle w:val="afa"/>
                </w:rPr>
                <w:t>R1-2105741</w:t>
              </w:r>
            </w:hyperlink>
            <w:r w:rsidR="00866B21">
              <w:rPr>
                <w:lang w:eastAsia="zh-CN"/>
              </w:rPr>
              <w:tab/>
              <w:t>Clarification on back-to-back PUSCHs scheduling restriction in Rel-15</w:t>
            </w:r>
            <w:r w:rsidR="00866B21">
              <w:rPr>
                <w:lang w:eastAsia="zh-CN"/>
              </w:rPr>
              <w:tab/>
              <w:t>MediaTek Inc.</w:t>
            </w:r>
          </w:p>
          <w:p w:rsidR="00102BE2" w:rsidRDefault="00866B21">
            <w:pPr>
              <w:spacing w:before="120" w:after="120"/>
              <w:jc w:val="both"/>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rsidR="00102BE2" w:rsidRDefault="00866B21">
      <w:pPr>
        <w:spacing w:before="120" w:after="120"/>
        <w:jc w:val="both"/>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rsidR="00102BE2" w:rsidRDefault="00866B21">
      <w:pPr>
        <w:spacing w:before="120" w:after="120"/>
        <w:jc w:val="both"/>
        <w:textAlignment w:val="center"/>
        <w:rPr>
          <w:rFonts w:eastAsia="SimSun"/>
          <w:lang w:val="en-US" w:eastAsia="zh-CN"/>
        </w:rPr>
      </w:pPr>
      <w:r>
        <w:rPr>
          <w:rFonts w:eastAsia="SimSun"/>
          <w:lang w:val="en-US" w:eastAsia="zh-CN"/>
        </w:rPr>
        <w:t xml:space="preserve">Please provide your comments in Section#4 by </w:t>
      </w:r>
      <w:r>
        <w:rPr>
          <w:rFonts w:eastAsia="SimSun"/>
          <w:b/>
          <w:color w:val="FF0000"/>
          <w:highlight w:val="yellow"/>
          <w:lang w:val="en-US" w:eastAsia="zh-CN"/>
        </w:rPr>
        <w:t>20</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23:59 UTC</w:t>
      </w:r>
      <w:r>
        <w:rPr>
          <w:rFonts w:eastAsia="SimSun"/>
          <w:b/>
          <w:color w:val="FF0000"/>
          <w:lang w:val="en-US" w:eastAsia="zh-CN"/>
        </w:rPr>
        <w:t xml:space="preserve"> </w:t>
      </w:r>
      <w:r>
        <w:rPr>
          <w:rFonts w:eastAsia="SimSun"/>
          <w:lang w:val="en-US" w:eastAsia="zh-CN"/>
        </w:rPr>
        <w:t>(</w:t>
      </w:r>
      <w:r>
        <w:rPr>
          <w:rFonts w:eastAsia="Microsoft YaHei"/>
        </w:rPr>
        <w:t>1</w:t>
      </w:r>
      <w:r>
        <w:rPr>
          <w:rFonts w:eastAsia="Microsoft YaHei"/>
          <w:vertAlign w:val="superscript"/>
        </w:rPr>
        <w:t>st</w:t>
      </w:r>
      <w:r>
        <w:rPr>
          <w:rFonts w:eastAsia="Microsoft YaHei"/>
        </w:rPr>
        <w:t xml:space="preserve"> check point).</w:t>
      </w:r>
    </w:p>
    <w:p w:rsidR="00102BE2" w:rsidRDefault="00866B21">
      <w:pPr>
        <w:pStyle w:val="1"/>
      </w:pPr>
      <w:r>
        <w:t>Background</w:t>
      </w:r>
    </w:p>
    <w:p w:rsidR="00102BE2" w:rsidRDefault="00866B21">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af8"/>
        <w:tblW w:w="0" w:type="auto"/>
        <w:tblLook w:val="04A0" w:firstRow="1" w:lastRow="0" w:firstColumn="1" w:lastColumn="0" w:noHBand="0" w:noVBand="1"/>
      </w:tblPr>
      <w:tblGrid>
        <w:gridCol w:w="9628"/>
      </w:tblGrid>
      <w:tr w:rsidR="00102BE2">
        <w:tc>
          <w:tcPr>
            <w:tcW w:w="9628" w:type="dxa"/>
          </w:tcPr>
          <w:p w:rsidR="00102BE2" w:rsidRDefault="00866B21">
            <w:pPr>
              <w:spacing w:after="0"/>
              <w:ind w:right="-96"/>
              <w:jc w:val="both"/>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rsidR="00102BE2" w:rsidRDefault="00102BE2">
      <w:pPr>
        <w:pStyle w:val="ab"/>
        <w:jc w:val="both"/>
        <w:rPr>
          <w:rFonts w:eastAsia="SimSun"/>
          <w:lang w:eastAsia="zh-CN"/>
        </w:rPr>
      </w:pPr>
    </w:p>
    <w:p w:rsidR="00102BE2" w:rsidRDefault="00866B21">
      <w:pPr>
        <w:pStyle w:val="ab"/>
        <w:jc w:val="both"/>
        <w:rPr>
          <w:rFonts w:eastAsia="SimSun"/>
          <w:lang w:eastAsia="zh-CN"/>
        </w:rPr>
      </w:pPr>
      <w:r>
        <w:rPr>
          <w:rFonts w:eastAsia="SimSun"/>
          <w:lang w:eastAsia="zh-CN"/>
        </w:rPr>
        <w:t>The TP relevant to the above restriction was agreed in RAN1#94bis:</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rsidR="00102BE2" w:rsidRDefault="00866B21">
            <w:pPr>
              <w:pStyle w:val="agreement"/>
              <w:jc w:val="both"/>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rsidR="00102BE2" w:rsidRDefault="00866B21">
      <w:pPr>
        <w:pStyle w:val="ab"/>
        <w:spacing w:before="180"/>
        <w:jc w:val="both"/>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rsidR="00102BE2" w:rsidRDefault="00866B21">
            <w:pPr>
              <w:spacing w:after="0"/>
              <w:jc w:val="both"/>
              <w:rPr>
                <w:rFonts w:asciiTheme="minorHAnsi" w:hAnsiTheme="minorHAnsi"/>
                <w:b/>
                <w:u w:val="single"/>
              </w:rPr>
            </w:pPr>
            <w:r>
              <w:rPr>
                <w:rFonts w:asciiTheme="minorHAnsi" w:hAnsiTheme="minorHAnsi"/>
                <w:b/>
                <w:u w:val="single"/>
              </w:rPr>
              <w:t>Proposal (from [Intel]):</w:t>
            </w:r>
          </w:p>
          <w:p w:rsidR="00102BE2" w:rsidRDefault="00866B21">
            <w:pPr>
              <w:pStyle w:val="ab"/>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rsidR="00102BE2" w:rsidRDefault="00866B21">
            <w:pPr>
              <w:pStyle w:val="ab"/>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rsidR="00102BE2" w:rsidRDefault="00866B21">
            <w:pPr>
              <w:spacing w:after="120"/>
              <w:jc w:val="both"/>
              <w:rPr>
                <w:rFonts w:asciiTheme="minorHAnsi" w:hAnsiTheme="minorHAnsi"/>
              </w:rPr>
            </w:pPr>
            <w:r>
              <w:rPr>
                <w:rFonts w:asciiTheme="minorHAnsi" w:hAnsiTheme="minorHAnsi"/>
              </w:rPr>
              <w:t>The previous agreement is noted below.</w:t>
            </w:r>
          </w:p>
          <w:p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rsidR="00102BE2" w:rsidRDefault="00866B21">
            <w:pPr>
              <w:pStyle w:val="agreementHEAD"/>
              <w:jc w:val="both"/>
              <w:rPr>
                <w:rFonts w:asciiTheme="minorHAnsi" w:hAnsiTheme="minorHAnsi" w:cs="Calibri"/>
              </w:rPr>
            </w:pPr>
            <w:r>
              <w:rPr>
                <w:rFonts w:asciiTheme="minorHAnsi" w:hAnsiTheme="minorHAnsi"/>
                <w:highlight w:val="green"/>
              </w:rPr>
              <w:t>Agreements:</w:t>
            </w:r>
          </w:p>
          <w:p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rsidR="00102BE2" w:rsidRDefault="00866B21">
            <w:pPr>
              <w:pStyle w:val="agreement"/>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rsidR="00102BE2" w:rsidRDefault="00866B21">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rsidR="00102BE2" w:rsidRDefault="00866B21">
            <w:pPr>
              <w:pStyle w:val="ab"/>
              <w:spacing w:after="0"/>
              <w:jc w:val="both"/>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rsidR="00102BE2" w:rsidRDefault="00102BE2">
      <w:pPr>
        <w:pStyle w:val="ab"/>
        <w:spacing w:before="180"/>
        <w:jc w:val="both"/>
        <w:rPr>
          <w:rFonts w:eastAsia="SimSun"/>
          <w:lang w:eastAsia="zh-CN"/>
        </w:rPr>
      </w:pPr>
    </w:p>
    <w:p w:rsidR="00102BE2" w:rsidRDefault="00102BE2">
      <w:pPr>
        <w:pStyle w:val="ab"/>
        <w:spacing w:before="180"/>
        <w:jc w:val="both"/>
        <w:rPr>
          <w:rFonts w:eastAsia="SimSun"/>
          <w:lang w:eastAsia="zh-CN"/>
        </w:rPr>
      </w:pPr>
    </w:p>
    <w:p w:rsidR="00102BE2" w:rsidRDefault="00866B21">
      <w:pPr>
        <w:pStyle w:val="2"/>
      </w:pPr>
      <w:r>
        <w:t>RAN1#104-e discussion</w:t>
      </w:r>
    </w:p>
    <w:p w:rsidR="00102BE2" w:rsidRDefault="00866B21">
      <w:pPr>
        <w:pStyle w:val="ab"/>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spacing w:after="0"/>
              <w:rPr>
                <w:b/>
                <w:lang w:val="en-US" w:eastAsia="zh-CN"/>
              </w:rPr>
            </w:pPr>
            <w:r>
              <w:rPr>
                <w:b/>
                <w:lang w:val="en-US" w:eastAsia="zh-CN"/>
              </w:rPr>
              <w:lastRenderedPageBreak/>
              <w:t>Conclusion (RAN1#104-e)</w:t>
            </w:r>
          </w:p>
          <w:p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rsidR="00102BE2" w:rsidRDefault="00102BE2">
      <w:pPr>
        <w:rPr>
          <w:lang w:eastAsia="zh-TW"/>
        </w:rPr>
      </w:pPr>
    </w:p>
    <w:p w:rsidR="00102BE2" w:rsidRDefault="00866B21">
      <w:pPr>
        <w:pStyle w:val="1"/>
      </w:pPr>
      <w:r>
        <w:t>Issue#1: Other cases of dynamic PUSCH scheduling</w:t>
      </w:r>
    </w:p>
    <w:p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jc w:val="both"/>
              <w:rPr>
                <w:b/>
                <w:u w:val="single"/>
                <w:lang w:eastAsia="zh-TW"/>
              </w:rPr>
            </w:pPr>
            <w:r>
              <w:rPr>
                <w:b/>
                <w:u w:val="single"/>
                <w:lang w:eastAsia="zh-TW"/>
              </w:rPr>
              <w:t>R1-2105741:</w:t>
            </w:r>
          </w:p>
          <w:p w:rsidR="00102BE2" w:rsidRDefault="00866B21">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rsidR="00102BE2" w:rsidRDefault="00866B21">
            <w:pPr>
              <w:spacing w:after="0"/>
              <w:jc w:val="center"/>
              <w:rPr>
                <w:lang w:eastAsia="ko-KR"/>
              </w:rPr>
            </w:pPr>
            <w:r>
              <w:rPr>
                <w:noProof/>
                <w:lang w:val="en-US" w:eastAsia="ja-JP"/>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rsidR="00102BE2" w:rsidRDefault="00866B21">
            <w:pPr>
              <w:spacing w:after="0"/>
              <w:jc w:val="center"/>
              <w:rPr>
                <w:lang w:eastAsia="ko-KR"/>
              </w:rPr>
            </w:pPr>
            <w:r>
              <w:rPr>
                <w:noProof/>
                <w:lang w:val="en-US" w:eastAsia="ja-JP"/>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rsidR="00102BE2" w:rsidRDefault="00102BE2">
      <w:pPr>
        <w:jc w:val="both"/>
        <w:rPr>
          <w:lang w:eastAsia="zh-TW"/>
        </w:rPr>
      </w:pPr>
    </w:p>
    <w:p w:rsidR="00102BE2" w:rsidRDefault="00866B21">
      <w:pPr>
        <w:pStyle w:val="1"/>
      </w:pPr>
      <w:r>
        <w:t>Email discussion</w:t>
      </w:r>
    </w:p>
    <w:p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af8"/>
        <w:tblW w:w="0" w:type="auto"/>
        <w:tblLook w:val="04A0" w:firstRow="1" w:lastRow="0" w:firstColumn="1" w:lastColumn="0" w:noHBand="0" w:noVBand="1"/>
      </w:tblPr>
      <w:tblGrid>
        <w:gridCol w:w="1413"/>
        <w:gridCol w:w="8218"/>
      </w:tblGrid>
      <w:tr w:rsidR="00102BE2">
        <w:tc>
          <w:tcPr>
            <w:tcW w:w="1413" w:type="dxa"/>
            <w:shd w:val="clear" w:color="auto" w:fill="8DB3E2" w:themeFill="text2" w:themeFillTint="66"/>
          </w:tcPr>
          <w:p w:rsidR="00102BE2" w:rsidRDefault="00866B21">
            <w:pPr>
              <w:jc w:val="both"/>
              <w:rPr>
                <w:b/>
                <w:i/>
                <w:lang w:eastAsia="zh-TW"/>
              </w:rPr>
            </w:pPr>
            <w:r>
              <w:rPr>
                <w:b/>
                <w:i/>
                <w:lang w:eastAsia="zh-TW"/>
              </w:rPr>
              <w:t>Company</w:t>
            </w:r>
          </w:p>
        </w:tc>
        <w:tc>
          <w:tcPr>
            <w:tcW w:w="8218" w:type="dxa"/>
            <w:shd w:val="clear" w:color="auto" w:fill="8DB3E2" w:themeFill="text2" w:themeFillTint="66"/>
          </w:tcPr>
          <w:p w:rsidR="00102BE2" w:rsidRDefault="00866B21">
            <w:pPr>
              <w:jc w:val="both"/>
              <w:rPr>
                <w:b/>
                <w:i/>
                <w:lang w:eastAsia="zh-TW"/>
              </w:rPr>
            </w:pPr>
            <w:r>
              <w:rPr>
                <w:b/>
                <w:i/>
                <w:lang w:eastAsia="zh-TW"/>
              </w:rPr>
              <w:t>View</w:t>
            </w:r>
          </w:p>
        </w:tc>
      </w:tr>
      <w:tr w:rsidR="00102BE2">
        <w:tc>
          <w:tcPr>
            <w:tcW w:w="1413" w:type="dxa"/>
          </w:tcPr>
          <w:p w:rsidR="00102BE2" w:rsidRDefault="00866B21">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rsidR="00102BE2" w:rsidRDefault="00866B21">
            <w:pPr>
              <w:jc w:val="both"/>
              <w:rPr>
                <w:rFonts w:eastAsia="ＭＳ 明朝"/>
                <w:lang w:eastAsia="ja-JP"/>
              </w:rPr>
            </w:pPr>
            <w:r>
              <w:rPr>
                <w:rFonts w:eastAsia="ＭＳ 明朝" w:hint="eastAsia"/>
                <w:lang w:eastAsia="ja-JP"/>
              </w:rPr>
              <w:t>Y</w:t>
            </w:r>
            <w:r>
              <w:rPr>
                <w:rFonts w:eastAsia="ＭＳ 明朝"/>
                <w:lang w:eastAsia="ja-JP"/>
              </w:rPr>
              <w:t>es</w:t>
            </w:r>
          </w:p>
        </w:tc>
      </w:tr>
      <w:tr w:rsidR="00102BE2">
        <w:tc>
          <w:tcPr>
            <w:tcW w:w="1413" w:type="dxa"/>
          </w:tcPr>
          <w:p w:rsidR="00102BE2" w:rsidRDefault="00866B2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rsidR="00102BE2" w:rsidRDefault="00866B21">
            <w:pPr>
              <w:jc w:val="both"/>
              <w:rPr>
                <w:rFonts w:eastAsiaTheme="minorEastAsia"/>
                <w:lang w:eastAsia="zh-CN"/>
              </w:rPr>
            </w:pPr>
            <w:r>
              <w:rPr>
                <w:rFonts w:eastAsiaTheme="minorEastAsia"/>
                <w:lang w:eastAsia="zh-CN"/>
              </w:rPr>
              <w:lastRenderedPageBreak/>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102BE2">
        <w:tc>
          <w:tcPr>
            <w:tcW w:w="1413" w:type="dxa"/>
          </w:tcPr>
          <w:p w:rsidR="00102BE2" w:rsidRDefault="00866B21">
            <w:pPr>
              <w:jc w:val="both"/>
              <w:rPr>
                <w:rFonts w:eastAsiaTheme="minorEastAsia"/>
                <w:lang w:eastAsia="zh-CN"/>
              </w:rPr>
            </w:pPr>
            <w:r>
              <w:rPr>
                <w:rFonts w:eastAsiaTheme="minorEastAsia" w:hint="eastAsia"/>
                <w:lang w:eastAsia="zh-CN"/>
              </w:rPr>
              <w:lastRenderedPageBreak/>
              <w:t>CATT</w:t>
            </w:r>
          </w:p>
        </w:tc>
        <w:tc>
          <w:tcPr>
            <w:tcW w:w="8218" w:type="dxa"/>
          </w:tcPr>
          <w:p w:rsidR="00102BE2" w:rsidRDefault="00866B21">
            <w:pPr>
              <w:jc w:val="both"/>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102BE2">
        <w:tc>
          <w:tcPr>
            <w:tcW w:w="1413" w:type="dxa"/>
          </w:tcPr>
          <w:p w:rsidR="00102BE2" w:rsidRDefault="00866B21">
            <w:pPr>
              <w:jc w:val="both"/>
              <w:rPr>
                <w:rFonts w:eastAsia="SimSun"/>
                <w:lang w:val="en-US" w:eastAsia="zh-CN"/>
              </w:rPr>
            </w:pPr>
            <w:r>
              <w:rPr>
                <w:rFonts w:eastAsia="SimSun" w:hint="eastAsia"/>
                <w:lang w:val="en-US" w:eastAsia="zh-CN"/>
              </w:rPr>
              <w:t>ZTE</w:t>
            </w:r>
          </w:p>
        </w:tc>
        <w:tc>
          <w:tcPr>
            <w:tcW w:w="8218" w:type="dxa"/>
          </w:tcPr>
          <w:p w:rsidR="00102BE2" w:rsidRDefault="00866B21">
            <w:pPr>
              <w:jc w:val="both"/>
              <w:rPr>
                <w:rFonts w:eastAsia="SimSun"/>
                <w:lang w:val="en-US" w:eastAsia="zh-CN"/>
              </w:rPr>
            </w:pPr>
            <w:r>
              <w:rPr>
                <w:rFonts w:eastAsia="SimSun" w:hint="eastAsia"/>
                <w:lang w:val="en-US" w:eastAsia="zh-CN"/>
              </w:rPr>
              <w:t xml:space="preserve">Similar view as vivo and CATT, we are fine to include CS-RNTI while not TC-RNTI. </w:t>
            </w:r>
          </w:p>
        </w:tc>
      </w:tr>
      <w:tr w:rsidR="00102BE2">
        <w:tc>
          <w:tcPr>
            <w:tcW w:w="1413" w:type="dxa"/>
          </w:tcPr>
          <w:p w:rsidR="00102BE2" w:rsidRDefault="00866B21">
            <w:pPr>
              <w:jc w:val="both"/>
              <w:rPr>
                <w:lang w:eastAsia="zh-TW"/>
              </w:rPr>
            </w:pPr>
            <w:r>
              <w:rPr>
                <w:lang w:eastAsia="zh-TW"/>
              </w:rPr>
              <w:t>Huawei</w:t>
            </w:r>
          </w:p>
        </w:tc>
        <w:tc>
          <w:tcPr>
            <w:tcW w:w="8218" w:type="dxa"/>
          </w:tcPr>
          <w:p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rsidR="00866B21" w:rsidRPr="00866B21" w:rsidRDefault="00866B21">
            <w:pPr>
              <w:jc w:val="both"/>
              <w:rPr>
                <w:rFonts w:eastAsiaTheme="minorEastAsia"/>
                <w:lang w:eastAsia="zh-CN"/>
              </w:rPr>
            </w:pPr>
            <w:r>
              <w:rPr>
                <w:rFonts w:eastAsiaTheme="minorEastAsia"/>
                <w:lang w:eastAsia="zh-CN"/>
              </w:rPr>
              <w:t>For TC-RNTI, not needed.</w:t>
            </w:r>
          </w:p>
        </w:tc>
      </w:tr>
      <w:tr w:rsidR="00102BE2">
        <w:tc>
          <w:tcPr>
            <w:tcW w:w="1413" w:type="dxa"/>
          </w:tcPr>
          <w:p w:rsidR="00102BE2" w:rsidRPr="007F68B5" w:rsidRDefault="007F68B5">
            <w:pPr>
              <w:jc w:val="both"/>
              <w:rPr>
                <w:rFonts w:eastAsia="ＭＳ 明朝" w:hint="eastAsia"/>
                <w:lang w:eastAsia="ja-JP"/>
              </w:rPr>
            </w:pPr>
            <w:r>
              <w:rPr>
                <w:rFonts w:eastAsia="ＭＳ 明朝" w:hint="eastAsia"/>
                <w:lang w:eastAsia="ja-JP"/>
              </w:rPr>
              <w:t>D</w:t>
            </w:r>
            <w:r>
              <w:rPr>
                <w:rFonts w:eastAsia="ＭＳ 明朝"/>
                <w:lang w:eastAsia="ja-JP"/>
              </w:rPr>
              <w:t>OCOMO</w:t>
            </w:r>
          </w:p>
        </w:tc>
        <w:tc>
          <w:tcPr>
            <w:tcW w:w="8218" w:type="dxa"/>
          </w:tcPr>
          <w:p w:rsidR="00102BE2" w:rsidRPr="007F68B5" w:rsidRDefault="007F68B5">
            <w:pPr>
              <w:jc w:val="both"/>
              <w:rPr>
                <w:rFonts w:eastAsia="ＭＳ 明朝" w:hint="eastAsia"/>
                <w:lang w:eastAsia="ja-JP"/>
              </w:rPr>
            </w:pPr>
            <w:r>
              <w:rPr>
                <w:rFonts w:eastAsia="ＭＳ 明朝" w:hint="eastAsia"/>
                <w:lang w:eastAsia="ja-JP"/>
              </w:rPr>
              <w:t xml:space="preserve">We are fine to include </w:t>
            </w:r>
            <w:r>
              <w:rPr>
                <w:rFonts w:eastAsia="ＭＳ 明朝"/>
                <w:lang w:eastAsia="ja-JP"/>
              </w:rPr>
              <w:t xml:space="preserve">only </w:t>
            </w:r>
            <w:r>
              <w:rPr>
                <w:rFonts w:eastAsia="ＭＳ 明朝" w:hint="eastAsia"/>
                <w:lang w:eastAsia="ja-JP"/>
              </w:rPr>
              <w:t>CS-RNTI</w:t>
            </w:r>
            <w:r>
              <w:rPr>
                <w:rFonts w:eastAsia="ＭＳ 明朝"/>
                <w:lang w:eastAsia="ja-JP"/>
              </w:rPr>
              <w:t>, while not fine for adding TC-RNTI</w:t>
            </w:r>
            <w:r>
              <w:rPr>
                <w:rFonts w:eastAsia="ＭＳ 明朝" w:hint="eastAsia"/>
                <w:lang w:eastAsia="ja-JP"/>
              </w:rPr>
              <w:t>.</w:t>
            </w:r>
          </w:p>
        </w:tc>
      </w:tr>
      <w:tr w:rsidR="00102BE2">
        <w:tc>
          <w:tcPr>
            <w:tcW w:w="1413" w:type="dxa"/>
          </w:tcPr>
          <w:p w:rsidR="00102BE2" w:rsidRDefault="00102BE2">
            <w:pPr>
              <w:jc w:val="both"/>
              <w:rPr>
                <w:lang w:eastAsia="zh-TW"/>
              </w:rPr>
            </w:pPr>
          </w:p>
        </w:tc>
        <w:tc>
          <w:tcPr>
            <w:tcW w:w="8218" w:type="dxa"/>
          </w:tcPr>
          <w:p w:rsidR="00102BE2" w:rsidRDefault="00102BE2">
            <w:pPr>
              <w:jc w:val="both"/>
              <w:rPr>
                <w:lang w:eastAsia="zh-TW"/>
              </w:rPr>
            </w:pPr>
          </w:p>
        </w:tc>
      </w:tr>
    </w:tbl>
    <w:p w:rsidR="00102BE2" w:rsidRDefault="00102BE2">
      <w:pPr>
        <w:jc w:val="both"/>
        <w:rPr>
          <w:lang w:eastAsia="zh-TW"/>
        </w:rPr>
      </w:pPr>
    </w:p>
    <w:p w:rsidR="00102BE2" w:rsidRDefault="00102BE2">
      <w:pPr>
        <w:jc w:val="both"/>
        <w:rPr>
          <w:lang w:eastAsia="zh-TW"/>
        </w:rPr>
      </w:pPr>
    </w:p>
    <w:p w:rsidR="00102BE2" w:rsidRDefault="00866B21">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8"/>
        <w:tblW w:w="0" w:type="auto"/>
        <w:tblLook w:val="04A0" w:firstRow="1" w:lastRow="0" w:firstColumn="1" w:lastColumn="0" w:noHBand="0" w:noVBand="1"/>
      </w:tblPr>
      <w:tblGrid>
        <w:gridCol w:w="9631"/>
      </w:tblGrid>
      <w:tr w:rsidR="00102BE2">
        <w:tc>
          <w:tcPr>
            <w:tcW w:w="9631" w:type="dxa"/>
          </w:tcPr>
          <w:p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rsidR="00102BE2" w:rsidRDefault="00866B21">
            <w:pPr>
              <w:spacing w:after="0"/>
              <w:jc w:val="center"/>
              <w:rPr>
                <w:lang w:eastAsia="zh-TW"/>
              </w:rPr>
            </w:pPr>
            <w:r>
              <w:rPr>
                <w:rFonts w:asciiTheme="minorHAnsi" w:hAnsiTheme="minorHAnsi"/>
                <w:color w:val="FF0000"/>
                <w:lang w:eastAsia="zh-CN"/>
              </w:rPr>
              <w:t>&lt; Unchanged parts are omitted &gt;</w:t>
            </w:r>
          </w:p>
        </w:tc>
      </w:tr>
    </w:tbl>
    <w:p w:rsidR="00102BE2" w:rsidRDefault="00102BE2">
      <w:pPr>
        <w:rPr>
          <w:lang w:val="en-US" w:eastAsia="zh-TW"/>
        </w:rPr>
      </w:pPr>
    </w:p>
    <w:p w:rsidR="00102BE2" w:rsidRDefault="00866B21">
      <w:pPr>
        <w:spacing w:after="0"/>
        <w:jc w:val="both"/>
        <w:rPr>
          <w:lang w:val="en-US" w:eastAsia="zh-TW"/>
        </w:rPr>
      </w:pPr>
      <w:r>
        <w:rPr>
          <w:lang w:val="en-US" w:eastAsia="zh-TW"/>
        </w:rPr>
        <w:t>The above TP aims to;</w:t>
      </w:r>
    </w:p>
    <w:p w:rsidR="00102BE2" w:rsidRDefault="00866B21">
      <w:pPr>
        <w:pStyle w:val="afd"/>
        <w:numPr>
          <w:ilvl w:val="0"/>
          <w:numId w:val="7"/>
        </w:numPr>
        <w:spacing w:after="0"/>
        <w:ind w:left="714" w:hanging="357"/>
        <w:jc w:val="both"/>
        <w:rPr>
          <w:lang w:val="en-US" w:eastAsia="zh-TW"/>
        </w:rPr>
      </w:pPr>
      <w:r>
        <w:rPr>
          <w:lang w:val="en-US" w:eastAsia="zh-TW"/>
        </w:rPr>
        <w:t>Include the TC-RNTI and CS-RNTI into the restriction.</w:t>
      </w:r>
    </w:p>
    <w:p w:rsidR="00102BE2" w:rsidRDefault="00866B21">
      <w:pPr>
        <w:pStyle w:val="afd"/>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rsidR="00102BE2" w:rsidRDefault="00866B21">
      <w:pPr>
        <w:pStyle w:val="afd"/>
        <w:numPr>
          <w:ilvl w:val="0"/>
          <w:numId w:val="7"/>
        </w:numPr>
        <w:jc w:val="both"/>
        <w:rPr>
          <w:lang w:val="en-US" w:eastAsia="zh-TW"/>
        </w:rPr>
      </w:pPr>
      <w:r>
        <w:rPr>
          <w:lang w:val="en-US" w:eastAsia="zh-TW"/>
        </w:rPr>
        <w:t>Have a single TP for R15 and R16 specs.</w:t>
      </w:r>
    </w:p>
    <w:tbl>
      <w:tblPr>
        <w:tblStyle w:val="af8"/>
        <w:tblW w:w="0" w:type="auto"/>
        <w:tblLook w:val="04A0" w:firstRow="1" w:lastRow="0" w:firstColumn="1" w:lastColumn="0" w:noHBand="0" w:noVBand="1"/>
      </w:tblPr>
      <w:tblGrid>
        <w:gridCol w:w="1413"/>
        <w:gridCol w:w="8218"/>
      </w:tblGrid>
      <w:tr w:rsidR="00102BE2">
        <w:tc>
          <w:tcPr>
            <w:tcW w:w="1413" w:type="dxa"/>
            <w:shd w:val="clear" w:color="auto" w:fill="8DB3E2" w:themeFill="text2" w:themeFillTint="66"/>
          </w:tcPr>
          <w:p w:rsidR="00102BE2" w:rsidRDefault="00866B21">
            <w:pPr>
              <w:jc w:val="both"/>
              <w:rPr>
                <w:b/>
                <w:i/>
                <w:lang w:eastAsia="zh-TW"/>
              </w:rPr>
            </w:pPr>
            <w:r>
              <w:rPr>
                <w:b/>
                <w:i/>
                <w:lang w:eastAsia="zh-TW"/>
              </w:rPr>
              <w:t>Company</w:t>
            </w:r>
          </w:p>
        </w:tc>
        <w:tc>
          <w:tcPr>
            <w:tcW w:w="8218" w:type="dxa"/>
            <w:shd w:val="clear" w:color="auto" w:fill="8DB3E2" w:themeFill="text2" w:themeFillTint="66"/>
          </w:tcPr>
          <w:p w:rsidR="00102BE2" w:rsidRDefault="00866B21">
            <w:pPr>
              <w:jc w:val="both"/>
              <w:rPr>
                <w:b/>
                <w:i/>
                <w:lang w:eastAsia="zh-TW"/>
              </w:rPr>
            </w:pPr>
            <w:r>
              <w:rPr>
                <w:b/>
                <w:i/>
                <w:lang w:eastAsia="zh-TW"/>
              </w:rPr>
              <w:t>View</w:t>
            </w:r>
          </w:p>
        </w:tc>
      </w:tr>
      <w:tr w:rsidR="00102BE2">
        <w:tc>
          <w:tcPr>
            <w:tcW w:w="1413" w:type="dxa"/>
          </w:tcPr>
          <w:p w:rsidR="00102BE2" w:rsidRDefault="00866B21">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rsidR="00102BE2" w:rsidRDefault="00866B21">
            <w:pPr>
              <w:jc w:val="both"/>
              <w:rPr>
                <w:rFonts w:eastAsia="ＭＳ 明朝"/>
                <w:lang w:eastAsia="ja-JP"/>
              </w:rPr>
            </w:pPr>
            <w:r>
              <w:rPr>
                <w:rFonts w:eastAsia="ＭＳ 明朝"/>
                <w:lang w:eastAsia="ja-JP"/>
              </w:rPr>
              <w:t xml:space="preserve">We support </w:t>
            </w:r>
            <w:r>
              <w:rPr>
                <w:rFonts w:eastAsia="ＭＳ 明朝"/>
                <w:highlight w:val="green"/>
                <w:lang w:eastAsia="ja-JP"/>
              </w:rPr>
              <w:t>this part</w:t>
            </w:r>
            <w:r>
              <w:rPr>
                <w:rFonts w:eastAsia="ＭＳ 明朝"/>
                <w:lang w:eastAsia="ja-JP"/>
              </w:rPr>
              <w:t xml:space="preserve">. For </w:t>
            </w:r>
            <w:r>
              <w:rPr>
                <w:rFonts w:eastAsia="ＭＳ 明朝"/>
                <w:highlight w:val="yellow"/>
                <w:lang w:eastAsia="ja-JP"/>
              </w:rPr>
              <w:t>this part</w:t>
            </w:r>
            <w:r>
              <w:rPr>
                <w:rFonts w:eastAsia="ＭＳ 明朝"/>
                <w:lang w:eastAsia="ja-JP"/>
              </w:rPr>
              <w:t>, we suggest starting from making a common understanding on what exactly the “if conditions” are.</w:t>
            </w:r>
          </w:p>
          <w:p w:rsidR="00102BE2" w:rsidRDefault="00866B21">
            <w:pPr>
              <w:jc w:val="both"/>
              <w:rPr>
                <w:rFonts w:eastAsia="ＭＳ 明朝"/>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rsidR="00102BE2" w:rsidRDefault="00102BE2">
            <w:pPr>
              <w:jc w:val="both"/>
              <w:rPr>
                <w:rFonts w:eastAsia="ＭＳ 明朝"/>
                <w:lang w:eastAsia="ja-JP"/>
              </w:rPr>
            </w:pPr>
          </w:p>
          <w:p w:rsidR="00102BE2" w:rsidRDefault="00866B21">
            <w:pPr>
              <w:jc w:val="both"/>
              <w:rPr>
                <w:rFonts w:eastAsia="ＭＳ 明朝"/>
                <w:lang w:eastAsia="ja-JP"/>
              </w:rPr>
            </w:pPr>
            <w:r>
              <w:rPr>
                <w:rFonts w:eastAsia="ＭＳ 明朝"/>
                <w:lang w:eastAsia="ja-JP"/>
              </w:rPr>
              <w:t xml:space="preserve">We agree “if the latter is scheduled by a DCI format or by an UL grant in RA response”, the UE is not expected to be as such. </w:t>
            </w:r>
          </w:p>
          <w:p w:rsidR="00102BE2" w:rsidRDefault="00866B21">
            <w:pPr>
              <w:jc w:val="both"/>
              <w:rPr>
                <w:rFonts w:eastAsia="ＭＳ 明朝"/>
                <w:lang w:eastAsia="ja-JP"/>
              </w:rPr>
            </w:pPr>
            <w:r>
              <w:rPr>
                <w:rFonts w:eastAsia="ＭＳ 明朝"/>
                <w:lang w:eastAsia="ja-JP"/>
              </w:rPr>
              <w:lastRenderedPageBreak/>
              <w:t>In addition, our understanding is following. The exceptional cases from “</w:t>
            </w:r>
            <w:r>
              <w:rPr>
                <w:rFonts w:eastAsia="ＭＳ 明朝"/>
                <w:highlight w:val="green"/>
                <w:lang w:eastAsia="ja-JP"/>
              </w:rPr>
              <w:t>the UE is not expected to be..</w:t>
            </w:r>
            <w:r>
              <w:rPr>
                <w:rFonts w:eastAsia="ＭＳ 明朝"/>
                <w:lang w:eastAsia="ja-JP"/>
              </w:rPr>
              <w:t>” are the cases highlighted by blue.</w:t>
            </w:r>
          </w:p>
          <w:p w:rsidR="00102BE2" w:rsidRDefault="00866B21">
            <w:p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earlier than the start of the CG PUSCH by &gt; N2 symbols,</w:t>
            </w:r>
          </w:p>
          <w:p w:rsidR="00102BE2" w:rsidRDefault="00866B21">
            <w:pPr>
              <w:pStyle w:val="afd"/>
              <w:numPr>
                <w:ilvl w:val="0"/>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CG PUSCH is overlapped with the DG PUSCH for the same HARQ process, the CG PUSCH is not transmitted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rsidR="00102BE2" w:rsidRDefault="00866B21">
            <w:pPr>
              <w:pStyle w:val="afd"/>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hint="eastAsia"/>
                <w:lang w:eastAsia="ja-JP"/>
              </w:rPr>
              <w:t>F</w:t>
            </w:r>
            <w:r>
              <w:rPr>
                <w:rFonts w:asciiTheme="minorHAnsi" w:eastAsia="ＭＳ 明朝" w:hAnsiTheme="minorHAnsi" w:cstheme="minorHAnsi"/>
                <w:lang w:eastAsia="ja-JP"/>
              </w:rPr>
              <w:t xml:space="preserve">or CG PUSCH with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&gt; 1, this applies to a transmission occasion of the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transmission occasions of a CG PUSCH.</w:t>
            </w:r>
          </w:p>
          <w:p w:rsidR="00102BE2" w:rsidRDefault="00866B21">
            <w:pPr>
              <w:pStyle w:val="afd"/>
              <w:numPr>
                <w:ilvl w:val="0"/>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CG PUSCH is not overlapped with the DG PUSCH,</w:t>
            </w:r>
          </w:p>
          <w:p w:rsidR="00102BE2" w:rsidRDefault="00866B21">
            <w:pPr>
              <w:pStyle w:val="afd"/>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configured, the timer invalidates the CG PUSCH (</w:t>
            </w:r>
            <w:r>
              <w:rPr>
                <w:rFonts w:asciiTheme="minorHAnsi" w:eastAsia="ＭＳ 明朝" w:hAnsiTheme="minorHAnsi" w:cstheme="minorHAnsi"/>
                <w:highlight w:val="cyan"/>
                <w:lang w:eastAsia="ja-JP"/>
              </w:rPr>
              <w:t>specified in 38.321</w:t>
            </w:r>
            <w:r>
              <w:rPr>
                <w:rFonts w:asciiTheme="minorHAnsi" w:eastAsia="ＭＳ 明朝" w:hAnsiTheme="minorHAnsi" w:cstheme="minorHAnsi"/>
                <w:lang w:eastAsia="ja-JP"/>
              </w:rPr>
              <w:t>).</w:t>
            </w:r>
          </w:p>
          <w:p w:rsidR="00102BE2" w:rsidRDefault="00866B21">
            <w:pPr>
              <w:pStyle w:val="afd"/>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not configured,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w:t>
            </w:r>
          </w:p>
          <w:p w:rsidR="00102BE2" w:rsidRDefault="00866B21">
            <w:p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not earlier than the start of the CG PUSCH by &gt; N2 symbols,</w:t>
            </w:r>
          </w:p>
          <w:p w:rsidR="00102BE2" w:rsidRDefault="00866B21">
            <w:pPr>
              <w:pStyle w:val="afd"/>
              <w:numPr>
                <w:ilvl w:val="0"/>
                <w:numId w:val="8"/>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Regardless of whether or not the CG PUSCH is overlapped with the DG PUSCH, for the HARQ process,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 xml:space="preserve">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rsidR="00102BE2" w:rsidRDefault="00102BE2">
            <w:pPr>
              <w:jc w:val="both"/>
              <w:rPr>
                <w:rFonts w:eastAsia="ＭＳ 明朝"/>
                <w:lang w:eastAsia="ja-JP"/>
              </w:rPr>
            </w:pPr>
          </w:p>
        </w:tc>
      </w:tr>
      <w:tr w:rsidR="00102BE2">
        <w:tc>
          <w:tcPr>
            <w:tcW w:w="1413" w:type="dxa"/>
          </w:tcPr>
          <w:p w:rsidR="00102BE2" w:rsidRDefault="00866B21">
            <w:pPr>
              <w:jc w:val="both"/>
            </w:pPr>
            <w:r>
              <w:rPr>
                <w:rFonts w:hint="eastAsia"/>
              </w:rPr>
              <w:lastRenderedPageBreak/>
              <w:t>v</w:t>
            </w:r>
            <w:r>
              <w:t>ivo</w:t>
            </w:r>
          </w:p>
        </w:tc>
        <w:tc>
          <w:tcPr>
            <w:tcW w:w="8218" w:type="dxa"/>
          </w:tcPr>
          <w:p w:rsidR="00102BE2" w:rsidRDefault="00866B21">
            <w:pPr>
              <w:jc w:val="both"/>
            </w:pPr>
            <w:r>
              <w:rPr>
                <w:rFonts w:hint="eastAsia"/>
              </w:rPr>
              <w:t>W</w:t>
            </w:r>
            <w:r>
              <w:t>e are fine to include the CS-RNTI. As mentioned in Question#1, we have concerns on adding the TC-RNTI and UL grant in RAR.</w:t>
            </w:r>
          </w:p>
          <w:p w:rsidR="00102BE2" w:rsidRDefault="00866B21">
            <w:pPr>
              <w:jc w:val="both"/>
            </w:pPr>
            <w:r>
              <w:t xml:space="preserve">In addition, thanks QC for the explanation. But it seems the above TP is to address the error case for dynamic scheduling vs. dynamic scheduling for the same HARQ process? </w:t>
            </w:r>
          </w:p>
          <w:p w:rsidR="00102BE2" w:rsidRDefault="00866B21">
            <w:pPr>
              <w:jc w:val="both"/>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tc>
          <w:tcPr>
            <w:tcW w:w="1413" w:type="dxa"/>
          </w:tcPr>
          <w:p w:rsidR="00102BE2" w:rsidRDefault="00866B21">
            <w:pPr>
              <w:jc w:val="both"/>
              <w:rPr>
                <w:rFonts w:eastAsiaTheme="minorEastAsia"/>
                <w:lang w:eastAsia="zh-CN"/>
              </w:rPr>
            </w:pPr>
            <w:r>
              <w:rPr>
                <w:rFonts w:eastAsiaTheme="minorEastAsia" w:hint="eastAsia"/>
                <w:lang w:eastAsia="zh-CN"/>
              </w:rPr>
              <w:t>CATT</w:t>
            </w:r>
          </w:p>
        </w:tc>
        <w:tc>
          <w:tcPr>
            <w:tcW w:w="8218" w:type="dxa"/>
          </w:tcPr>
          <w:p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tc>
          <w:tcPr>
            <w:tcW w:w="1413" w:type="dxa"/>
          </w:tcPr>
          <w:p w:rsidR="00102BE2" w:rsidRDefault="00866B21">
            <w:pPr>
              <w:jc w:val="both"/>
              <w:rPr>
                <w:rFonts w:eastAsia="SimSun"/>
                <w:lang w:val="en-US" w:eastAsia="zh-CN"/>
              </w:rPr>
            </w:pPr>
            <w:r>
              <w:rPr>
                <w:rFonts w:eastAsia="SimSun" w:hint="eastAsia"/>
                <w:lang w:val="en-US" w:eastAsia="zh-CN"/>
              </w:rPr>
              <w:t>ZTE</w:t>
            </w:r>
          </w:p>
        </w:tc>
        <w:tc>
          <w:tcPr>
            <w:tcW w:w="8218" w:type="dxa"/>
          </w:tcPr>
          <w:p w:rsidR="00102BE2" w:rsidRDefault="00866B21">
            <w:pPr>
              <w:jc w:val="both"/>
              <w:rPr>
                <w:lang w:val="en-US" w:eastAsia="zh-TW"/>
              </w:rPr>
            </w:pPr>
            <w:r>
              <w:rPr>
                <w:rFonts w:eastAsia="SimSun" w:hint="eastAsia"/>
                <w:lang w:val="en-US" w:eastAsia="zh-CN"/>
              </w:rPr>
              <w:t xml:space="preserve">As commented in Q1, we are fine with the TP with adding CS-RNTI only. </w:t>
            </w:r>
          </w:p>
        </w:tc>
      </w:tr>
      <w:tr w:rsidR="00102BE2">
        <w:tc>
          <w:tcPr>
            <w:tcW w:w="1413" w:type="dxa"/>
          </w:tcPr>
          <w:p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tc>
          <w:tcPr>
            <w:tcW w:w="1413" w:type="dxa"/>
          </w:tcPr>
          <w:p w:rsidR="00102BE2" w:rsidRPr="00590EA1" w:rsidRDefault="00590EA1">
            <w:pPr>
              <w:jc w:val="both"/>
              <w:rPr>
                <w:rFonts w:eastAsia="ＭＳ 明朝" w:hint="eastAsia"/>
                <w:lang w:eastAsia="ja-JP"/>
              </w:rPr>
            </w:pPr>
            <w:r>
              <w:rPr>
                <w:rFonts w:eastAsia="ＭＳ 明朝" w:hint="eastAsia"/>
                <w:lang w:eastAsia="ja-JP"/>
              </w:rPr>
              <w:t>DOCOMO</w:t>
            </w:r>
          </w:p>
        </w:tc>
        <w:tc>
          <w:tcPr>
            <w:tcW w:w="8218" w:type="dxa"/>
          </w:tcPr>
          <w:p w:rsidR="00102BE2" w:rsidRPr="00590EA1" w:rsidRDefault="00590EA1">
            <w:pPr>
              <w:jc w:val="both"/>
              <w:rPr>
                <w:rFonts w:eastAsia="ＭＳ 明朝" w:hint="eastAsia"/>
                <w:lang w:eastAsia="ja-JP"/>
              </w:rPr>
            </w:pPr>
            <w:r>
              <w:rPr>
                <w:rFonts w:eastAsia="ＭＳ 明朝" w:hint="eastAsia"/>
                <w:lang w:eastAsia="ja-JP"/>
              </w:rPr>
              <w:t>Same as CATT and ZTE.</w:t>
            </w:r>
            <w:bookmarkStart w:id="47" w:name="_GoBack"/>
            <w:bookmarkEnd w:id="47"/>
          </w:p>
        </w:tc>
      </w:tr>
      <w:tr w:rsidR="00102BE2">
        <w:tc>
          <w:tcPr>
            <w:tcW w:w="1413" w:type="dxa"/>
          </w:tcPr>
          <w:p w:rsidR="00102BE2" w:rsidRDefault="00102BE2">
            <w:pPr>
              <w:jc w:val="both"/>
              <w:rPr>
                <w:lang w:eastAsia="zh-TW"/>
              </w:rPr>
            </w:pPr>
          </w:p>
        </w:tc>
        <w:tc>
          <w:tcPr>
            <w:tcW w:w="8218" w:type="dxa"/>
          </w:tcPr>
          <w:p w:rsidR="00102BE2" w:rsidRDefault="00102BE2">
            <w:pPr>
              <w:jc w:val="both"/>
              <w:rPr>
                <w:lang w:eastAsia="zh-TW"/>
              </w:rPr>
            </w:pPr>
          </w:p>
        </w:tc>
      </w:tr>
    </w:tbl>
    <w:p w:rsidR="00102BE2" w:rsidRDefault="00102BE2">
      <w:pPr>
        <w:rPr>
          <w:lang w:val="en-US" w:eastAsia="zh-TW"/>
        </w:rPr>
      </w:pPr>
    </w:p>
    <w:p w:rsidR="00102BE2" w:rsidRDefault="00102BE2">
      <w:pPr>
        <w:rPr>
          <w:lang w:val="en-US" w:eastAsia="zh-TW"/>
        </w:rPr>
      </w:pPr>
    </w:p>
    <w:p w:rsidR="00102BE2" w:rsidRDefault="00102BE2">
      <w:pPr>
        <w:rPr>
          <w:lang w:val="en-US" w:eastAsia="zh-TW"/>
        </w:rPr>
      </w:pPr>
    </w:p>
    <w:p w:rsidR="00102BE2" w:rsidRDefault="00866B21">
      <w:pPr>
        <w:pStyle w:val="1"/>
      </w:pPr>
      <w:r>
        <w:t>Outcome of the Email Discussion</w:t>
      </w:r>
    </w:p>
    <w:p w:rsidR="00102BE2" w:rsidRDefault="00866B21">
      <w:pPr>
        <w:jc w:val="both"/>
        <w:rPr>
          <w:lang w:eastAsia="zh-TW"/>
        </w:rPr>
      </w:pPr>
      <w:r>
        <w:rPr>
          <w:highlight w:val="yellow"/>
          <w:lang w:eastAsia="zh-TW"/>
        </w:rPr>
        <w:t>To be updated.</w:t>
      </w:r>
    </w:p>
    <w:p w:rsidR="00102BE2" w:rsidRDefault="00866B21">
      <w:pPr>
        <w:pStyle w:val="1"/>
        <w:rPr>
          <w:lang w:val="en-US"/>
        </w:rPr>
      </w:pPr>
      <w:r>
        <w:rPr>
          <w:rFonts w:hint="eastAsia"/>
          <w:lang w:val="en-US"/>
        </w:rPr>
        <w:t>References</w:t>
      </w:r>
    </w:p>
    <w:p w:rsidR="00102BE2" w:rsidRDefault="00866B21">
      <w:pPr>
        <w:pStyle w:val="afd"/>
        <w:numPr>
          <w:ilvl w:val="0"/>
          <w:numId w:val="9"/>
        </w:numPr>
        <w:spacing w:after="0"/>
        <w:ind w:left="357" w:hanging="357"/>
        <w:rPr>
          <w:lang w:val="en-US"/>
        </w:rPr>
      </w:pPr>
      <w:bookmarkStart w:id="48" w:name="_Ref481672677"/>
      <w:r>
        <w:rPr>
          <w:lang w:val="en-US"/>
        </w:rPr>
        <w:t>R1-1811891, “Summary for Rel-15 DL/UL data scheduling and HARQ procedure”, Qualcomm, RAN1#94bis, Oct. 2018.</w:t>
      </w:r>
      <w:bookmarkEnd w:id="48"/>
    </w:p>
    <w:p w:rsidR="00102BE2" w:rsidRDefault="00866B21">
      <w:pPr>
        <w:pStyle w:val="afd"/>
        <w:numPr>
          <w:ilvl w:val="0"/>
          <w:numId w:val="9"/>
        </w:numPr>
        <w:spacing w:after="0"/>
        <w:ind w:left="357" w:hanging="357"/>
        <w:rPr>
          <w:lang w:val="en-US"/>
        </w:rPr>
      </w:pPr>
      <w:bookmarkStart w:id="49" w:name="_Ref61374172"/>
      <w:r>
        <w:rPr>
          <w:lang w:val="en-US"/>
        </w:rPr>
        <w:t>R1-1810756, “Remaining issues on NR scheduling &amp; HARQ”, Intel, RAN1#94bis, Oct. 2018.</w:t>
      </w:r>
      <w:bookmarkEnd w:id="49"/>
    </w:p>
    <w:p w:rsidR="00102BE2" w:rsidRDefault="00866B21">
      <w:pPr>
        <w:pStyle w:val="afd"/>
        <w:numPr>
          <w:ilvl w:val="0"/>
          <w:numId w:val="9"/>
        </w:numPr>
        <w:spacing w:after="0"/>
        <w:ind w:left="357" w:hanging="357"/>
        <w:rPr>
          <w:lang w:val="en-US"/>
        </w:rPr>
      </w:pPr>
      <w:bookmarkStart w:id="50" w:name="_Ref61374173"/>
      <w:r>
        <w:rPr>
          <w:lang w:val="en-US"/>
        </w:rPr>
        <w:t>R1-1807364, “Remaining Issues on DL/UL Scheduling, Processing Time and HARQ management,” Qualcomm, RAN1#93, May 2018.</w:t>
      </w:r>
      <w:bookmarkEnd w:id="50"/>
    </w:p>
    <w:p w:rsidR="00102BE2" w:rsidRDefault="00866B21">
      <w:pPr>
        <w:pStyle w:val="afd"/>
        <w:numPr>
          <w:ilvl w:val="0"/>
          <w:numId w:val="9"/>
        </w:numPr>
        <w:spacing w:after="0"/>
        <w:rPr>
          <w:lang w:val="en-US"/>
        </w:rPr>
      </w:pPr>
      <w:bookmarkStart w:id="51" w:name="_Ref72238045"/>
      <w:r>
        <w:rPr>
          <w:lang w:val="en-US"/>
        </w:rPr>
        <w:t>R1-2105741, “Clarification on back-to-back PUSCHs scheduling restriction in Rel-15”, MediaTek, RAN1#105-e, May 2021</w:t>
      </w:r>
      <w:bookmarkEnd w:id="51"/>
    </w:p>
    <w:p w:rsidR="00102BE2" w:rsidRDefault="00866B21">
      <w:pPr>
        <w:pStyle w:val="afd"/>
        <w:numPr>
          <w:ilvl w:val="0"/>
          <w:numId w:val="9"/>
        </w:numPr>
        <w:rPr>
          <w:lang w:val="en-US"/>
        </w:rPr>
      </w:pPr>
      <w:bookmarkStart w:id="52" w:name="_Ref61374214"/>
      <w:r>
        <w:rPr>
          <w:lang w:val="en-US"/>
        </w:rPr>
        <w:t>R1-2102225, “Summary of email discussion [104-e-NR-7.1CRs-03] on the clarification of PUSCH scheduling restriction”, Moderator (Apple Inc.), RAN1#104e, Jan. 2021.</w:t>
      </w:r>
      <w:bookmarkEnd w:id="52"/>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5A1" w:rsidRDefault="00CB35A1" w:rsidP="007F68B5">
      <w:pPr>
        <w:spacing w:after="0"/>
      </w:pPr>
      <w:r>
        <w:separator/>
      </w:r>
    </w:p>
  </w:endnote>
  <w:endnote w:type="continuationSeparator" w:id="0">
    <w:p w:rsidR="00CB35A1" w:rsidRDefault="00CB35A1"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PMingLiU">
    <w:altName w:val="Malgun Gothic Semilight"/>
    <w:panose1 w:val="02010601000101010101"/>
    <w:charset w:val="88"/>
    <w:family w:val="auto"/>
    <w:notTrueType/>
    <w:pitch w:val="variable"/>
    <w:sig w:usb0="00000000" w:usb1="08080000" w:usb2="00000010" w:usb3="00000000" w:csb0="00100000" w:csb1="00000000"/>
  </w:font>
  <w:font w:name="Tahoma">
    <w:panose1 w:val="020B0604030504040204"/>
    <w:charset w:val="00"/>
    <w:family w:val="auto"/>
    <w:pitch w:val="default"/>
    <w:sig w:usb0="E1002EFF" w:usb1="C000605B" w:usb2="00000029" w:usb3="00000000" w:csb0="200101FF" w:csb1="2028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5A1" w:rsidRDefault="00CB35A1" w:rsidP="007F68B5">
      <w:pPr>
        <w:spacing w:after="0"/>
      </w:pPr>
      <w:r>
        <w:separator/>
      </w:r>
    </w:p>
  </w:footnote>
  <w:footnote w:type="continuationSeparator" w:id="0">
    <w:p w:rsidR="00CB35A1" w:rsidRDefault="00CB35A1" w:rsidP="007F6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8C3A1"/>
  <w15:docId w15:val="{E09D3841-21FE-47A1-B061-B32EAE15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0">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6">
    <w:name w:val="annotation subject"/>
    <w:basedOn w:val="a9"/>
    <w:next w:val="a9"/>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Medium Shading 2"/>
    <w:basedOn w:val="a1"/>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9">
    <w:name w:val="FollowedHyperlink"/>
    <w:qFormat/>
    <w:rPr>
      <w:color w:val="800080"/>
      <w:u w:val="single"/>
    </w:rPr>
  </w:style>
  <w:style w:type="character" w:styleId="afa">
    <w:name w:val="Hyperlink"/>
    <w:uiPriority w:val="99"/>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0"/>
    <w:qFormat/>
  </w:style>
  <w:style w:type="paragraph" w:customStyle="1" w:styleId="B4">
    <w:name w:val="B4"/>
    <w:basedOn w:val="43"/>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qFormat/>
    <w:rPr>
      <w:i/>
      <w:color w:val="0000FF"/>
    </w:rPr>
  </w:style>
  <w:style w:type="character" w:customStyle="1" w:styleId="af">
    <w:name w:val="吹き出し (文字)"/>
    <w:link w:val="ae"/>
    <w:qFormat/>
    <w:rPr>
      <w:rFonts w:ascii="Tahoma" w:hAnsi="Tahoma" w:cs="Tahoma"/>
      <w:sz w:val="16"/>
      <w:szCs w:val="16"/>
      <w:lang w:val="en-GB" w:eastAsia="en-US"/>
    </w:rPr>
  </w:style>
  <w:style w:type="character" w:customStyle="1" w:styleId="20">
    <w:name w:val="見出し 2 (文字)"/>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ヘッダー (文字)"/>
    <w:link w:val="af1"/>
    <w:qFormat/>
    <w:rPr>
      <w:rFonts w:ascii="Arial" w:hAnsi="Arial"/>
      <w:b/>
      <w:sz w:val="18"/>
      <w:lang w:val="en-GB" w:eastAsia="en-US" w:bidi="ar-SA"/>
    </w:rPr>
  </w:style>
  <w:style w:type="character" w:customStyle="1" w:styleId="a7">
    <w:name w:val="図表番号 (文字)"/>
    <w:link w:val="a6"/>
    <w:qFormat/>
    <w:rPr>
      <w:b/>
      <w:lang w:val="en-GB" w:eastAsia="en-US"/>
    </w:rPr>
  </w:style>
  <w:style w:type="character" w:customStyle="1" w:styleId="40">
    <w:name w:val="見出し 4 (文字)"/>
    <w:link w:val="4"/>
    <w:qFormat/>
    <w:rPr>
      <w:rFonts w:ascii="Arial" w:hAnsi="Arial"/>
      <w:sz w:val="24"/>
      <w:lang w:val="en-GB" w:eastAsia="zh-TW"/>
    </w:rPr>
  </w:style>
  <w:style w:type="paragraph" w:styleId="afd">
    <w:name w:val="List Paragraph"/>
    <w:basedOn w:val="a"/>
    <w:link w:val="afe"/>
    <w:uiPriority w:val="34"/>
    <w:qFormat/>
    <w:pPr>
      <w:ind w:left="720"/>
    </w:pPr>
  </w:style>
  <w:style w:type="character" w:customStyle="1" w:styleId="af5">
    <w:name w:val="脚注文字列 (文字)"/>
    <w:link w:val="af4"/>
    <w:semiHidden/>
    <w:rPr>
      <w:sz w:val="16"/>
      <w:lang w:val="en-GB" w:eastAsia="en-US"/>
    </w:rPr>
  </w:style>
  <w:style w:type="character" w:customStyle="1" w:styleId="afe">
    <w:name w:val="リスト段落 (文字)"/>
    <w:link w:val="afd"/>
    <w:uiPriority w:val="34"/>
    <w:qFormat/>
    <w:locked/>
    <w:rPr>
      <w:lang w:val="en-GB" w:eastAsia="en-US"/>
    </w:rPr>
  </w:style>
  <w:style w:type="character" w:customStyle="1" w:styleId="st1">
    <w:name w:val="st1"/>
    <w:qFormat/>
  </w:style>
  <w:style w:type="character" w:customStyle="1" w:styleId="ac">
    <w:name w:val="本文 (文字)"/>
    <w:link w:val="ab"/>
    <w:rPr>
      <w:lang w:val="en-GB"/>
    </w:rPr>
  </w:style>
  <w:style w:type="character" w:customStyle="1" w:styleId="aa">
    <w:name w:val="コメント文字列 (文字)"/>
    <w:link w:val="a9"/>
    <w:semiHidden/>
    <w:qFormat/>
    <w:rPr>
      <w:lang w:val="en-GB"/>
    </w:rPr>
  </w:style>
  <w:style w:type="character" w:customStyle="1" w:styleId="af7">
    <w:name w:val="コメント内容 (文字)"/>
    <w:link w:val="af6"/>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locked/>
  </w:style>
  <w:style w:type="paragraph" w:customStyle="1" w:styleId="agreement">
    <w:name w:val="agreement"/>
    <w:basedOn w:val="a"/>
    <w:link w:val="agreementChar"/>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11C8DF6F-7D0C-47F1-9BF5-29949391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2243</Words>
  <Characters>12790</Characters>
  <Application>Microsoft Office Word</Application>
  <DocSecurity>0</DocSecurity>
  <Lines>106</Lines>
  <Paragraphs>30</Paragraphs>
  <ScaleCrop>false</ScaleCrop>
  <Company>MediaTek</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NTT DOCOMO, INC.</cp:lastModifiedBy>
  <cp:revision>3</cp:revision>
  <cp:lastPrinted>2017-05-05T16:44:00Z</cp:lastPrinted>
  <dcterms:created xsi:type="dcterms:W3CDTF">2021-05-20T22:24:00Z</dcterms:created>
  <dcterms:modified xsi:type="dcterms:W3CDTF">2021-05-20T22:25:00Z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