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D076" w14:textId="1C33D452" w:rsidR="00FF006B" w:rsidRPr="00FF006B" w:rsidRDefault="00FF006B" w:rsidP="00FF006B">
      <w:pPr>
        <w:pStyle w:val="3GPPHeader"/>
        <w:spacing w:after="60"/>
        <w:rPr>
          <w:sz w:val="20"/>
          <w:szCs w:val="20"/>
          <w:highlight w:val="yellow"/>
        </w:rPr>
      </w:pPr>
      <w:r w:rsidRPr="00FF006B">
        <w:rPr>
          <w:sz w:val="20"/>
          <w:szCs w:val="20"/>
        </w:rPr>
        <w:t>3GPP TSG RAN WG1 #104</w:t>
      </w:r>
      <w:r w:rsidR="00C010A6">
        <w:rPr>
          <w:sz w:val="20"/>
          <w:szCs w:val="20"/>
        </w:rPr>
        <w:t>b</w:t>
      </w:r>
      <w:r w:rsidRPr="00FF006B">
        <w:rPr>
          <w:sz w:val="20"/>
          <w:szCs w:val="20"/>
        </w:rPr>
        <w:t>-e</w:t>
      </w:r>
      <w:r w:rsidRPr="00FF006B">
        <w:rPr>
          <w:sz w:val="20"/>
          <w:szCs w:val="20"/>
        </w:rPr>
        <w:tab/>
      </w:r>
      <w:r w:rsidRPr="00106C45">
        <w:rPr>
          <w:sz w:val="20"/>
          <w:szCs w:val="20"/>
        </w:rPr>
        <w:t>Tdoc R1-2</w:t>
      </w:r>
      <w:r w:rsidR="007549E8">
        <w:rPr>
          <w:sz w:val="20"/>
          <w:szCs w:val="20"/>
        </w:rPr>
        <w:t>1</w:t>
      </w:r>
      <w:r w:rsidR="009F3D5C">
        <w:rPr>
          <w:sz w:val="20"/>
          <w:szCs w:val="20"/>
        </w:rPr>
        <w:t>03645</w:t>
      </w:r>
    </w:p>
    <w:p w14:paraId="3FD9121D" w14:textId="1967BC5D" w:rsidR="00FF006B" w:rsidRPr="00FF006B" w:rsidRDefault="00FF006B" w:rsidP="00FF006B">
      <w:pPr>
        <w:pStyle w:val="3GPPHeader"/>
        <w:rPr>
          <w:sz w:val="20"/>
          <w:szCs w:val="20"/>
        </w:rPr>
      </w:pPr>
      <w:r w:rsidRPr="00FF006B">
        <w:rPr>
          <w:sz w:val="20"/>
          <w:szCs w:val="20"/>
        </w:rPr>
        <w:t xml:space="preserve">e-Meeting, </w:t>
      </w:r>
      <w:r w:rsidR="00C010A6">
        <w:rPr>
          <w:sz w:val="20"/>
          <w:szCs w:val="20"/>
        </w:rPr>
        <w:t>Apr</w:t>
      </w:r>
      <w:r w:rsidRPr="00FF006B">
        <w:rPr>
          <w:sz w:val="20"/>
          <w:szCs w:val="20"/>
        </w:rPr>
        <w:t xml:space="preserve"> </w:t>
      </w:r>
      <w:r w:rsidR="006A4168">
        <w:rPr>
          <w:sz w:val="20"/>
          <w:szCs w:val="20"/>
        </w:rPr>
        <w:t>12th-20th</w:t>
      </w:r>
      <w:r w:rsidRPr="00FF006B">
        <w:rPr>
          <w:sz w:val="20"/>
          <w:szCs w:val="20"/>
        </w:rPr>
        <w:t>, 2021</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64A0EB9A" w:rsidR="00693AE2" w:rsidRPr="00E220C0" w:rsidRDefault="00693AE2" w:rsidP="00693AE2">
      <w:pPr>
        <w:pStyle w:val="Header"/>
        <w:tabs>
          <w:tab w:val="clear" w:pos="4536"/>
          <w:tab w:val="left" w:pos="1800"/>
        </w:tabs>
      </w:pPr>
      <w:r w:rsidRPr="0003368D">
        <w:t>Title:</w:t>
      </w:r>
      <w:bookmarkStart w:id="0" w:name="Title"/>
      <w:bookmarkEnd w:id="0"/>
      <w:r w:rsidRPr="0003368D">
        <w:tab/>
      </w:r>
      <w:r w:rsidR="00C55939">
        <w:t>Enhanced cross-carrier scheduling for DSS</w:t>
      </w:r>
    </w:p>
    <w:p w14:paraId="4C50045B" w14:textId="6DC1A39F" w:rsidR="00693AE2" w:rsidRPr="00E220C0" w:rsidRDefault="00693AE2" w:rsidP="00693AE2">
      <w:pPr>
        <w:pStyle w:val="Header"/>
        <w:tabs>
          <w:tab w:val="left" w:pos="1800"/>
        </w:tabs>
      </w:pPr>
      <w:r w:rsidRPr="00E220C0">
        <w:t>Agenda Item:</w:t>
      </w:r>
      <w:bookmarkStart w:id="1" w:name="Source"/>
      <w:bookmarkEnd w:id="1"/>
      <w:r w:rsidRPr="00E220C0">
        <w:tab/>
      </w:r>
      <w:r w:rsidR="00C55939">
        <w:t>8.13.1</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3548BF9D" w14:textId="5F50B694" w:rsidR="00DF685E" w:rsidRPr="00E96CF9" w:rsidRDefault="00DF685E" w:rsidP="00FC5FE3">
      <w:pPr>
        <w:rPr>
          <w:szCs w:val="20"/>
        </w:rPr>
      </w:pPr>
      <w:r w:rsidRPr="00E15A5E">
        <w:rPr>
          <w:lang w:eastAsia="zh-CN"/>
        </w:rPr>
        <w:t xml:space="preserve">In </w:t>
      </w:r>
      <w:r w:rsidR="00FC5FE3">
        <w:rPr>
          <w:lang w:eastAsia="zh-CN"/>
        </w:rPr>
        <w:t>this</w:t>
      </w:r>
      <w:r>
        <w:rPr>
          <w:szCs w:val="20"/>
        </w:rPr>
        <w:t xml:space="preserve"> document</w:t>
      </w:r>
      <w:r w:rsidR="00291ACE">
        <w:rPr>
          <w:szCs w:val="20"/>
        </w:rPr>
        <w:t>,</w:t>
      </w:r>
      <w:r>
        <w:rPr>
          <w:szCs w:val="20"/>
        </w:rPr>
        <w:t xml:space="preserve"> we </w:t>
      </w:r>
      <w:r w:rsidR="00AC0A0B">
        <w:rPr>
          <w:szCs w:val="20"/>
        </w:rPr>
        <w:t xml:space="preserve">discuss </w:t>
      </w:r>
      <w:r w:rsidR="00FC5FE3">
        <w:rPr>
          <w:szCs w:val="20"/>
        </w:rPr>
        <w:t xml:space="preserve">further details of search space and BD/CCE handling </w:t>
      </w:r>
      <w:r>
        <w:rPr>
          <w:szCs w:val="20"/>
        </w:rPr>
        <w:t xml:space="preserve">to support </w:t>
      </w:r>
      <w:r w:rsidR="00DB5467">
        <w:rPr>
          <w:szCs w:val="20"/>
        </w:rPr>
        <w:t>cross-carrier scheduling from an SCell to PCell/PSCell</w:t>
      </w:r>
      <w:r w:rsidR="002D70B3">
        <w:rPr>
          <w:szCs w:val="20"/>
        </w:rPr>
        <w:t>.</w:t>
      </w:r>
    </w:p>
    <w:p w14:paraId="1CC7D15D" w14:textId="77777777" w:rsidR="00693AE2" w:rsidRDefault="00693AE2" w:rsidP="00693AE2">
      <w:pPr>
        <w:pStyle w:val="Heading1"/>
      </w:pPr>
      <w:r>
        <w:t>Discussion</w:t>
      </w:r>
    </w:p>
    <w:p w14:paraId="70F90371" w14:textId="60FE76A8" w:rsidR="00897321" w:rsidRDefault="0022542D" w:rsidP="00897321">
      <w:pPr>
        <w:pStyle w:val="Heading2"/>
        <w:rPr>
          <w:u w:val="single"/>
        </w:rPr>
      </w:pPr>
      <w:r>
        <w:rPr>
          <w:u w:val="single"/>
        </w:rPr>
        <w:t>USS</w:t>
      </w:r>
      <w:r w:rsidR="008569AF">
        <w:rPr>
          <w:u w:val="single"/>
        </w:rPr>
        <w:t xml:space="preserve"> </w:t>
      </w:r>
      <w:r w:rsidR="00FA7299">
        <w:rPr>
          <w:u w:val="single"/>
        </w:rPr>
        <w:t>handling</w:t>
      </w:r>
    </w:p>
    <w:p w14:paraId="1A404F97" w14:textId="77777777" w:rsidR="00C70369" w:rsidRDefault="00C70369" w:rsidP="00251F01">
      <w:pPr>
        <w:jc w:val="both"/>
      </w:pPr>
    </w:p>
    <w:p w14:paraId="579EF4CD" w14:textId="2CDD9161" w:rsidR="00141433" w:rsidRDefault="008C0CAD" w:rsidP="00251F01">
      <w:pPr>
        <w:jc w:val="both"/>
      </w:pPr>
      <w:r>
        <w:t>The following working assumption related to USS handling was made in RAN1#104-e</w:t>
      </w:r>
      <w:r w:rsidR="006A4168">
        <w:t>:</w:t>
      </w:r>
    </w:p>
    <w:p w14:paraId="74B7FA83" w14:textId="511258F8" w:rsidR="008C0CAD" w:rsidRDefault="008C0CAD" w:rsidP="00251F01">
      <w:pPr>
        <w:jc w:val="both"/>
      </w:pPr>
    </w:p>
    <w:p w14:paraId="1D01121E" w14:textId="77777777" w:rsidR="008C0CAD" w:rsidRPr="008C0CAD" w:rsidRDefault="008C0CAD" w:rsidP="008C0CAD">
      <w:pPr>
        <w:ind w:left="720"/>
        <w:rPr>
          <w:rFonts w:eastAsia="Batang"/>
          <w:b/>
          <w:bCs/>
          <w:i/>
          <w:iCs/>
          <w:sz w:val="18"/>
          <w:szCs w:val="22"/>
          <w:highlight w:val="darkYellow"/>
          <w:lang w:val="en-GB" w:eastAsia="x-none"/>
        </w:rPr>
      </w:pPr>
      <w:r w:rsidRPr="008C0CAD">
        <w:rPr>
          <w:rFonts w:eastAsia="Batang"/>
          <w:b/>
          <w:bCs/>
          <w:i/>
          <w:iCs/>
          <w:sz w:val="18"/>
          <w:szCs w:val="22"/>
          <w:highlight w:val="darkYellow"/>
          <w:lang w:val="en-GB" w:eastAsia="x-none"/>
        </w:rPr>
        <w:t>Working Assumption</w:t>
      </w:r>
    </w:p>
    <w:p w14:paraId="4D20C930" w14:textId="77777777" w:rsidR="008C0CAD" w:rsidRPr="008C0CAD" w:rsidRDefault="008C0CAD" w:rsidP="008C0CAD">
      <w:pPr>
        <w:numPr>
          <w:ilvl w:val="0"/>
          <w:numId w:val="30"/>
        </w:numPr>
        <w:overflowPunct w:val="0"/>
        <w:autoSpaceDE w:val="0"/>
        <w:autoSpaceDN w:val="0"/>
        <w:adjustRightInd w:val="0"/>
        <w:spacing w:after="180" w:line="360" w:lineRule="auto"/>
        <w:ind w:left="1440"/>
        <w:contextualSpacing/>
        <w:textAlignment w:val="baseline"/>
        <w:rPr>
          <w:rFonts w:eastAsia="Batang"/>
          <w:i/>
          <w:iCs/>
          <w:szCs w:val="20"/>
          <w:lang w:val="en-GB" w:eastAsia="zh-CN"/>
        </w:rPr>
      </w:pPr>
      <w:r w:rsidRPr="008C0CAD">
        <w:rPr>
          <w:rFonts w:eastAsia="Batang"/>
          <w:i/>
          <w:iCs/>
          <w:sz w:val="18"/>
          <w:szCs w:val="22"/>
          <w:lang w:val="en-GB" w:eastAsia="zh-CN"/>
        </w:rPr>
        <w:t xml:space="preserve">When CCS from sSCell to PCell/PSCell is configured, UE can be configured to monitor DCI formats 0_1/1_1/0_2/1_2 </w:t>
      </w:r>
      <w:bookmarkStart w:id="3" w:name="_Hlk68252247"/>
      <w:r w:rsidRPr="008C0CAD">
        <w:rPr>
          <w:rFonts w:eastAsia="Batang"/>
          <w:i/>
          <w:iCs/>
          <w:sz w:val="18"/>
          <w:szCs w:val="22"/>
          <w:lang w:val="en-GB" w:eastAsia="zh-CN"/>
        </w:rPr>
        <w:t xml:space="preserve">that schedule PDSCH/PUSCH on PCell/PSCell </w:t>
      </w:r>
      <w:bookmarkEnd w:id="3"/>
      <w:r w:rsidRPr="008C0CAD">
        <w:rPr>
          <w:rFonts w:eastAsia="Batang"/>
          <w:i/>
          <w:iCs/>
          <w:sz w:val="18"/>
          <w:szCs w:val="22"/>
          <w:lang w:val="en-GB" w:eastAsia="zh-CN"/>
        </w:rPr>
        <w:t>on PCell/PSCell USS set(s), and/or on sSCell USS set(s)</w:t>
      </w:r>
    </w:p>
    <w:p w14:paraId="7DD30A6E" w14:textId="77777777" w:rsidR="008C0CAD" w:rsidRPr="008C0CAD" w:rsidRDefault="008C0CAD" w:rsidP="008C0CAD">
      <w:pPr>
        <w:numPr>
          <w:ilvl w:val="0"/>
          <w:numId w:val="30"/>
        </w:numPr>
        <w:overflowPunct w:val="0"/>
        <w:autoSpaceDE w:val="0"/>
        <w:autoSpaceDN w:val="0"/>
        <w:adjustRightInd w:val="0"/>
        <w:spacing w:after="180" w:line="360" w:lineRule="auto"/>
        <w:ind w:left="1440"/>
        <w:contextualSpacing/>
        <w:textAlignment w:val="baseline"/>
        <w:rPr>
          <w:rFonts w:eastAsia="Batang"/>
          <w:i/>
          <w:iCs/>
          <w:sz w:val="18"/>
          <w:szCs w:val="22"/>
          <w:lang w:eastAsia="zh-CN"/>
        </w:rPr>
      </w:pPr>
      <w:r w:rsidRPr="008C0CAD">
        <w:rPr>
          <w:rFonts w:eastAsia="Batang"/>
          <w:i/>
          <w:iCs/>
          <w:sz w:val="18"/>
          <w:szCs w:val="22"/>
          <w:lang w:val="en-GB" w:eastAsia="zh-CN"/>
        </w:rPr>
        <w:t>The WA to be confirmed after agreements are made on PDCCH BD/CCE handling and PDCCH overbooking handling for CCS from sSCell to PCell/PSCell</w:t>
      </w:r>
    </w:p>
    <w:p w14:paraId="24440F8E" w14:textId="77777777" w:rsidR="008C0CAD" w:rsidRPr="008C0CAD" w:rsidRDefault="008C0CAD" w:rsidP="008C0CAD">
      <w:pPr>
        <w:numPr>
          <w:ilvl w:val="0"/>
          <w:numId w:val="30"/>
        </w:numPr>
        <w:overflowPunct w:val="0"/>
        <w:autoSpaceDE w:val="0"/>
        <w:autoSpaceDN w:val="0"/>
        <w:adjustRightInd w:val="0"/>
        <w:spacing w:after="180" w:line="360" w:lineRule="auto"/>
        <w:ind w:left="1440"/>
        <w:contextualSpacing/>
        <w:textAlignment w:val="baseline"/>
        <w:rPr>
          <w:rFonts w:eastAsia="Batang"/>
          <w:i/>
          <w:iCs/>
          <w:sz w:val="18"/>
          <w:szCs w:val="22"/>
          <w:lang w:val="en-GB" w:eastAsia="zh-CN"/>
        </w:rPr>
      </w:pPr>
      <w:r w:rsidRPr="008C0CAD">
        <w:rPr>
          <w:rFonts w:eastAsia="Batang"/>
          <w:i/>
          <w:iCs/>
          <w:sz w:val="18"/>
          <w:szCs w:val="22"/>
          <w:lang w:val="en-GB" w:eastAsia="zh-CN"/>
        </w:rPr>
        <w:t>Specs also allow UEs supporting functionality of only Alt-1. Capability signaling details, if any, can be handled during the UE capability discussion for Rel17</w:t>
      </w:r>
    </w:p>
    <w:p w14:paraId="62157C25" w14:textId="77777777" w:rsidR="008C0CAD" w:rsidRPr="008C0CAD" w:rsidRDefault="008C0CAD" w:rsidP="008C0CAD">
      <w:pPr>
        <w:numPr>
          <w:ilvl w:val="0"/>
          <w:numId w:val="30"/>
        </w:numPr>
        <w:overflowPunct w:val="0"/>
        <w:autoSpaceDE w:val="0"/>
        <w:autoSpaceDN w:val="0"/>
        <w:adjustRightInd w:val="0"/>
        <w:spacing w:after="180" w:line="360" w:lineRule="auto"/>
        <w:ind w:left="1440"/>
        <w:contextualSpacing/>
        <w:textAlignment w:val="baseline"/>
        <w:rPr>
          <w:rFonts w:eastAsia="Batang"/>
          <w:i/>
          <w:iCs/>
          <w:szCs w:val="20"/>
          <w:lang w:val="en-GB" w:eastAsia="zh-CN"/>
        </w:rPr>
      </w:pPr>
      <w:r w:rsidRPr="008C0CAD">
        <w:rPr>
          <w:rFonts w:eastAsia="Batang"/>
          <w:i/>
          <w:iCs/>
          <w:sz w:val="18"/>
          <w:szCs w:val="22"/>
          <w:lang w:val="en-GB" w:eastAsia="zh-CN"/>
        </w:rPr>
        <w:t>FFS: Whether the UE can monitor PDCCH from both cells in the same slot.</w:t>
      </w:r>
    </w:p>
    <w:p w14:paraId="47EBF2CB" w14:textId="019716F4" w:rsidR="008C0CAD" w:rsidRDefault="008C0CAD" w:rsidP="00251F01">
      <w:pPr>
        <w:jc w:val="both"/>
      </w:pPr>
      <w:r>
        <w:t xml:space="preserve">As per the WA, the UE can be configured to monitor non-fallback DCI formats </w:t>
      </w:r>
      <w:r w:rsidRPr="008C0CAD">
        <w:t>that schedule PDSCH/PUSCH on PCell/PSCell</w:t>
      </w:r>
      <w:r>
        <w:t xml:space="preserve"> on both </w:t>
      </w:r>
      <w:r w:rsidRPr="008C0CAD">
        <w:t>PCell/PSCell USS set(s), and/or on sSCell USS set(s)</w:t>
      </w:r>
      <w:r>
        <w:t>.</w:t>
      </w:r>
    </w:p>
    <w:p w14:paraId="1C58384E" w14:textId="7F74BB82" w:rsidR="008C0CAD" w:rsidRDefault="008C0CAD" w:rsidP="00251F01">
      <w:pPr>
        <w:jc w:val="both"/>
      </w:pPr>
    </w:p>
    <w:p w14:paraId="3C4A7841" w14:textId="535BBFC3" w:rsidR="008C0CAD" w:rsidRDefault="00D35295" w:rsidP="00251F01">
      <w:pPr>
        <w:jc w:val="both"/>
      </w:pPr>
      <w:r>
        <w:t>Figure</w:t>
      </w:r>
      <w:r w:rsidR="00A84421">
        <w:t xml:space="preserve"> 1 </w:t>
      </w:r>
      <w:r>
        <w:t>below illustrates the Rel16 USS set configuration for an example CCS scenario to serve as a baseline for enhanced CCS discussion</w:t>
      </w:r>
      <w:r w:rsidR="00A84421">
        <w:t xml:space="preserve">. In the figure SCell1 serves as scheduling cell for SCell2. PCell is </w:t>
      </w:r>
      <w:r w:rsidR="00180F31">
        <w:t>self-scheduled</w:t>
      </w:r>
      <w:r w:rsidR="00A84421">
        <w:t>.</w:t>
      </w:r>
    </w:p>
    <w:p w14:paraId="3DD9B7C5" w14:textId="4C79A5AD" w:rsidR="00D35295" w:rsidRDefault="00D35295" w:rsidP="00251F01">
      <w:pPr>
        <w:jc w:val="both"/>
      </w:pPr>
    </w:p>
    <w:p w14:paraId="71D5C65F" w14:textId="0DE763A9" w:rsidR="00D35295" w:rsidRDefault="00467D63" w:rsidP="00251F01">
      <w:pPr>
        <w:jc w:val="both"/>
      </w:pPr>
      <w:r w:rsidRPr="00467D63">
        <w:rPr>
          <w:noProof/>
        </w:rPr>
        <w:drawing>
          <wp:inline distT="0" distB="0" distL="0" distR="0" wp14:anchorId="62B9506A" wp14:editId="3449CA6C">
            <wp:extent cx="5753100" cy="190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100" cy="1905000"/>
                    </a:xfrm>
                    <a:prstGeom prst="rect">
                      <a:avLst/>
                    </a:prstGeom>
                    <a:noFill/>
                    <a:ln>
                      <a:noFill/>
                    </a:ln>
                  </pic:spPr>
                </pic:pic>
              </a:graphicData>
            </a:graphic>
          </wp:inline>
        </w:drawing>
      </w:r>
    </w:p>
    <w:p w14:paraId="1736AA02" w14:textId="77777777" w:rsidR="00D35295" w:rsidRDefault="00D35295" w:rsidP="00251F01">
      <w:pPr>
        <w:jc w:val="both"/>
      </w:pPr>
    </w:p>
    <w:p w14:paraId="47AEF041" w14:textId="21749C69" w:rsidR="00D35295" w:rsidRPr="00A84421" w:rsidRDefault="00A84421" w:rsidP="00A84421">
      <w:pPr>
        <w:jc w:val="center"/>
        <w:rPr>
          <w:rFonts w:ascii="Arial" w:hAnsi="Arial" w:cs="Arial"/>
          <w:b/>
          <w:bCs/>
          <w:u w:val="single"/>
        </w:rPr>
      </w:pPr>
      <w:r>
        <w:rPr>
          <w:rFonts w:ascii="Arial" w:hAnsi="Arial" w:cs="Arial"/>
          <w:b/>
          <w:bCs/>
          <w:u w:val="single"/>
        </w:rPr>
        <w:t xml:space="preserve">Figure 1 – </w:t>
      </w:r>
      <w:r w:rsidR="00467D63">
        <w:rPr>
          <w:rFonts w:ascii="Arial" w:hAnsi="Arial" w:cs="Arial"/>
          <w:b/>
          <w:bCs/>
          <w:u w:val="single"/>
        </w:rPr>
        <w:t>cross-carrier scheduling search-space</w:t>
      </w:r>
      <w:r>
        <w:rPr>
          <w:rFonts w:ascii="Arial" w:hAnsi="Arial" w:cs="Arial"/>
          <w:b/>
          <w:bCs/>
          <w:u w:val="single"/>
        </w:rPr>
        <w:t xml:space="preserve"> configuration for example Rel16 scenario</w:t>
      </w:r>
    </w:p>
    <w:p w14:paraId="49F199B6" w14:textId="77777777" w:rsidR="00D35295" w:rsidRDefault="00D35295" w:rsidP="00251F01">
      <w:pPr>
        <w:jc w:val="both"/>
      </w:pPr>
    </w:p>
    <w:p w14:paraId="255EF7A8" w14:textId="79F50C41" w:rsidR="00141433" w:rsidRDefault="00141433" w:rsidP="00251F01">
      <w:pPr>
        <w:jc w:val="both"/>
      </w:pPr>
    </w:p>
    <w:p w14:paraId="48E4153F" w14:textId="136B0EFA" w:rsidR="00A84421" w:rsidRDefault="00180F31" w:rsidP="00251F01">
      <w:pPr>
        <w:jc w:val="both"/>
      </w:pPr>
      <w:r>
        <w:t>Figures 2a,2b,2c show different options for USS set up in Rel17 for SCell to PCell scheduling. The figures correspond to Alt 2-1,2-2 and 2-4 (discussed in RAN1#103-e, related agreement in Annex A) respectively.</w:t>
      </w:r>
      <w:r w:rsidR="00F04574">
        <w:t xml:space="preserve"> In the figures, the arrows with outline illustrate PDCCH monitoring instances based on </w:t>
      </w:r>
      <w:r w:rsidR="009C6877">
        <w:t>allowed search space</w:t>
      </w:r>
      <w:r w:rsidR="00F04574">
        <w:t xml:space="preserve"> set </w:t>
      </w:r>
      <w:r w:rsidR="00F04574">
        <w:lastRenderedPageBreak/>
        <w:t>configuration</w:t>
      </w:r>
      <w:r w:rsidR="009C6877">
        <w:t xml:space="preserve"> for each option</w:t>
      </w:r>
      <w:r w:rsidR="00F04574">
        <w:t xml:space="preserve">. The filled arrows illustrate </w:t>
      </w:r>
      <w:r w:rsidR="00FD4953">
        <w:t>search space</w:t>
      </w:r>
      <w:r w:rsidR="00F04574">
        <w:t xml:space="preserve"> instances that are actually used for scheduling PDSCH/PUSCH.</w:t>
      </w:r>
      <w:r w:rsidR="009C6877">
        <w:t xml:space="preserve"> As agreed in previous meetings, </w:t>
      </w:r>
      <w:r w:rsidR="00FD4953">
        <w:t>overlapping</w:t>
      </w:r>
      <w:r w:rsidR="009C6877">
        <w:t xml:space="preserve"> PCell PDSCH/PUSCH can</w:t>
      </w:r>
      <w:r w:rsidR="00FD4953">
        <w:t xml:space="preserve">not </w:t>
      </w:r>
      <w:r w:rsidR="009C6877">
        <w:t xml:space="preserve">be </w:t>
      </w:r>
      <w:r w:rsidR="00FD4953">
        <w:t xml:space="preserve">simultaneously </w:t>
      </w:r>
      <w:r w:rsidR="009C6877">
        <w:t xml:space="preserve">scheduled from </w:t>
      </w:r>
      <w:r w:rsidR="00FD4953">
        <w:t xml:space="preserve">both </w:t>
      </w:r>
      <w:r w:rsidR="009C6877">
        <w:t xml:space="preserve">PCell </w:t>
      </w:r>
      <w:r w:rsidR="009F3DB7">
        <w:t>and</w:t>
      </w:r>
      <w:r w:rsidR="009C6877">
        <w:t xml:space="preserve"> sSCell.</w:t>
      </w:r>
    </w:p>
    <w:p w14:paraId="2974FB4A" w14:textId="07D8FEC2" w:rsidR="00180F31" w:rsidRDefault="00180F31" w:rsidP="00251F01">
      <w:pPr>
        <w:jc w:val="both"/>
      </w:pPr>
    </w:p>
    <w:p w14:paraId="2AB206C9" w14:textId="34BEA8CE" w:rsidR="00180F31" w:rsidRDefault="00180F31" w:rsidP="00251F01">
      <w:pPr>
        <w:jc w:val="both"/>
      </w:pPr>
      <w:r>
        <w:t xml:space="preserve">Figure 2a (i.e., Alt2-1) is based </w:t>
      </w:r>
      <w:r w:rsidR="006A4168">
        <w:t>on</w:t>
      </w:r>
      <w:r>
        <w:t xml:space="preserve"> replicating the Rel16 USS configuration </w:t>
      </w:r>
      <w:r w:rsidR="005C0905">
        <w:t xml:space="preserve">to Rel17 SCell to PCell scheduling </w:t>
      </w:r>
      <w:r>
        <w:t xml:space="preserve">from </w:t>
      </w:r>
      <w:r w:rsidR="005C0905">
        <w:t xml:space="preserve">perspective of </w:t>
      </w:r>
      <w:r>
        <w:t xml:space="preserve">scheduling cell (i.e., sSCell). As discussed in [1], this alternative has least impact on primary cell self-scheduling (p-p) while providing opportunity to </w:t>
      </w:r>
      <w:r w:rsidR="005C0905">
        <w:t>us</w:t>
      </w:r>
      <w:r w:rsidR="009C6877">
        <w:t>e</w:t>
      </w:r>
      <w:r w:rsidR="005C0905">
        <w:t xml:space="preserve"> </w:t>
      </w:r>
      <w:r>
        <w:t>sSCell</w:t>
      </w:r>
      <w:r w:rsidR="005C0905">
        <w:t>-</w:t>
      </w:r>
      <w:r>
        <w:t>to</w:t>
      </w:r>
      <w:r w:rsidR="005C0905">
        <w:t>-</w:t>
      </w:r>
      <w:r>
        <w:t>primary cell scheduling (s-p) when</w:t>
      </w:r>
      <w:r w:rsidR="00DF3D70">
        <w:t>ever</w:t>
      </w:r>
      <w:r>
        <w:t xml:space="preserve"> needed/possible.</w:t>
      </w:r>
      <w:r w:rsidR="005C0905">
        <w:t xml:space="preserve"> For example, (s-p) scheduling </w:t>
      </w:r>
      <w:r w:rsidR="009C6877">
        <w:t xml:space="preserve">can be used from </w:t>
      </w:r>
      <w:r w:rsidR="005C0905">
        <w:t xml:space="preserve">PCell slot b if there is lack of PDCCH resources on PCell. </w:t>
      </w:r>
      <w:r w:rsidR="00DF3D70">
        <w:t>Similarly, i</w:t>
      </w:r>
      <w:r w:rsidR="005C0905">
        <w:t>f the sSCell PDCCH i</w:t>
      </w:r>
      <w:r w:rsidR="009C6877">
        <w:t>s</w:t>
      </w:r>
      <w:r w:rsidR="005C0905">
        <w:t xml:space="preserve"> not available (e.g. due to sSCell deactivation, or bad channel </w:t>
      </w:r>
      <w:r w:rsidR="009C6877">
        <w:t>condition</w:t>
      </w:r>
      <w:r w:rsidR="005C0905">
        <w:t>), from PCell slot g</w:t>
      </w:r>
      <w:r w:rsidR="009C6877">
        <w:t>, the scheduling can seamlessly switch to (p-p)</w:t>
      </w:r>
      <w:r w:rsidR="005C0905">
        <w:t xml:space="preserve"> without need for any additional RRC re-configuration, L1/MAC</w:t>
      </w:r>
      <w:r w:rsidR="00DF3D70">
        <w:t xml:space="preserve"> switching </w:t>
      </w:r>
      <w:r w:rsidR="005C0905">
        <w:t>signaling etc.</w:t>
      </w:r>
    </w:p>
    <w:p w14:paraId="24CC0CD1" w14:textId="43147A34" w:rsidR="00180F31" w:rsidRDefault="00180F31" w:rsidP="00251F01">
      <w:pPr>
        <w:jc w:val="both"/>
      </w:pPr>
    </w:p>
    <w:p w14:paraId="03A0F349" w14:textId="05D5B928" w:rsidR="00180F31" w:rsidRDefault="00467D63" w:rsidP="00251F01">
      <w:pPr>
        <w:jc w:val="both"/>
      </w:pPr>
      <w:r w:rsidRPr="00467D63">
        <w:rPr>
          <w:noProof/>
        </w:rPr>
        <w:drawing>
          <wp:inline distT="0" distB="0" distL="0" distR="0" wp14:anchorId="69C69EAB" wp14:editId="467B5E19">
            <wp:extent cx="5746750" cy="12192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6750" cy="1219200"/>
                    </a:xfrm>
                    <a:prstGeom prst="rect">
                      <a:avLst/>
                    </a:prstGeom>
                    <a:noFill/>
                    <a:ln>
                      <a:noFill/>
                    </a:ln>
                  </pic:spPr>
                </pic:pic>
              </a:graphicData>
            </a:graphic>
          </wp:inline>
        </w:drawing>
      </w:r>
    </w:p>
    <w:p w14:paraId="2FB1AE54" w14:textId="4E7992B9" w:rsidR="005C0905" w:rsidRDefault="005C0905" w:rsidP="00251F01">
      <w:pPr>
        <w:jc w:val="both"/>
      </w:pPr>
    </w:p>
    <w:p w14:paraId="5BD75150" w14:textId="7ECB345D" w:rsidR="005C0905" w:rsidRPr="00A84421" w:rsidRDefault="005C0905" w:rsidP="005C0905">
      <w:pPr>
        <w:jc w:val="center"/>
        <w:rPr>
          <w:rFonts w:ascii="Arial" w:hAnsi="Arial" w:cs="Arial"/>
          <w:b/>
          <w:bCs/>
          <w:u w:val="single"/>
        </w:rPr>
      </w:pPr>
      <w:r>
        <w:rPr>
          <w:rFonts w:ascii="Arial" w:hAnsi="Arial" w:cs="Arial"/>
          <w:b/>
          <w:bCs/>
          <w:u w:val="single"/>
        </w:rPr>
        <w:t>Figure 2a – Alt 2-1 for SCell to PCell scheduling</w:t>
      </w:r>
    </w:p>
    <w:p w14:paraId="28FEA49E" w14:textId="77777777" w:rsidR="005C0905" w:rsidRDefault="005C0905" w:rsidP="00251F01">
      <w:pPr>
        <w:jc w:val="both"/>
      </w:pPr>
    </w:p>
    <w:p w14:paraId="3457E9F8" w14:textId="75D075F9" w:rsidR="005C0905" w:rsidRDefault="005C0905" w:rsidP="00251F01">
      <w:pPr>
        <w:jc w:val="both"/>
      </w:pPr>
      <w:r>
        <w:t>Figure 2b illustrates Alt2-2</w:t>
      </w:r>
      <w:r w:rsidR="00F04574">
        <w:t xml:space="preserve">. With this alternative, the </w:t>
      </w:r>
      <w:r w:rsidR="00FD4953">
        <w:t xml:space="preserve">PDCCH monitoring for the </w:t>
      </w:r>
      <w:r w:rsidR="00F04574">
        <w:t xml:space="preserve">USS that schedules PCell PDSCH/PUSCH </w:t>
      </w:r>
      <w:r w:rsidR="009C6877">
        <w:t xml:space="preserve">has to be </w:t>
      </w:r>
      <w:r w:rsidR="00F04574">
        <w:t>switched between PCell and sSCell</w:t>
      </w:r>
      <w:r w:rsidR="003F74FA">
        <w:t xml:space="preserve">. </w:t>
      </w:r>
      <w:r w:rsidR="009C6877">
        <w:t xml:space="preserve">Taking the example in previous figure, if  (s-p) scheduling is needed from PCell slot b </w:t>
      </w:r>
      <w:r w:rsidR="006A4168">
        <w:t xml:space="preserve">(e.g. </w:t>
      </w:r>
      <w:r w:rsidR="009C6877">
        <w:t xml:space="preserve">due to lack of </w:t>
      </w:r>
      <w:r w:rsidR="009B1DAE">
        <w:t xml:space="preserve">PCell </w:t>
      </w:r>
      <w:r w:rsidR="009C6877">
        <w:t>PDCCH resources</w:t>
      </w:r>
      <w:r w:rsidR="006A4168">
        <w:t>)</w:t>
      </w:r>
      <w:r w:rsidR="009C6877">
        <w:t xml:space="preserve">, a switching command has to be sent to the UE (e.g. by L1 or MAC signaling on sSCell or using the next available </w:t>
      </w:r>
      <w:r w:rsidR="009B1DAE">
        <w:t>PDCCH resource</w:t>
      </w:r>
      <w:r w:rsidR="009C6877">
        <w:t xml:space="preserve"> on PCell). Similarly, another switching command is needed to revert to (p-p) scheduling when sSCell PDCCH is not available</w:t>
      </w:r>
      <w:r w:rsidR="009B1DAE">
        <w:t xml:space="preserve"> (e.g. by using the next available PDCCH resource on PCell). Implicit SS set switching e.g. based on activation/deactivation of sScell was also discussed as another possible option for the switching.</w:t>
      </w:r>
      <w:r w:rsidR="00CD6F7D">
        <w:t xml:space="preserve"> This option </w:t>
      </w:r>
      <w:r w:rsidR="009B1DAE">
        <w:t>impacts PCell scheduling during the switching instances (extent of impact depends on switching delay</w:t>
      </w:r>
      <w:r w:rsidR="005414B0">
        <w:t xml:space="preserve"> and availability of resources to send switching commands</w:t>
      </w:r>
      <w:r w:rsidR="009B1DAE">
        <w:t>)</w:t>
      </w:r>
      <w:r w:rsidR="00CD6F7D">
        <w:t>. It also requires specification of switching mechanism(s)</w:t>
      </w:r>
      <w:r w:rsidR="009B1DAE">
        <w:t xml:space="preserve">. </w:t>
      </w:r>
    </w:p>
    <w:p w14:paraId="3B54E9A5" w14:textId="439427EC" w:rsidR="00F04574" w:rsidRDefault="00F04574" w:rsidP="00251F01">
      <w:pPr>
        <w:jc w:val="both"/>
      </w:pPr>
    </w:p>
    <w:p w14:paraId="25CC5F6E" w14:textId="00DE26B8" w:rsidR="00F04574" w:rsidRDefault="00467D63" w:rsidP="00251F01">
      <w:pPr>
        <w:jc w:val="both"/>
      </w:pPr>
      <w:r w:rsidRPr="00467D63">
        <w:rPr>
          <w:noProof/>
        </w:rPr>
        <w:drawing>
          <wp:inline distT="0" distB="0" distL="0" distR="0" wp14:anchorId="4A44543F" wp14:editId="059D5BFA">
            <wp:extent cx="5746750" cy="11239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6750" cy="1123950"/>
                    </a:xfrm>
                    <a:prstGeom prst="rect">
                      <a:avLst/>
                    </a:prstGeom>
                    <a:noFill/>
                    <a:ln>
                      <a:noFill/>
                    </a:ln>
                  </pic:spPr>
                </pic:pic>
              </a:graphicData>
            </a:graphic>
          </wp:inline>
        </w:drawing>
      </w:r>
    </w:p>
    <w:p w14:paraId="36F7B39D" w14:textId="57B24DB9" w:rsidR="00F04574" w:rsidRDefault="00F04574" w:rsidP="00251F01">
      <w:pPr>
        <w:jc w:val="both"/>
      </w:pPr>
    </w:p>
    <w:p w14:paraId="5F1D23DB" w14:textId="699C1E18" w:rsidR="00184496" w:rsidRPr="00A84421" w:rsidRDefault="00184496" w:rsidP="00184496">
      <w:pPr>
        <w:jc w:val="center"/>
        <w:rPr>
          <w:rFonts w:ascii="Arial" w:hAnsi="Arial" w:cs="Arial"/>
          <w:b/>
          <w:bCs/>
          <w:u w:val="single"/>
        </w:rPr>
      </w:pPr>
      <w:r>
        <w:rPr>
          <w:rFonts w:ascii="Arial" w:hAnsi="Arial" w:cs="Arial"/>
          <w:b/>
          <w:bCs/>
          <w:u w:val="single"/>
        </w:rPr>
        <w:t>Figure 2b – Alt 2-2 for SCell to PCell scheduling</w:t>
      </w:r>
    </w:p>
    <w:p w14:paraId="6E5C9B2E" w14:textId="77777777" w:rsidR="00F04574" w:rsidRDefault="00F04574" w:rsidP="00251F01">
      <w:pPr>
        <w:jc w:val="both"/>
      </w:pPr>
    </w:p>
    <w:p w14:paraId="783DCE4A" w14:textId="08D7DC8B" w:rsidR="00184496" w:rsidRDefault="00184496" w:rsidP="00B17913">
      <w:pPr>
        <w:jc w:val="both"/>
      </w:pPr>
      <w:r>
        <w:t>Figure 2c illustrates Alt2-</w:t>
      </w:r>
      <w:r w:rsidR="004D4D07">
        <w:t>4</w:t>
      </w:r>
      <w:r>
        <w:t xml:space="preserve">. </w:t>
      </w:r>
      <w:r w:rsidR="004D4D07">
        <w:t>This alternative is similar to 2-1 ex</w:t>
      </w:r>
      <w:r w:rsidR="008F0F12">
        <w:t>cept</w:t>
      </w:r>
      <w:r w:rsidR="004D4D07">
        <w:t xml:space="preserve"> that it restricts the USS configurations to only those that do not require the UE to simultaneously monitor non-fallback</w:t>
      </w:r>
      <w:r w:rsidR="004D4D07" w:rsidRPr="004D4D07">
        <w:t xml:space="preserve"> DCI formats on both PCell USS set(s) and sSCell USS set(s)</w:t>
      </w:r>
      <w:r w:rsidR="004D4D07">
        <w:t>.</w:t>
      </w:r>
      <w:r w:rsidR="008F0F12">
        <w:t xml:space="preserve"> </w:t>
      </w:r>
    </w:p>
    <w:p w14:paraId="17B98EE6" w14:textId="44ABC9B9" w:rsidR="004D4D07" w:rsidRDefault="004D4D07" w:rsidP="00B17913">
      <w:pPr>
        <w:jc w:val="both"/>
      </w:pPr>
    </w:p>
    <w:p w14:paraId="0D669294" w14:textId="337C3A2A" w:rsidR="004D4D07" w:rsidRDefault="00467D63" w:rsidP="00B17913">
      <w:pPr>
        <w:jc w:val="both"/>
      </w:pPr>
      <w:r w:rsidRPr="00467D63">
        <w:rPr>
          <w:noProof/>
        </w:rPr>
        <w:drawing>
          <wp:inline distT="0" distB="0" distL="0" distR="0" wp14:anchorId="14CCBB08" wp14:editId="0C6901F1">
            <wp:extent cx="5746750" cy="1231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6750" cy="1231900"/>
                    </a:xfrm>
                    <a:prstGeom prst="rect">
                      <a:avLst/>
                    </a:prstGeom>
                    <a:noFill/>
                    <a:ln>
                      <a:noFill/>
                    </a:ln>
                  </pic:spPr>
                </pic:pic>
              </a:graphicData>
            </a:graphic>
          </wp:inline>
        </w:drawing>
      </w:r>
    </w:p>
    <w:p w14:paraId="3FE8CCFC" w14:textId="77777777" w:rsidR="00184496" w:rsidRDefault="00184496" w:rsidP="00B17913">
      <w:pPr>
        <w:jc w:val="both"/>
      </w:pPr>
    </w:p>
    <w:p w14:paraId="306B79FD" w14:textId="47DD9820" w:rsidR="004D4D07" w:rsidRPr="00A84421" w:rsidRDefault="004D4D07" w:rsidP="004D4D07">
      <w:pPr>
        <w:jc w:val="center"/>
        <w:rPr>
          <w:rFonts w:ascii="Arial" w:hAnsi="Arial" w:cs="Arial"/>
          <w:b/>
          <w:bCs/>
          <w:u w:val="single"/>
        </w:rPr>
      </w:pPr>
      <w:r>
        <w:rPr>
          <w:rFonts w:ascii="Arial" w:hAnsi="Arial" w:cs="Arial"/>
          <w:b/>
          <w:bCs/>
          <w:u w:val="single"/>
        </w:rPr>
        <w:t>Figure 2c – Alt 2-4 for SCell to PCell scheduling</w:t>
      </w:r>
    </w:p>
    <w:p w14:paraId="7BE6BF29" w14:textId="77777777" w:rsidR="004D4D07" w:rsidRDefault="004D4D07" w:rsidP="00B17913">
      <w:pPr>
        <w:jc w:val="both"/>
      </w:pPr>
    </w:p>
    <w:p w14:paraId="4DDCDB6A" w14:textId="093B14B7" w:rsidR="00BB1EE2" w:rsidRDefault="00BB1EE2" w:rsidP="00BB1EE2">
      <w:pPr>
        <w:jc w:val="both"/>
      </w:pPr>
      <w:r>
        <w:lastRenderedPageBreak/>
        <w:t xml:space="preserve">As seen from the above figure, at least for some combinations (i.e., PCell 15kHz SCS and sSCell 30kHZ SCS), this alternative also allows SCell to PCell scheduling with minimal impact on PCell operation (i.e., similar to Alt 2-1). However, the </w:t>
      </w:r>
      <w:r w:rsidR="006132DF">
        <w:t>motivation</w:t>
      </w:r>
      <w:r>
        <w:t xml:space="preserve"> for the configuration restriction is unclear. From implementation perspective, </w:t>
      </w:r>
      <w:r w:rsidR="0053674D">
        <w:t xml:space="preserve">for CA, </w:t>
      </w:r>
      <w:r>
        <w:t>simultaneous monitoring of PDCCH candidates on both PCell and SCell</w:t>
      </w:r>
      <w:r w:rsidR="0053674D">
        <w:t>(s)</w:t>
      </w:r>
      <w:r>
        <w:t xml:space="preserve"> is anyway required (i.e., the USS candidates for sSCell self-scheduling and PCell self-scheduling can already over-lap in time per Rel15/Rel16 framework</w:t>
      </w:r>
      <w:r w:rsidR="0053674D">
        <w:t xml:space="preserve"> and Rel17 agreements</w:t>
      </w:r>
      <w:r>
        <w:t xml:space="preserve">). Given this, adding a constraint only for the (s-p) </w:t>
      </w:r>
      <w:r w:rsidR="0053674D">
        <w:t xml:space="preserve">USS </w:t>
      </w:r>
      <w:r>
        <w:t xml:space="preserve">candidates appears artificial. </w:t>
      </w:r>
      <w:r w:rsidR="006132DF">
        <w:t>One consequence of the restriction is that it forces uneven allocation of PDCCH BD candidates between different sSCell slots</w:t>
      </w:r>
      <w:r w:rsidR="005F545F">
        <w:t xml:space="preserve"> which complicates scheduling on sScell especially </w:t>
      </w:r>
      <w:r w:rsidR="006132DF">
        <w:t xml:space="preserve">in scenarios where </w:t>
      </w:r>
      <w:r>
        <w:t xml:space="preserve">the UE is configured with additional SCells </w:t>
      </w:r>
      <w:r w:rsidR="006132DF">
        <w:t xml:space="preserve">(e.g. 4 or 8 FR2 cells) </w:t>
      </w:r>
      <w:r>
        <w:t>for which the sSCell serves as scheduling cell</w:t>
      </w:r>
      <w:r w:rsidR="006132DF">
        <w:t>. Considering this, Alt 2-1 is preferable over Alt 2</w:t>
      </w:r>
      <w:r w:rsidR="00131BC2">
        <w:t>-</w:t>
      </w:r>
      <w:r w:rsidR="006132DF">
        <w:t>4 unless the constraint</w:t>
      </w:r>
      <w:r w:rsidR="0053674D">
        <w:t>s related to Alt 2-4</w:t>
      </w:r>
      <w:r w:rsidR="006132DF">
        <w:t xml:space="preserve"> can be clearly motivated</w:t>
      </w:r>
      <w:r w:rsidR="00102B2B">
        <w:t>.</w:t>
      </w:r>
    </w:p>
    <w:p w14:paraId="0F36C7EA" w14:textId="43A0128E" w:rsidR="00102B2B" w:rsidRDefault="00102B2B" w:rsidP="00BB1EE2">
      <w:pPr>
        <w:jc w:val="both"/>
      </w:pPr>
    </w:p>
    <w:p w14:paraId="07AEE6D5" w14:textId="67CAF98C" w:rsidR="00131BC2" w:rsidRDefault="00131BC2" w:rsidP="00131BC2">
      <w:pPr>
        <w:jc w:val="both"/>
        <w:rPr>
          <w:b/>
          <w:bCs/>
          <w:u w:val="single"/>
        </w:rPr>
      </w:pPr>
      <w:r>
        <w:rPr>
          <w:b/>
          <w:bCs/>
          <w:u w:val="single"/>
        </w:rPr>
        <w:t>Proposal</w:t>
      </w:r>
      <w:r w:rsidRPr="004377CC">
        <w:rPr>
          <w:b/>
          <w:bCs/>
          <w:u w:val="single"/>
        </w:rPr>
        <w:t xml:space="preserve"> </w:t>
      </w:r>
      <w:r>
        <w:rPr>
          <w:b/>
          <w:bCs/>
          <w:u w:val="single"/>
        </w:rPr>
        <w:t>1</w:t>
      </w:r>
    </w:p>
    <w:p w14:paraId="5BDA1FAA" w14:textId="12358DFC" w:rsidR="00131BC2" w:rsidRPr="00FF18D4" w:rsidRDefault="00131BC2" w:rsidP="00131BC2">
      <w:pPr>
        <w:pStyle w:val="ListParagraph"/>
        <w:numPr>
          <w:ilvl w:val="0"/>
          <w:numId w:val="28"/>
        </w:numPr>
        <w:jc w:val="both"/>
        <w:rPr>
          <w:i/>
          <w:iCs/>
        </w:rPr>
      </w:pPr>
      <w:r w:rsidRPr="002B3491">
        <w:rPr>
          <w:i/>
          <w:iCs/>
        </w:rPr>
        <w:t>Support Alt-2</w:t>
      </w:r>
      <w:r>
        <w:rPr>
          <w:i/>
          <w:iCs/>
        </w:rPr>
        <w:t>-1</w:t>
      </w:r>
      <w:r w:rsidRPr="002B3491">
        <w:rPr>
          <w:i/>
          <w:iCs/>
        </w:rPr>
        <w:t xml:space="preserve"> for PDCCH </w:t>
      </w:r>
      <w:r w:rsidR="0041590D">
        <w:rPr>
          <w:i/>
          <w:iCs/>
        </w:rPr>
        <w:t xml:space="preserve">non-fallback </w:t>
      </w:r>
      <w:r>
        <w:rPr>
          <w:i/>
          <w:iCs/>
        </w:rPr>
        <w:t>USS</w:t>
      </w:r>
      <w:r w:rsidRPr="002B3491">
        <w:rPr>
          <w:i/>
          <w:iCs/>
        </w:rPr>
        <w:t xml:space="preserve"> handling when CCS from sSCell to primary cell is configured</w:t>
      </w:r>
    </w:p>
    <w:p w14:paraId="74797D52" w14:textId="77777777" w:rsidR="008D328C" w:rsidRPr="008D328C" w:rsidRDefault="008D328C" w:rsidP="008D328C">
      <w:pPr>
        <w:pStyle w:val="ListParagraph"/>
        <w:numPr>
          <w:ilvl w:val="1"/>
          <w:numId w:val="28"/>
        </w:numPr>
        <w:jc w:val="both"/>
        <w:rPr>
          <w:i/>
          <w:iCs/>
          <w:lang w:eastAsia="zh-CN"/>
        </w:rPr>
      </w:pPr>
      <w:r w:rsidRPr="008D328C">
        <w:rPr>
          <w:i/>
          <w:iCs/>
          <w:lang w:eastAsia="zh-CN"/>
        </w:rPr>
        <w:t xml:space="preserve">Note : </w:t>
      </w:r>
      <w:r w:rsidRPr="008D328C">
        <w:rPr>
          <w:i/>
          <w:iCs/>
        </w:rPr>
        <w:t xml:space="preserve">As discussed in RAN1#103-e, Alt 2-1 =&gt;When sSCell to primary cell CCS is configured, UE can monitor </w:t>
      </w:r>
      <w:r w:rsidRPr="008D328C">
        <w:rPr>
          <w:i/>
          <w:iCs/>
          <w:lang w:eastAsia="zh-CN"/>
        </w:rPr>
        <w:t xml:space="preserve">‘DCI formats 0_1,1_1,0_2,1_2 scheduling PDSCH/PUSCH on PCell/PSCell’ </w:t>
      </w:r>
      <w:r w:rsidRPr="008D328C">
        <w:rPr>
          <w:i/>
          <w:iCs/>
        </w:rPr>
        <w:t>on both PCell USS set(s) and sSCell USS sets simultaneously</w:t>
      </w:r>
    </w:p>
    <w:p w14:paraId="753BA710" w14:textId="77777777" w:rsidR="00131BC2" w:rsidRPr="00B7630C" w:rsidRDefault="00131BC2" w:rsidP="00131BC2">
      <w:pPr>
        <w:jc w:val="both"/>
        <w:rPr>
          <w:i/>
          <w:iCs/>
          <w:lang w:eastAsia="zh-CN"/>
        </w:rPr>
      </w:pPr>
    </w:p>
    <w:p w14:paraId="1B5173AA" w14:textId="315A2554" w:rsidR="00950250" w:rsidRDefault="00950250" w:rsidP="00950250">
      <w:pPr>
        <w:pStyle w:val="Heading2"/>
        <w:rPr>
          <w:u w:val="single"/>
        </w:rPr>
      </w:pPr>
      <w:r>
        <w:rPr>
          <w:u w:val="single"/>
        </w:rPr>
        <w:t>BD/CCE limit handling</w:t>
      </w:r>
    </w:p>
    <w:p w14:paraId="6A56DF8E" w14:textId="1BBFC57D" w:rsidR="00082EE7" w:rsidRPr="007D33DC" w:rsidRDefault="00082EE7" w:rsidP="00DA4216">
      <w:pPr>
        <w:pStyle w:val="BodyText"/>
      </w:pPr>
      <w:r>
        <w:t xml:space="preserve">We first discuss cases </w:t>
      </w:r>
      <w:r w:rsidR="00E43B12">
        <w:t xml:space="preserve">considering the per-slot limits (e.g. </w:t>
      </w:r>
      <w:r>
        <w:t>where UE</w:t>
      </w:r>
      <w:r w:rsidR="00DA4216">
        <w:t xml:space="preserve"> </w:t>
      </w:r>
      <w:r>
        <w:t xml:space="preserve">is not provided </w:t>
      </w:r>
      <w:r>
        <w:rPr>
          <w:i/>
        </w:rPr>
        <w:t>monitoringCapabilityConfig-r16</w:t>
      </w:r>
      <w:r w:rsidR="00E43B12">
        <w:rPr>
          <w:i/>
        </w:rPr>
        <w:t>)</w:t>
      </w:r>
      <w:r w:rsidR="007D33DC">
        <w:rPr>
          <w:iCs/>
        </w:rPr>
        <w:t>.</w:t>
      </w:r>
    </w:p>
    <w:p w14:paraId="575DE885" w14:textId="69347323" w:rsidR="00D84E76" w:rsidRDefault="00D84E76" w:rsidP="00D84E76">
      <w:pPr>
        <w:pStyle w:val="BodyText"/>
      </w:pPr>
      <w:r>
        <w:t>For these cases, according to current specs</w:t>
      </w:r>
      <w:r w:rsidR="00016150">
        <w:t>,</w:t>
      </w:r>
    </w:p>
    <w:p w14:paraId="657DCAC5" w14:textId="77777777" w:rsidR="00D84E76" w:rsidRPr="00AE6C58" w:rsidRDefault="00D84E76" w:rsidP="00D84E76">
      <w:pPr>
        <w:ind w:left="630"/>
        <w:rPr>
          <w:rFonts w:eastAsiaTheme="minorEastAsia"/>
          <w:szCs w:val="20"/>
        </w:rPr>
      </w:pPr>
      <w:r w:rsidRPr="00AE6C58">
        <w:t xml:space="preserve">If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e>
        </m:nary>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p>
    <w:p w14:paraId="25D8CAEC" w14:textId="77777777" w:rsidR="00D84E76" w:rsidRPr="00AE6C58" w:rsidRDefault="00D84E76" w:rsidP="00D84E76">
      <w:pPr>
        <w:ind w:left="1260"/>
        <w:rPr>
          <w:rFonts w:eastAsiaTheme="minorEastAsia"/>
        </w:rPr>
      </w:pPr>
    </w:p>
    <w:p w14:paraId="08ED9408" w14:textId="77777777" w:rsidR="00D84E76" w:rsidRPr="00AE6C58" w:rsidRDefault="00D84E76" w:rsidP="00D84E76">
      <w:pPr>
        <w:ind w:left="1260"/>
        <w:rPr>
          <w:rFonts w:eastAsiaTheme="minorEastAsia"/>
        </w:rPr>
      </w:pPr>
      <w:r w:rsidRPr="00AE6C58">
        <w:rPr>
          <w:rFonts w:eastAsiaTheme="minorEastAsia"/>
        </w:rPr>
        <w:t xml:space="preserve">For a scheduling cell </w:t>
      </w:r>
      <w:r w:rsidRPr="00AE6C58">
        <w:t xml:space="preserve">having SCS configuration </w:t>
      </w:r>
      <w:r w:rsidRPr="00AE6C58">
        <w:rPr>
          <w:position w:val="-10"/>
          <w:szCs w:val="20"/>
          <w:lang w:val="en-GB"/>
        </w:rPr>
        <w:object w:dxaOrig="310" w:dyaOrig="310" w14:anchorId="777F8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5" o:title=""/>
          </v:shape>
          <o:OLEObject Type="Embed" ProgID="Equation.3" ShapeID="_x0000_i1025" DrawAspect="Content" ObjectID="_1679252741" r:id="rId16"/>
        </w:object>
      </w:r>
      <w:r w:rsidRPr="00AE6C58">
        <w:rPr>
          <w:rFonts w:eastAsiaTheme="minorEastAsia"/>
        </w:rPr>
        <w:t xml:space="preserve">, UE is not required to monitor more than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E6C58">
        <w:rPr>
          <w:rFonts w:eastAsiaTheme="minorEastAsia"/>
        </w:rPr>
        <w:t xml:space="preserve">  PDCCH candidates on the active DL BWP of the scheduling cell, where </w:t>
      </w:r>
    </w:p>
    <w:p w14:paraId="1D54B7A6" w14:textId="77777777" w:rsidR="00D84E76" w:rsidRPr="00AE6C58" w:rsidRDefault="004F589C" w:rsidP="00D84E76">
      <w:pPr>
        <w:ind w:left="1980"/>
        <w:rPr>
          <w:rFonts w:eastAsiaTheme="minorEastAsia"/>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D84E76" w:rsidRPr="00AE6C58">
        <w:rPr>
          <w:rFonts w:eastAsiaTheme="minorEastAsia"/>
        </w:rPr>
        <w:t xml:space="preserve"> for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p>
    <w:p w14:paraId="56160C62" w14:textId="77777777" w:rsidR="00D84E76" w:rsidRPr="00AE6C58" w:rsidRDefault="004F589C" w:rsidP="00D84E76">
      <w:pPr>
        <w:ind w:left="1980"/>
        <w:rPr>
          <w:rFonts w:eastAsiaTheme="minorEastAsia"/>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D84E76" w:rsidRPr="00AE6C58">
        <w:rPr>
          <w:rFonts w:eastAsiaTheme="minorEastAsia"/>
        </w:rPr>
        <w:t xml:space="preserve"> for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p>
    <w:p w14:paraId="26E5E478" w14:textId="77777777" w:rsidR="00D84E76" w:rsidRPr="00AE6C58" w:rsidRDefault="00D84E76" w:rsidP="00D84E76">
      <w:pPr>
        <w:ind w:left="1980"/>
      </w:pPr>
    </w:p>
    <w:p w14:paraId="5C7A9367" w14:textId="77777777" w:rsidR="00D84E76" w:rsidRPr="00AE6C58" w:rsidRDefault="00D84E76" w:rsidP="00D84E76">
      <w:pPr>
        <w:ind w:left="630"/>
        <w:rPr>
          <w:rFonts w:eastAsiaTheme="minorEastAsia"/>
        </w:rPr>
      </w:pPr>
      <w:r w:rsidRPr="00AE6C58">
        <w:t xml:space="preserve">If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p>
    <w:p w14:paraId="6575BF04" w14:textId="77777777" w:rsidR="00D84E76" w:rsidRPr="00AE6C58" w:rsidRDefault="00D84E76" w:rsidP="00D84E76">
      <w:pPr>
        <w:ind w:left="1260"/>
        <w:rPr>
          <w:rFonts w:eastAsiaTheme="minorEastAsia"/>
        </w:rPr>
      </w:pPr>
      <w:r w:rsidRPr="00AE6C58">
        <w:rPr>
          <w:rFonts w:eastAsiaTheme="minorEastAsia"/>
        </w:rPr>
        <w:t xml:space="preserve">For scheduling cell(s)  </w:t>
      </w:r>
      <w:r w:rsidRPr="00AE6C58">
        <w:t xml:space="preserve">having SCS configuration </w:t>
      </w:r>
      <w:r w:rsidRPr="00AE6C58">
        <w:rPr>
          <w:position w:val="-10"/>
          <w:szCs w:val="20"/>
          <w:lang w:val="en-GB"/>
        </w:rPr>
        <w:object w:dxaOrig="310" w:dyaOrig="310" w14:anchorId="72CF408C">
          <v:shape id="_x0000_i1026" type="#_x0000_t75" style="width:15.5pt;height:15.5pt" o:ole="">
            <v:imagedata r:id="rId15" o:title=""/>
          </v:shape>
          <o:OLEObject Type="Embed" ProgID="Equation.3" ShapeID="_x0000_i1026" DrawAspect="Content" ObjectID="_1679252742" r:id="rId17"/>
        </w:object>
      </w:r>
      <w:r w:rsidRPr="00AE6C58">
        <w:rPr>
          <w:rFonts w:eastAsiaTheme="minorEastAsia"/>
        </w:rPr>
        <w:t xml:space="preserve">from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 xml:space="preserve"> </m:t>
        </m:r>
      </m:oMath>
      <w:r w:rsidRPr="00AE6C58">
        <w:rPr>
          <w:rFonts w:eastAsiaTheme="minorEastAsia"/>
        </w:rPr>
        <w:t xml:space="preserve"> downlink cells, UE is not required to monitor more than a total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E6C58">
        <w:rPr>
          <w:rFonts w:eastAsiaTheme="minorEastAsia"/>
        </w:rPr>
        <w:t xml:space="preserve">  PDCCH candidates on the active DL BWP(s) of the scheduling cell(s) where </w:t>
      </w:r>
    </w:p>
    <w:p w14:paraId="712DEC2B" w14:textId="77777777" w:rsidR="00D84E76" w:rsidRPr="00AE6C58" w:rsidRDefault="004F589C" w:rsidP="00D84E76">
      <w:pPr>
        <w:ind w:left="1980"/>
        <w:rPr>
          <w:lang w:eastAsia="ko-KR"/>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D84E76" w:rsidRPr="00AE6C58">
        <w:rPr>
          <w:lang w:eastAsia="ko-KR"/>
        </w:rPr>
        <w:t xml:space="preserve"> </w:t>
      </w:r>
    </w:p>
    <w:p w14:paraId="09CA2729" w14:textId="77777777" w:rsidR="00D84E76" w:rsidRPr="00AE6C58" w:rsidRDefault="00D84E76" w:rsidP="00D84E76">
      <w:pPr>
        <w:ind w:left="1260"/>
      </w:pPr>
      <w:r w:rsidRPr="00AE6C58">
        <w:t xml:space="preserve">and, for each scheduled cell, UE is not required to monitor more than below BDs on the </w:t>
      </w:r>
      <w:r w:rsidRPr="00AE6C58">
        <w:rPr>
          <w:rFonts w:eastAsiaTheme="minorEastAsia"/>
        </w:rPr>
        <w:t xml:space="preserve">active DL BWP of the scheduling cell </w:t>
      </w:r>
      <w:r w:rsidRPr="00AE6C58">
        <w:t xml:space="preserve">having SCS configuration </w:t>
      </w:r>
      <w:r w:rsidRPr="00AE6C58">
        <w:rPr>
          <w:position w:val="-10"/>
          <w:szCs w:val="20"/>
          <w:lang w:val="en-GB"/>
        </w:rPr>
        <w:object w:dxaOrig="310" w:dyaOrig="310" w14:anchorId="13EC2616">
          <v:shape id="_x0000_i1027" type="#_x0000_t75" style="width:15.5pt;height:15.5pt" o:ole="">
            <v:imagedata r:id="rId15" o:title=""/>
          </v:shape>
          <o:OLEObject Type="Embed" ProgID="Equation.3" ShapeID="_x0000_i1027" DrawAspect="Content" ObjectID="_1679252743" r:id="rId18"/>
        </w:object>
      </w:r>
    </w:p>
    <w:p w14:paraId="2B4CF4FC" w14:textId="77777777" w:rsidR="00D84E76" w:rsidRPr="00AE6C58" w:rsidRDefault="00D84E76" w:rsidP="00AE6C58">
      <w:pPr>
        <w:ind w:left="720" w:firstLine="720"/>
        <w:rPr>
          <w:rFonts w:eastAsiaTheme="minorEastAsia"/>
        </w:rPr>
      </w:pPr>
      <w:r w:rsidRPr="00AE6C58">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E6C58">
        <w:t xml:space="preserve">   </w:t>
      </w:r>
      <w:r w:rsidRPr="00AE6C58">
        <w:rPr>
          <w:rFonts w:eastAsiaTheme="minorEastAsia"/>
        </w:rPr>
        <w:t xml:space="preserve">for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p>
    <w:p w14:paraId="425F3E04" w14:textId="77777777" w:rsidR="00D84E76" w:rsidRPr="00AE6C58" w:rsidRDefault="00D84E76" w:rsidP="00AE6C58">
      <w:pPr>
        <w:ind w:left="720" w:firstLine="720"/>
        <w:rPr>
          <w:rFonts w:eastAsiaTheme="minorEastAsia"/>
        </w:rPr>
      </w:pPr>
      <w:r w:rsidRPr="00AE6C58">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γ∙M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E6C58">
        <w:t xml:space="preserve"> </w:t>
      </w:r>
      <w:r w:rsidRPr="00AE6C58">
        <w:rPr>
          <w:rFonts w:eastAsiaTheme="minorEastAsia"/>
        </w:rPr>
        <w:t xml:space="preserve">for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p>
    <w:p w14:paraId="5ADAEA74" w14:textId="77777777" w:rsidR="00D84E76" w:rsidRPr="00AE6C58" w:rsidRDefault="004F589C" w:rsidP="00AE6C58">
      <w:pPr>
        <w:ind w:left="1440" w:firstLine="720"/>
        <w:rPr>
          <w:rFonts w:eastAsiaTheme="minorEastAsia"/>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D84E76" w:rsidRPr="00AE6C58">
        <w:rPr>
          <w:rFonts w:eastAsiaTheme="minorEastAsia"/>
        </w:rPr>
        <w:t xml:space="preserve"> for same </w:t>
      </w:r>
      <w:r w:rsidR="00D84E76" w:rsidRPr="00AE6C58">
        <w:rPr>
          <w:i/>
          <w:iCs/>
        </w:rPr>
        <w:t>CORESETPoolIndex</w:t>
      </w:r>
      <w:r w:rsidR="00D84E76" w:rsidRPr="00AE6C58">
        <w:t xml:space="preserve"> value</w:t>
      </w:r>
      <w:r w:rsidR="00D84E76" w:rsidRPr="00AE6C58">
        <w:rPr>
          <w:rFonts w:eastAsiaTheme="minorEastAsia"/>
        </w:rPr>
        <w:t xml:space="preserve">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p>
    <w:p w14:paraId="09EB012A" w14:textId="77777777" w:rsidR="00AE6C58" w:rsidRDefault="00AE6C58" w:rsidP="00D84E76">
      <w:pPr>
        <w:rPr>
          <w:rFonts w:eastAsiaTheme="minorEastAsia" w:cs="Arial"/>
        </w:rPr>
      </w:pPr>
    </w:p>
    <w:p w14:paraId="1B615D87" w14:textId="2AF7AF53" w:rsidR="00D84E76" w:rsidRDefault="00AE6C58" w:rsidP="00D71C3E">
      <w:pPr>
        <w:jc w:val="both"/>
        <w:rPr>
          <w:color w:val="000000"/>
          <w:szCs w:val="20"/>
          <w:lang w:eastAsia="zh-CN"/>
        </w:rPr>
      </w:pPr>
      <w:r>
        <w:rPr>
          <w:rFonts w:eastAsiaTheme="minorEastAsia" w:cs="Arial"/>
        </w:rPr>
        <w:t xml:space="preserve">Where </w:t>
      </w:r>
      <m:oMath>
        <m:r>
          <w:rPr>
            <w:rFonts w:ascii="Cambria Math" w:hAnsi="Cambria Math"/>
            <w:szCs w:val="20"/>
          </w:rPr>
          <m:t>γ</m:t>
        </m:r>
      </m:oMath>
      <w:r>
        <w:rPr>
          <w:rFonts w:eastAsiaTheme="minorEastAsia" w:cs="Arial"/>
          <w:szCs w:val="20"/>
        </w:rPr>
        <w:t xml:space="preserve"> is </w:t>
      </w:r>
      <w:r>
        <w:rPr>
          <w:color w:val="000000"/>
          <w:szCs w:val="20"/>
          <w:lang w:eastAsia="zh-CN"/>
        </w:rPr>
        <w:t xml:space="preserve">is related to multi-TRP operation. If the UE has to receive PDCCHs that schedule PDSCH on a CC from separate TRPs (i.e., </w:t>
      </w:r>
      <w:r w:rsidR="00016150">
        <w:rPr>
          <w:color w:val="000000"/>
          <w:szCs w:val="20"/>
          <w:lang w:eastAsia="zh-CN"/>
        </w:rPr>
        <w:t xml:space="preserve">CORESET pools with </w:t>
      </w:r>
      <w:r>
        <w:rPr>
          <w:color w:val="000000"/>
          <w:szCs w:val="20"/>
          <w:lang w:eastAsia="zh-CN"/>
        </w:rPr>
        <w:t xml:space="preserve">different </w:t>
      </w:r>
      <w:r w:rsidR="00016150">
        <w:rPr>
          <w:color w:val="000000"/>
          <w:szCs w:val="20"/>
          <w:lang w:eastAsia="zh-CN"/>
        </w:rPr>
        <w:t>index values</w:t>
      </w:r>
      <w:r>
        <w:rPr>
          <w:color w:val="000000"/>
          <w:szCs w:val="20"/>
          <w:lang w:eastAsia="zh-CN"/>
        </w:rPr>
        <w:t xml:space="preserve">), specs allow </w:t>
      </w:r>
      <w:r w:rsidR="003D1570">
        <w:rPr>
          <w:color w:val="000000"/>
          <w:szCs w:val="20"/>
          <w:lang w:eastAsia="zh-CN"/>
        </w:rPr>
        <w:t xml:space="preserve">increased provisioning of BD/CCEs for that CC if the UE indicates </w:t>
      </w:r>
      <w:r w:rsidR="00016150">
        <w:rPr>
          <w:color w:val="000000"/>
          <w:szCs w:val="20"/>
          <w:lang w:eastAsia="zh-CN"/>
        </w:rPr>
        <w:t xml:space="preserve">R=2 (using capability parameter </w:t>
      </w:r>
      <w:r w:rsidR="00016150" w:rsidRPr="00016150">
        <w:rPr>
          <w:i/>
          <w:iCs/>
          <w:color w:val="000000"/>
          <w:szCs w:val="20"/>
          <w:lang w:eastAsia="zh-CN"/>
        </w:rPr>
        <w:t>blindDetectFactor-r16</w:t>
      </w:r>
      <w:r w:rsidR="00016150">
        <w:rPr>
          <w:color w:val="000000"/>
          <w:szCs w:val="20"/>
          <w:lang w:eastAsia="zh-CN"/>
        </w:rPr>
        <w:t xml:space="preserve">), and is configured with </w:t>
      </w:r>
      <m:oMath>
        <m:r>
          <w:rPr>
            <w:rFonts w:ascii="Cambria Math" w:hAnsi="Cambria Math"/>
            <w:szCs w:val="20"/>
          </w:rPr>
          <m:t>γ=R</m:t>
        </m:r>
      </m:oMath>
      <w:r w:rsidR="00016150">
        <w:rPr>
          <w:color w:val="000000"/>
          <w:szCs w:val="20"/>
          <w:lang w:eastAsia="zh-CN"/>
        </w:rPr>
        <w:t xml:space="preserve"> (using higher layer parameter </w:t>
      </w:r>
      <w:r w:rsidR="00016150" w:rsidRPr="00FE72F3">
        <w:rPr>
          <w:i/>
          <w:iCs/>
          <w:color w:val="000000"/>
          <w:szCs w:val="20"/>
          <w:lang w:eastAsia="zh-CN"/>
        </w:rPr>
        <w:t>BDFactorR</w:t>
      </w:r>
      <w:r w:rsidR="00016150">
        <w:rPr>
          <w:color w:val="000000"/>
          <w:szCs w:val="20"/>
          <w:lang w:eastAsia="zh-CN"/>
        </w:rPr>
        <w:t>).</w:t>
      </w:r>
    </w:p>
    <w:p w14:paraId="7B0DCB74" w14:textId="5B432C35" w:rsidR="00016150" w:rsidRDefault="00016150" w:rsidP="00D71C3E">
      <w:pPr>
        <w:jc w:val="both"/>
        <w:rPr>
          <w:color w:val="000000"/>
          <w:szCs w:val="20"/>
          <w:lang w:eastAsia="zh-CN"/>
        </w:rPr>
      </w:pPr>
    </w:p>
    <w:p w14:paraId="27C8132B" w14:textId="3317DDA9" w:rsidR="00120DD5" w:rsidRDefault="00016150" w:rsidP="00D71C3E">
      <w:pPr>
        <w:jc w:val="both"/>
        <w:rPr>
          <w:color w:val="000000"/>
          <w:szCs w:val="20"/>
          <w:lang w:eastAsia="zh-CN"/>
        </w:rPr>
      </w:pPr>
      <w:r>
        <w:rPr>
          <w:color w:val="000000"/>
          <w:szCs w:val="20"/>
          <w:lang w:eastAsia="zh-CN"/>
        </w:rPr>
        <w:t>Table 1 show</w:t>
      </w:r>
      <w:r w:rsidR="00C80B29">
        <w:rPr>
          <w:color w:val="000000"/>
          <w:szCs w:val="20"/>
          <w:lang w:eastAsia="zh-CN"/>
        </w:rPr>
        <w:t>s</w:t>
      </w:r>
      <w:r>
        <w:rPr>
          <w:color w:val="000000"/>
          <w:szCs w:val="20"/>
          <w:lang w:eastAsia="zh-CN"/>
        </w:rPr>
        <w:t xml:space="preserve"> example max BDs that can be configured for a UE fo</w:t>
      </w:r>
      <w:r w:rsidR="00C80B29">
        <w:rPr>
          <w:color w:val="000000"/>
          <w:szCs w:val="20"/>
          <w:lang w:eastAsia="zh-CN"/>
        </w:rPr>
        <w:t>r</w:t>
      </w:r>
      <w:r>
        <w:rPr>
          <w:color w:val="000000"/>
          <w:szCs w:val="20"/>
          <w:lang w:eastAsia="zh-CN"/>
        </w:rPr>
        <w:t xml:space="preserve"> case when UE is configured with </w:t>
      </w:r>
      <w:r w:rsidR="00467D63">
        <w:rPr>
          <w:color w:val="000000"/>
          <w:szCs w:val="20"/>
          <w:lang w:eastAsia="zh-CN"/>
        </w:rPr>
        <w:t>a</w:t>
      </w:r>
      <w:r>
        <w:rPr>
          <w:color w:val="000000"/>
          <w:szCs w:val="20"/>
          <w:lang w:eastAsia="zh-CN"/>
        </w:rPr>
        <w:t xml:space="preserve"> PCell with 15kHz SCS and </w:t>
      </w:r>
      <w:r w:rsidR="00212D8E">
        <w:rPr>
          <w:color w:val="000000"/>
          <w:szCs w:val="20"/>
          <w:lang w:eastAsia="zh-CN"/>
        </w:rPr>
        <w:t>4</w:t>
      </w:r>
      <w:r w:rsidR="00120DD5">
        <w:rPr>
          <w:color w:val="000000"/>
          <w:szCs w:val="20"/>
          <w:lang w:eastAsia="zh-CN"/>
        </w:rPr>
        <w:t xml:space="preserve"> </w:t>
      </w:r>
      <w:r>
        <w:rPr>
          <w:color w:val="000000"/>
          <w:szCs w:val="20"/>
          <w:lang w:eastAsia="zh-CN"/>
        </w:rPr>
        <w:t>SCells with 30kHz SCS</w:t>
      </w:r>
      <w:r w:rsidR="00120DD5">
        <w:rPr>
          <w:color w:val="000000"/>
          <w:szCs w:val="20"/>
          <w:lang w:eastAsia="zh-CN"/>
        </w:rPr>
        <w:t xml:space="preserve"> </w:t>
      </w:r>
      <w:r w:rsidR="00EE2167">
        <w:rPr>
          <w:color w:val="000000"/>
          <w:szCs w:val="20"/>
          <w:lang w:eastAsia="zh-CN"/>
        </w:rPr>
        <w:t>(i.e., total configured cells=</w:t>
      </w:r>
      <w:r w:rsidR="00212D8E">
        <w:rPr>
          <w:color w:val="000000"/>
          <w:szCs w:val="20"/>
          <w:lang w:eastAsia="zh-CN"/>
        </w:rPr>
        <w:t>5</w:t>
      </w:r>
      <w:r w:rsidR="00EE2167">
        <w:rPr>
          <w:color w:val="000000"/>
          <w:szCs w:val="20"/>
          <w:lang w:eastAsia="zh-CN"/>
        </w:rPr>
        <w:t>)</w:t>
      </w:r>
      <w:r w:rsidR="00212D8E">
        <w:rPr>
          <w:color w:val="000000"/>
          <w:szCs w:val="20"/>
          <w:lang w:eastAsia="zh-CN"/>
        </w:rPr>
        <w:t xml:space="preserve">, and reports </w:t>
      </w:r>
      <w:r w:rsidR="00212D8E">
        <w:rPr>
          <w:i/>
        </w:rPr>
        <w:t>pdcch-BlindDetectionCA =4.</w:t>
      </w:r>
    </w:p>
    <w:p w14:paraId="688122AA" w14:textId="77777777" w:rsidR="00120DD5" w:rsidRDefault="00120DD5" w:rsidP="00D71C3E">
      <w:pPr>
        <w:jc w:val="both"/>
        <w:rPr>
          <w:color w:val="000000"/>
          <w:szCs w:val="20"/>
          <w:lang w:eastAsia="zh-CN"/>
        </w:rPr>
      </w:pPr>
    </w:p>
    <w:p w14:paraId="3B03CBE4" w14:textId="71DB3811" w:rsidR="00016150" w:rsidRDefault="00C80B29" w:rsidP="00D71C3E">
      <w:pPr>
        <w:jc w:val="both"/>
        <w:rPr>
          <w:i/>
        </w:rPr>
      </w:pPr>
      <w:r>
        <w:rPr>
          <w:color w:val="000000"/>
          <w:szCs w:val="20"/>
          <w:lang w:eastAsia="zh-CN"/>
        </w:rPr>
        <w:t xml:space="preserve">Table 2 shows the max BDs for </w:t>
      </w:r>
      <w:r w:rsidR="00EE2167">
        <w:rPr>
          <w:color w:val="000000"/>
          <w:szCs w:val="20"/>
          <w:lang w:eastAsia="zh-CN"/>
        </w:rPr>
        <w:t xml:space="preserve">multi-TRP </w:t>
      </w:r>
      <w:r>
        <w:rPr>
          <w:color w:val="000000"/>
          <w:szCs w:val="20"/>
          <w:lang w:eastAsia="zh-CN"/>
        </w:rPr>
        <w:t>case when</w:t>
      </w:r>
      <w:r w:rsidR="00EE2167">
        <w:rPr>
          <w:color w:val="000000"/>
          <w:szCs w:val="20"/>
          <w:lang w:eastAsia="zh-CN"/>
        </w:rPr>
        <w:t xml:space="preserve"> UE is configured with separate CORESET pools for </w:t>
      </w:r>
      <w:r w:rsidR="00467D63">
        <w:rPr>
          <w:color w:val="000000"/>
          <w:szCs w:val="20"/>
          <w:lang w:eastAsia="zh-CN"/>
        </w:rPr>
        <w:t>one of the 4 SCells (</w:t>
      </w:r>
      <w:r w:rsidR="00EE2167">
        <w:rPr>
          <w:color w:val="000000"/>
          <w:szCs w:val="20"/>
          <w:lang w:eastAsia="zh-CN"/>
        </w:rPr>
        <w:t>SCell S1</w:t>
      </w:r>
      <w:r w:rsidR="00467D63">
        <w:rPr>
          <w:color w:val="000000"/>
          <w:szCs w:val="20"/>
          <w:lang w:eastAsia="zh-CN"/>
        </w:rPr>
        <w:t>)</w:t>
      </w:r>
      <w:r w:rsidR="00EE2167">
        <w:rPr>
          <w:color w:val="000000"/>
          <w:szCs w:val="20"/>
          <w:lang w:eastAsia="zh-CN"/>
        </w:rPr>
        <w:t>,</w:t>
      </w:r>
      <w:r w:rsidR="00120DD5">
        <w:rPr>
          <w:color w:val="000000"/>
          <w:szCs w:val="20"/>
          <w:lang w:eastAsia="zh-CN"/>
        </w:rPr>
        <w:t xml:space="preserve"> </w:t>
      </w:r>
      <w:r w:rsidR="00EE2167">
        <w:rPr>
          <w:color w:val="000000"/>
          <w:szCs w:val="20"/>
          <w:lang w:eastAsia="zh-CN"/>
        </w:rPr>
        <w:t>reports</w:t>
      </w:r>
      <w:r w:rsidR="00120DD5">
        <w:rPr>
          <w:color w:val="000000"/>
          <w:szCs w:val="20"/>
          <w:lang w:eastAsia="zh-CN"/>
        </w:rPr>
        <w:t xml:space="preserve">  </w:t>
      </w:r>
      <m:oMath>
        <m:r>
          <w:rPr>
            <w:rFonts w:ascii="Cambria Math" w:hAnsi="Cambria Math"/>
            <w:szCs w:val="20"/>
          </w:rPr>
          <m:t>R=2</m:t>
        </m:r>
      </m:oMath>
      <w:r w:rsidR="00120DD5">
        <w:rPr>
          <w:color w:val="000000"/>
          <w:szCs w:val="20"/>
          <w:lang w:eastAsia="zh-CN"/>
        </w:rPr>
        <w:t xml:space="preserve"> </w:t>
      </w:r>
      <w:r>
        <w:rPr>
          <w:color w:val="000000"/>
          <w:szCs w:val="20"/>
          <w:lang w:eastAsia="zh-CN"/>
        </w:rPr>
        <w:t xml:space="preserve"> </w:t>
      </w:r>
      <w:r w:rsidR="00120DD5">
        <w:rPr>
          <w:color w:val="000000"/>
          <w:szCs w:val="20"/>
          <w:lang w:eastAsia="zh-CN"/>
        </w:rPr>
        <w:t xml:space="preserve">, </w:t>
      </w:r>
      <m:oMath>
        <m:r>
          <w:rPr>
            <w:rFonts w:ascii="Cambria Math" w:hAnsi="Cambria Math"/>
            <w:szCs w:val="20"/>
          </w:rPr>
          <m:t>γ=2</m:t>
        </m:r>
      </m:oMath>
      <w:r w:rsidR="00EE2167">
        <w:rPr>
          <w:szCs w:val="20"/>
        </w:rPr>
        <w:t xml:space="preserve">, </w:t>
      </w:r>
      <w:r w:rsidR="0043094A">
        <w:rPr>
          <w:szCs w:val="20"/>
        </w:rPr>
        <w:t xml:space="preserve"> </w:t>
      </w:r>
      <w:r>
        <w:rPr>
          <w:szCs w:val="20"/>
        </w:rPr>
        <w:t xml:space="preserve">and </w:t>
      </w:r>
      <w:r w:rsidR="00EE2167">
        <w:rPr>
          <w:szCs w:val="20"/>
        </w:rPr>
        <w:t>for max BDs</w:t>
      </w:r>
      <w:r w:rsidR="008042CE">
        <w:rPr>
          <w:szCs w:val="20"/>
        </w:rPr>
        <w:t>,</w:t>
      </w:r>
      <w:r w:rsidR="00EE2167">
        <w:rPr>
          <w:szCs w:val="20"/>
        </w:rPr>
        <w:t xml:space="preserve"> reports a capability </w:t>
      </w:r>
      <w:r w:rsidR="00EE2167">
        <w:rPr>
          <w:i/>
        </w:rPr>
        <w:t>pdcch-BlindDetectionCA =4</w:t>
      </w:r>
      <w:r w:rsidR="00120DD5">
        <w:rPr>
          <w:i/>
        </w:rPr>
        <w:t>.</w:t>
      </w:r>
    </w:p>
    <w:p w14:paraId="1446F68F" w14:textId="0F10F853" w:rsidR="00812241" w:rsidRDefault="00812241" w:rsidP="00D71C3E">
      <w:pPr>
        <w:jc w:val="both"/>
      </w:pPr>
      <w:r>
        <w:rPr>
          <w:rFonts w:eastAsiaTheme="minorEastAsia" w:cs="Arial"/>
        </w:rPr>
        <w:lastRenderedPageBreak/>
        <w:t>For Rel17 SCell to PCell scheduling</w:t>
      </w:r>
      <w:r w:rsidR="00D71C3E">
        <w:rPr>
          <w:rFonts w:eastAsiaTheme="minorEastAsia" w:cs="Arial"/>
        </w:rPr>
        <w:t>,</w:t>
      </w:r>
      <w:r>
        <w:rPr>
          <w:rFonts w:eastAsiaTheme="minorEastAsia" w:cs="Arial"/>
        </w:rPr>
        <w:t xml:space="preserve"> BD/CCE handling can be adapted similarly by </w:t>
      </w:r>
      <w:r>
        <w:t xml:space="preserve">counting (s-p) scheduling as an additional cell in the LHS part of  the conditions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w:t>
      </w:r>
      <w:r>
        <w:t xml:space="preserv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specified in sub-clause 10.1 of 38.213. </w:t>
      </w:r>
    </w:p>
    <w:p w14:paraId="016D7D68" w14:textId="77777777" w:rsidR="00812241" w:rsidRDefault="00812241" w:rsidP="00D71C3E">
      <w:pPr>
        <w:jc w:val="both"/>
      </w:pPr>
    </w:p>
    <w:p w14:paraId="6070ADC2" w14:textId="3012B75D" w:rsidR="00812241" w:rsidRDefault="00812241" w:rsidP="00D71C3E">
      <w:pPr>
        <w:jc w:val="both"/>
        <w:rPr>
          <w:rFonts w:eastAsiaTheme="minorEastAsia" w:cs="Arial"/>
        </w:rPr>
      </w:pPr>
      <w:r>
        <w:t xml:space="preserve">Table 3 below shows max BDs for the same example used for Table 1 but with SCell to PCell configured for the UE with from SCell S1 and UE reporting </w:t>
      </w:r>
      <w:r>
        <w:rPr>
          <w:i/>
        </w:rPr>
        <w:t>pdcch-BlindDetectionCA =4</w:t>
      </w:r>
      <w:r>
        <w:t xml:space="preserve">. As shown in the Table, with this approach, total #BDs capability for the UE is not increased compared to no SCell to PCell </w:t>
      </w:r>
      <w:r w:rsidR="00D71C3E">
        <w:t xml:space="preserve">scheduling </w:t>
      </w:r>
      <w:r>
        <w:t xml:space="preserve">case. Instead the BDs for (s-p) operation are borrowed equitably from other scheduling combinations similar to the approach specified for multi-TRP. i.e., PCell self-scheduling max BDs are scaled down from 44 to </w:t>
      </w:r>
      <w:proofErr w:type="gramStart"/>
      <w:r>
        <w:t>floor(</w:t>
      </w:r>
      <w:proofErr w:type="gramEnd"/>
      <w:r>
        <w:t>44*4*(1/</w:t>
      </w:r>
      <w:r w:rsidR="002E2ED5">
        <w:t>6</w:t>
      </w:r>
      <w:r>
        <w:t>))=</w:t>
      </w:r>
      <w:r w:rsidR="002E2ED5">
        <w:t>29</w:t>
      </w:r>
      <w:r>
        <w:t>. The (s-p) combination is considered as one more SCell that needs to be scheduled with scheduling cell SCS same as sSCell (i.e., S1), resulting in the max BDs for scheduling cells with 30 kHZ SCS being scaled down to floor(36*4*(</w:t>
      </w:r>
      <w:r w:rsidR="002E2ED5">
        <w:t>5</w:t>
      </w:r>
      <w:r>
        <w:t>/</w:t>
      </w:r>
      <w:r w:rsidR="002E2ED5">
        <w:t>6</w:t>
      </w:r>
      <w:r>
        <w:t>))=1</w:t>
      </w:r>
      <w:r w:rsidR="002E2ED5">
        <w:t>20</w:t>
      </w:r>
      <w:r>
        <w:t>.</w:t>
      </w:r>
    </w:p>
    <w:p w14:paraId="04ADA2B0" w14:textId="77777777" w:rsidR="00812241" w:rsidRDefault="00812241" w:rsidP="00D84E76">
      <w:pPr>
        <w:rPr>
          <w:color w:val="000000"/>
          <w:szCs w:val="20"/>
          <w:lang w:eastAsia="zh-CN"/>
        </w:rPr>
      </w:pPr>
    </w:p>
    <w:p w14:paraId="20338F4F" w14:textId="750D96E0" w:rsidR="00016150" w:rsidRDefault="00016150" w:rsidP="00D84E76">
      <w:pPr>
        <w:rPr>
          <w:color w:val="000000"/>
          <w:szCs w:val="20"/>
          <w:lang w:eastAsia="zh-CN"/>
        </w:rPr>
      </w:pPr>
    </w:p>
    <w:p w14:paraId="3DFEE1D2" w14:textId="47280B25" w:rsidR="00C80B29" w:rsidRDefault="00C80B29" w:rsidP="00C80B29">
      <w:pPr>
        <w:jc w:val="center"/>
        <w:rPr>
          <w:rFonts w:ascii="Arial" w:hAnsi="Arial" w:cs="Arial"/>
          <w:b/>
          <w:bCs/>
          <w:u w:val="single"/>
        </w:rPr>
      </w:pPr>
      <w:r w:rsidRPr="00C80B29">
        <w:rPr>
          <w:rFonts w:ascii="Arial" w:hAnsi="Arial" w:cs="Arial"/>
          <w:b/>
          <w:bCs/>
          <w:u w:val="single"/>
        </w:rPr>
        <w:t>Table 1 –</w:t>
      </w:r>
      <w:r>
        <w:rPr>
          <w:rFonts w:ascii="Arial" w:hAnsi="Arial" w:cs="Arial"/>
          <w:b/>
          <w:bCs/>
          <w:u w:val="single"/>
        </w:rPr>
        <w:t xml:space="preserve"> Rel16 max #BD,</w:t>
      </w:r>
      <w:r w:rsidRPr="00C80B29">
        <w:rPr>
          <w:rFonts w:ascii="Arial" w:hAnsi="Arial" w:cs="Arial"/>
          <w:b/>
          <w:bCs/>
          <w:u w:val="single"/>
        </w:rPr>
        <w:t xml:space="preserve"> no multi-TRP</w:t>
      </w:r>
    </w:p>
    <w:p w14:paraId="66405BF6" w14:textId="77777777" w:rsidR="00FC08D0" w:rsidRPr="00C80B29" w:rsidRDefault="00FC08D0" w:rsidP="00C80B29">
      <w:pPr>
        <w:jc w:val="center"/>
        <w:rPr>
          <w:rFonts w:ascii="Arial" w:hAnsi="Arial" w:cs="Arial"/>
          <w:b/>
          <w:bCs/>
          <w:u w:val="single"/>
        </w:rPr>
      </w:pPr>
    </w:p>
    <w:tbl>
      <w:tblPr>
        <w:tblW w:w="6380" w:type="dxa"/>
        <w:jc w:val="center"/>
        <w:tblLook w:val="04A0" w:firstRow="1" w:lastRow="0" w:firstColumn="1" w:lastColumn="0" w:noHBand="0" w:noVBand="1"/>
      </w:tblPr>
      <w:tblGrid>
        <w:gridCol w:w="1640"/>
        <w:gridCol w:w="1040"/>
        <w:gridCol w:w="3700"/>
      </w:tblGrid>
      <w:tr w:rsidR="00C80B29" w14:paraId="76929E9D" w14:textId="77777777" w:rsidTr="00C80B29">
        <w:trPr>
          <w:trHeight w:val="29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762A08FB" w14:textId="77777777" w:rsidR="00C80B29" w:rsidRPr="00C80B29" w:rsidRDefault="00C80B29" w:rsidP="00C80B29">
            <w:pPr>
              <w:jc w:val="center"/>
              <w:rPr>
                <w:rFonts w:ascii="Arial" w:hAnsi="Arial" w:cs="Arial"/>
                <w:color w:val="000000"/>
                <w:szCs w:val="22"/>
              </w:rPr>
            </w:pPr>
            <w:r w:rsidRPr="00C80B29">
              <w:rPr>
                <w:rFonts w:ascii="Arial" w:hAnsi="Arial" w:cs="Arial"/>
                <w:color w:val="000000"/>
                <w:szCs w:val="22"/>
              </w:rPr>
              <w:t>scheduling</w:t>
            </w:r>
          </w:p>
        </w:tc>
        <w:tc>
          <w:tcPr>
            <w:tcW w:w="1040" w:type="dxa"/>
            <w:tcBorders>
              <w:top w:val="single" w:sz="4" w:space="0" w:color="auto"/>
              <w:left w:val="nil"/>
              <w:bottom w:val="single" w:sz="4" w:space="0" w:color="auto"/>
              <w:right w:val="single" w:sz="4" w:space="0" w:color="auto"/>
            </w:tcBorders>
            <w:noWrap/>
            <w:vAlign w:val="bottom"/>
            <w:hideMark/>
          </w:tcPr>
          <w:p w14:paraId="45A78144" w14:textId="17113CF3" w:rsidR="00C80B29" w:rsidRPr="00C80B29" w:rsidRDefault="00C80B29" w:rsidP="00C80B29">
            <w:pPr>
              <w:jc w:val="center"/>
              <w:rPr>
                <w:rFonts w:ascii="Arial" w:hAnsi="Arial" w:cs="Arial"/>
                <w:color w:val="000000"/>
                <w:szCs w:val="22"/>
              </w:rPr>
            </w:pPr>
            <w:r w:rsidRPr="00C80B29">
              <w:rPr>
                <w:rFonts w:ascii="Arial" w:hAnsi="Arial" w:cs="Arial"/>
                <w:color w:val="000000"/>
                <w:szCs w:val="22"/>
              </w:rPr>
              <w:t>m-TRP</w:t>
            </w:r>
            <w:r w:rsidR="00140744">
              <w:rPr>
                <w:rFonts w:ascii="Arial" w:hAnsi="Arial" w:cs="Arial"/>
                <w:color w:val="000000"/>
                <w:szCs w:val="22"/>
              </w:rPr>
              <w:t>?</w:t>
            </w:r>
          </w:p>
        </w:tc>
        <w:tc>
          <w:tcPr>
            <w:tcW w:w="3700" w:type="dxa"/>
            <w:tcBorders>
              <w:top w:val="single" w:sz="4" w:space="0" w:color="auto"/>
              <w:left w:val="nil"/>
              <w:bottom w:val="single" w:sz="4" w:space="0" w:color="auto"/>
              <w:right w:val="single" w:sz="4" w:space="0" w:color="auto"/>
            </w:tcBorders>
            <w:noWrap/>
            <w:vAlign w:val="bottom"/>
            <w:hideMark/>
          </w:tcPr>
          <w:p w14:paraId="4616DFC0" w14:textId="4D56F732" w:rsidR="00C80B29" w:rsidRPr="00C80B29" w:rsidRDefault="00212D8E" w:rsidP="00C80B29">
            <w:pPr>
              <w:jc w:val="center"/>
              <w:rPr>
                <w:rFonts w:ascii="Arial" w:hAnsi="Arial" w:cs="Arial"/>
                <w:color w:val="000000"/>
                <w:szCs w:val="22"/>
              </w:rPr>
            </w:pPr>
            <w:r w:rsidRPr="00C80B29">
              <w:rPr>
                <w:rFonts w:ascii="Arial" w:hAnsi="Arial" w:cs="Arial"/>
                <w:color w:val="000000"/>
                <w:szCs w:val="22"/>
              </w:rPr>
              <w:t>M</w:t>
            </w:r>
            <w:r w:rsidR="00C80B29" w:rsidRPr="00C80B29">
              <w:rPr>
                <w:rFonts w:ascii="Arial" w:hAnsi="Arial" w:cs="Arial"/>
                <w:color w:val="000000"/>
                <w:szCs w:val="22"/>
              </w:rPr>
              <w:t>ax PDCCH BDs</w:t>
            </w:r>
            <w:r w:rsidR="00D0416A">
              <w:rPr>
                <w:rFonts w:ascii="Arial" w:hAnsi="Arial" w:cs="Arial"/>
                <w:color w:val="000000"/>
                <w:szCs w:val="22"/>
              </w:rPr>
              <w:t xml:space="preserve"> per slot</w:t>
            </w:r>
          </w:p>
        </w:tc>
      </w:tr>
      <w:tr w:rsidR="00C80B29" w14:paraId="42D2802E" w14:textId="77777777" w:rsidTr="00C80B29">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71DBF361" w14:textId="77777777" w:rsidR="00C80B29" w:rsidRPr="00C80B29" w:rsidRDefault="00C80B29" w:rsidP="00C80B29">
            <w:pPr>
              <w:jc w:val="center"/>
              <w:rPr>
                <w:color w:val="000000"/>
                <w:szCs w:val="22"/>
              </w:rPr>
            </w:pPr>
            <w:r w:rsidRPr="00C80B29">
              <w:rPr>
                <w:color w:val="000000"/>
                <w:szCs w:val="22"/>
              </w:rPr>
              <w:t>P-&gt;P</w:t>
            </w:r>
          </w:p>
        </w:tc>
        <w:tc>
          <w:tcPr>
            <w:tcW w:w="1040" w:type="dxa"/>
            <w:tcBorders>
              <w:top w:val="nil"/>
              <w:left w:val="nil"/>
              <w:bottom w:val="single" w:sz="4" w:space="0" w:color="auto"/>
              <w:right w:val="single" w:sz="4" w:space="0" w:color="auto"/>
            </w:tcBorders>
            <w:noWrap/>
            <w:vAlign w:val="bottom"/>
            <w:hideMark/>
          </w:tcPr>
          <w:p w14:paraId="1E14C44E" w14:textId="7AF79CFC" w:rsidR="00C80B29" w:rsidRPr="00C80B29" w:rsidRDefault="00C80B29" w:rsidP="00C80B29">
            <w:pPr>
              <w:jc w:val="center"/>
              <w:rPr>
                <w:color w:val="000000"/>
                <w:szCs w:val="22"/>
              </w:rPr>
            </w:pPr>
            <w:r w:rsidRPr="00C80B29">
              <w:rPr>
                <w:color w:val="000000"/>
                <w:szCs w:val="22"/>
              </w:rPr>
              <w:t>n</w:t>
            </w:r>
          </w:p>
        </w:tc>
        <w:tc>
          <w:tcPr>
            <w:tcW w:w="3700" w:type="dxa"/>
            <w:tcBorders>
              <w:top w:val="nil"/>
              <w:left w:val="nil"/>
              <w:bottom w:val="single" w:sz="4" w:space="0" w:color="auto"/>
              <w:right w:val="single" w:sz="4" w:space="0" w:color="auto"/>
            </w:tcBorders>
            <w:noWrap/>
            <w:vAlign w:val="bottom"/>
            <w:hideMark/>
          </w:tcPr>
          <w:p w14:paraId="1DBBA5C0" w14:textId="1D82FE4D" w:rsidR="00C80B29" w:rsidRPr="00C80B29" w:rsidRDefault="00C80B29" w:rsidP="00C80B29">
            <w:pPr>
              <w:jc w:val="center"/>
              <w:rPr>
                <w:color w:val="000000"/>
                <w:szCs w:val="22"/>
              </w:rPr>
            </w:pPr>
            <w:r w:rsidRPr="00C80B29">
              <w:rPr>
                <w:color w:val="000000"/>
                <w:szCs w:val="22"/>
              </w:rPr>
              <w:t>b1=</w:t>
            </w:r>
            <w:r w:rsidR="00212D8E">
              <w:rPr>
                <w:color w:val="000000"/>
                <w:szCs w:val="22"/>
              </w:rPr>
              <w:t>35</w:t>
            </w:r>
          </w:p>
        </w:tc>
      </w:tr>
      <w:tr w:rsidR="00212D8E" w14:paraId="4130DD2A" w14:textId="77777777" w:rsidTr="00C80B29">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208C3EDA" w14:textId="77777777" w:rsidR="00212D8E" w:rsidRPr="00C80B29" w:rsidRDefault="00212D8E" w:rsidP="00212D8E">
            <w:pPr>
              <w:jc w:val="center"/>
              <w:rPr>
                <w:color w:val="000000"/>
                <w:szCs w:val="22"/>
              </w:rPr>
            </w:pPr>
            <w:r w:rsidRPr="00C80B29">
              <w:rPr>
                <w:color w:val="000000"/>
                <w:szCs w:val="22"/>
              </w:rPr>
              <w:t>S1-&gt;S1</w:t>
            </w:r>
          </w:p>
        </w:tc>
        <w:tc>
          <w:tcPr>
            <w:tcW w:w="1040" w:type="dxa"/>
            <w:tcBorders>
              <w:top w:val="nil"/>
              <w:left w:val="nil"/>
              <w:bottom w:val="single" w:sz="4" w:space="0" w:color="auto"/>
              <w:right w:val="single" w:sz="4" w:space="0" w:color="auto"/>
            </w:tcBorders>
            <w:noWrap/>
            <w:vAlign w:val="bottom"/>
            <w:hideMark/>
          </w:tcPr>
          <w:p w14:paraId="3F53F861" w14:textId="7F124540" w:rsidR="00212D8E" w:rsidRPr="00C80B29" w:rsidRDefault="00212D8E" w:rsidP="00212D8E">
            <w:pPr>
              <w:jc w:val="center"/>
              <w:rPr>
                <w:color w:val="000000"/>
                <w:szCs w:val="22"/>
              </w:rPr>
            </w:pPr>
            <w:r w:rsidRPr="00C80B29">
              <w:rPr>
                <w:color w:val="000000"/>
                <w:szCs w:val="22"/>
              </w:rPr>
              <w:t>n</w:t>
            </w:r>
          </w:p>
        </w:tc>
        <w:tc>
          <w:tcPr>
            <w:tcW w:w="3700" w:type="dxa"/>
            <w:tcBorders>
              <w:top w:val="nil"/>
              <w:left w:val="nil"/>
              <w:bottom w:val="single" w:sz="4" w:space="0" w:color="auto"/>
              <w:right w:val="single" w:sz="4" w:space="0" w:color="auto"/>
            </w:tcBorders>
            <w:noWrap/>
            <w:vAlign w:val="bottom"/>
            <w:hideMark/>
          </w:tcPr>
          <w:p w14:paraId="136C6A26" w14:textId="4562A35E" w:rsidR="00212D8E" w:rsidRPr="00C80B29" w:rsidRDefault="00212D8E" w:rsidP="00212D8E">
            <w:pPr>
              <w:jc w:val="center"/>
              <w:rPr>
                <w:color w:val="000000"/>
                <w:szCs w:val="22"/>
              </w:rPr>
            </w:pPr>
            <w:r w:rsidRPr="00C80B29">
              <w:rPr>
                <w:color w:val="000000"/>
                <w:szCs w:val="22"/>
              </w:rPr>
              <w:t>b2&lt;=</w:t>
            </w:r>
            <w:r>
              <w:rPr>
                <w:color w:val="000000"/>
                <w:szCs w:val="22"/>
              </w:rPr>
              <w:t>36</w:t>
            </w:r>
            <w:r w:rsidRPr="00C80B29">
              <w:rPr>
                <w:color w:val="000000"/>
                <w:szCs w:val="22"/>
              </w:rPr>
              <w:t xml:space="preserve"> such that b2+b3+b4</w:t>
            </w:r>
            <w:r>
              <w:rPr>
                <w:color w:val="000000"/>
                <w:szCs w:val="22"/>
              </w:rPr>
              <w:t>+b5</w:t>
            </w:r>
            <w:r w:rsidRPr="00C80B29">
              <w:rPr>
                <w:color w:val="000000"/>
                <w:szCs w:val="22"/>
              </w:rPr>
              <w:t xml:space="preserve"> &lt;= </w:t>
            </w:r>
            <w:r>
              <w:rPr>
                <w:color w:val="000000"/>
                <w:szCs w:val="22"/>
              </w:rPr>
              <w:t>115</w:t>
            </w:r>
          </w:p>
        </w:tc>
      </w:tr>
      <w:tr w:rsidR="00212D8E" w14:paraId="547D85BD" w14:textId="77777777" w:rsidTr="00C80B29">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0AA1784A" w14:textId="77777777" w:rsidR="00212D8E" w:rsidRPr="00C80B29" w:rsidRDefault="00212D8E" w:rsidP="00212D8E">
            <w:pPr>
              <w:jc w:val="center"/>
              <w:rPr>
                <w:color w:val="000000"/>
                <w:szCs w:val="22"/>
              </w:rPr>
            </w:pPr>
            <w:r w:rsidRPr="00C80B29">
              <w:rPr>
                <w:color w:val="000000"/>
                <w:szCs w:val="22"/>
              </w:rPr>
              <w:t>S2-&gt;S2</w:t>
            </w:r>
          </w:p>
        </w:tc>
        <w:tc>
          <w:tcPr>
            <w:tcW w:w="1040" w:type="dxa"/>
            <w:tcBorders>
              <w:top w:val="nil"/>
              <w:left w:val="nil"/>
              <w:bottom w:val="single" w:sz="4" w:space="0" w:color="auto"/>
              <w:right w:val="single" w:sz="4" w:space="0" w:color="auto"/>
            </w:tcBorders>
            <w:noWrap/>
            <w:vAlign w:val="bottom"/>
            <w:hideMark/>
          </w:tcPr>
          <w:p w14:paraId="6F90752A" w14:textId="21DEE560" w:rsidR="00212D8E" w:rsidRPr="00C80B29" w:rsidRDefault="00212D8E" w:rsidP="00212D8E">
            <w:pPr>
              <w:jc w:val="center"/>
              <w:rPr>
                <w:color w:val="000000"/>
                <w:szCs w:val="22"/>
              </w:rPr>
            </w:pPr>
            <w:r w:rsidRPr="00C80B29">
              <w:rPr>
                <w:color w:val="000000"/>
                <w:szCs w:val="22"/>
              </w:rPr>
              <w:t>n</w:t>
            </w:r>
          </w:p>
        </w:tc>
        <w:tc>
          <w:tcPr>
            <w:tcW w:w="3700" w:type="dxa"/>
            <w:tcBorders>
              <w:top w:val="nil"/>
              <w:left w:val="nil"/>
              <w:bottom w:val="single" w:sz="4" w:space="0" w:color="auto"/>
              <w:right w:val="single" w:sz="4" w:space="0" w:color="auto"/>
            </w:tcBorders>
            <w:noWrap/>
            <w:vAlign w:val="bottom"/>
            <w:hideMark/>
          </w:tcPr>
          <w:p w14:paraId="13EBB4A3" w14:textId="74222D5A" w:rsidR="00212D8E" w:rsidRPr="00C80B29" w:rsidRDefault="00212D8E" w:rsidP="00212D8E">
            <w:pPr>
              <w:jc w:val="center"/>
              <w:rPr>
                <w:color w:val="000000"/>
                <w:szCs w:val="22"/>
              </w:rPr>
            </w:pPr>
            <w:r w:rsidRPr="00C80B29">
              <w:rPr>
                <w:color w:val="000000"/>
                <w:szCs w:val="22"/>
              </w:rPr>
              <w:t>b3&lt;=</w:t>
            </w:r>
            <w:r>
              <w:rPr>
                <w:color w:val="000000"/>
                <w:szCs w:val="22"/>
              </w:rPr>
              <w:t>36</w:t>
            </w:r>
            <w:r w:rsidRPr="00C80B29">
              <w:rPr>
                <w:color w:val="000000"/>
                <w:szCs w:val="22"/>
              </w:rPr>
              <w:t xml:space="preserve"> such that b2+b3+b4</w:t>
            </w:r>
            <w:r>
              <w:rPr>
                <w:color w:val="000000"/>
                <w:szCs w:val="22"/>
              </w:rPr>
              <w:t>+b5</w:t>
            </w:r>
            <w:r w:rsidRPr="00C80B29">
              <w:rPr>
                <w:color w:val="000000"/>
                <w:szCs w:val="22"/>
              </w:rPr>
              <w:t xml:space="preserve"> &lt;= </w:t>
            </w:r>
            <w:r>
              <w:rPr>
                <w:color w:val="000000"/>
                <w:szCs w:val="22"/>
              </w:rPr>
              <w:t>115</w:t>
            </w:r>
          </w:p>
        </w:tc>
      </w:tr>
      <w:tr w:rsidR="00212D8E" w14:paraId="7E9F813C" w14:textId="77777777" w:rsidTr="00C80B29">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6E808A29" w14:textId="77777777" w:rsidR="00212D8E" w:rsidRPr="00C80B29" w:rsidRDefault="00212D8E" w:rsidP="00212D8E">
            <w:pPr>
              <w:jc w:val="center"/>
              <w:rPr>
                <w:color w:val="000000"/>
                <w:szCs w:val="22"/>
              </w:rPr>
            </w:pPr>
            <w:r w:rsidRPr="00C80B29">
              <w:rPr>
                <w:color w:val="000000"/>
                <w:szCs w:val="22"/>
              </w:rPr>
              <w:t>S3-&gt;S3</w:t>
            </w:r>
          </w:p>
        </w:tc>
        <w:tc>
          <w:tcPr>
            <w:tcW w:w="1040" w:type="dxa"/>
            <w:tcBorders>
              <w:top w:val="nil"/>
              <w:left w:val="nil"/>
              <w:bottom w:val="single" w:sz="4" w:space="0" w:color="auto"/>
              <w:right w:val="single" w:sz="4" w:space="0" w:color="auto"/>
            </w:tcBorders>
            <w:noWrap/>
            <w:vAlign w:val="bottom"/>
            <w:hideMark/>
          </w:tcPr>
          <w:p w14:paraId="54413351" w14:textId="6F72CAE7" w:rsidR="00212D8E" w:rsidRPr="00C80B29" w:rsidRDefault="00212D8E" w:rsidP="00212D8E">
            <w:pPr>
              <w:jc w:val="center"/>
              <w:rPr>
                <w:color w:val="000000"/>
                <w:szCs w:val="22"/>
              </w:rPr>
            </w:pPr>
            <w:r w:rsidRPr="00C80B29">
              <w:rPr>
                <w:color w:val="000000"/>
                <w:szCs w:val="22"/>
              </w:rPr>
              <w:t>n</w:t>
            </w:r>
          </w:p>
        </w:tc>
        <w:tc>
          <w:tcPr>
            <w:tcW w:w="3700" w:type="dxa"/>
            <w:tcBorders>
              <w:top w:val="nil"/>
              <w:left w:val="nil"/>
              <w:bottom w:val="single" w:sz="4" w:space="0" w:color="auto"/>
              <w:right w:val="single" w:sz="4" w:space="0" w:color="auto"/>
            </w:tcBorders>
            <w:noWrap/>
            <w:vAlign w:val="bottom"/>
            <w:hideMark/>
          </w:tcPr>
          <w:p w14:paraId="645A7DF8" w14:textId="5E32DE96" w:rsidR="00212D8E" w:rsidRPr="00C80B29" w:rsidRDefault="00212D8E" w:rsidP="00212D8E">
            <w:pPr>
              <w:jc w:val="center"/>
              <w:rPr>
                <w:color w:val="000000"/>
                <w:szCs w:val="22"/>
              </w:rPr>
            </w:pPr>
            <w:r w:rsidRPr="00C80B29">
              <w:rPr>
                <w:color w:val="000000"/>
                <w:szCs w:val="22"/>
              </w:rPr>
              <w:t>b4&lt;=36 such that b2+b3+b4</w:t>
            </w:r>
            <w:r>
              <w:rPr>
                <w:color w:val="000000"/>
                <w:szCs w:val="22"/>
              </w:rPr>
              <w:t>+b5</w:t>
            </w:r>
            <w:r w:rsidRPr="00C80B29">
              <w:rPr>
                <w:color w:val="000000"/>
                <w:szCs w:val="22"/>
              </w:rPr>
              <w:t xml:space="preserve"> &lt;= </w:t>
            </w:r>
            <w:r>
              <w:rPr>
                <w:color w:val="000000"/>
                <w:szCs w:val="22"/>
              </w:rPr>
              <w:t>115</w:t>
            </w:r>
          </w:p>
        </w:tc>
      </w:tr>
      <w:tr w:rsidR="00212D8E" w14:paraId="228D39A8" w14:textId="77777777" w:rsidTr="00C80B29">
        <w:trPr>
          <w:trHeight w:val="290"/>
          <w:jc w:val="center"/>
        </w:trPr>
        <w:tc>
          <w:tcPr>
            <w:tcW w:w="1640" w:type="dxa"/>
            <w:tcBorders>
              <w:top w:val="nil"/>
              <w:left w:val="single" w:sz="4" w:space="0" w:color="auto"/>
              <w:bottom w:val="single" w:sz="4" w:space="0" w:color="auto"/>
              <w:right w:val="single" w:sz="4" w:space="0" w:color="auto"/>
            </w:tcBorders>
            <w:noWrap/>
            <w:vAlign w:val="bottom"/>
          </w:tcPr>
          <w:p w14:paraId="6501FC44" w14:textId="2983D1D4" w:rsidR="00212D8E" w:rsidRPr="00C80B29" w:rsidRDefault="00212D8E" w:rsidP="00C80B29">
            <w:pPr>
              <w:jc w:val="center"/>
              <w:rPr>
                <w:color w:val="000000"/>
                <w:szCs w:val="22"/>
              </w:rPr>
            </w:pPr>
            <w:r>
              <w:rPr>
                <w:color w:val="000000"/>
                <w:szCs w:val="22"/>
              </w:rPr>
              <w:t>S4-&gt;S4</w:t>
            </w:r>
          </w:p>
        </w:tc>
        <w:tc>
          <w:tcPr>
            <w:tcW w:w="1040" w:type="dxa"/>
            <w:tcBorders>
              <w:top w:val="nil"/>
              <w:left w:val="nil"/>
              <w:bottom w:val="single" w:sz="4" w:space="0" w:color="auto"/>
              <w:right w:val="single" w:sz="4" w:space="0" w:color="auto"/>
            </w:tcBorders>
            <w:noWrap/>
            <w:vAlign w:val="bottom"/>
          </w:tcPr>
          <w:p w14:paraId="1837BB1C" w14:textId="4115699D" w:rsidR="00212D8E" w:rsidRPr="00C80B29" w:rsidRDefault="00212D8E" w:rsidP="00C80B29">
            <w:pPr>
              <w:jc w:val="center"/>
              <w:rPr>
                <w:color w:val="000000"/>
                <w:szCs w:val="22"/>
              </w:rPr>
            </w:pPr>
            <w:r>
              <w:rPr>
                <w:color w:val="000000"/>
                <w:szCs w:val="22"/>
              </w:rPr>
              <w:t>n</w:t>
            </w:r>
          </w:p>
        </w:tc>
        <w:tc>
          <w:tcPr>
            <w:tcW w:w="3700" w:type="dxa"/>
            <w:tcBorders>
              <w:top w:val="nil"/>
              <w:left w:val="nil"/>
              <w:bottom w:val="single" w:sz="4" w:space="0" w:color="auto"/>
              <w:right w:val="single" w:sz="4" w:space="0" w:color="auto"/>
            </w:tcBorders>
            <w:noWrap/>
            <w:vAlign w:val="bottom"/>
          </w:tcPr>
          <w:p w14:paraId="2D11E50F" w14:textId="29529F0C" w:rsidR="00212D8E" w:rsidRPr="00C80B29" w:rsidRDefault="00212D8E" w:rsidP="00C80B29">
            <w:pPr>
              <w:jc w:val="center"/>
              <w:rPr>
                <w:color w:val="000000"/>
                <w:szCs w:val="22"/>
              </w:rPr>
            </w:pPr>
            <w:r>
              <w:rPr>
                <w:color w:val="000000"/>
                <w:szCs w:val="22"/>
              </w:rPr>
              <w:t>b5</w:t>
            </w:r>
            <w:r w:rsidRPr="00C80B29">
              <w:rPr>
                <w:color w:val="000000"/>
                <w:szCs w:val="22"/>
              </w:rPr>
              <w:t>&lt;=36 such that b2+b3+b4</w:t>
            </w:r>
            <w:r>
              <w:rPr>
                <w:color w:val="000000"/>
                <w:szCs w:val="22"/>
              </w:rPr>
              <w:t>+b5</w:t>
            </w:r>
            <w:r w:rsidRPr="00C80B29">
              <w:rPr>
                <w:color w:val="000000"/>
                <w:szCs w:val="22"/>
              </w:rPr>
              <w:t xml:space="preserve"> &lt;= </w:t>
            </w:r>
            <w:r>
              <w:rPr>
                <w:color w:val="000000"/>
                <w:szCs w:val="22"/>
              </w:rPr>
              <w:t>115</w:t>
            </w:r>
          </w:p>
        </w:tc>
      </w:tr>
      <w:tr w:rsidR="00C80B29" w14:paraId="153ACDB6" w14:textId="77777777" w:rsidTr="00C80B29">
        <w:trPr>
          <w:trHeight w:val="290"/>
          <w:jc w:val="center"/>
        </w:trPr>
        <w:tc>
          <w:tcPr>
            <w:tcW w:w="1640" w:type="dxa"/>
            <w:noWrap/>
            <w:vAlign w:val="bottom"/>
            <w:hideMark/>
          </w:tcPr>
          <w:p w14:paraId="482DDB73" w14:textId="77777777" w:rsidR="00C80B29" w:rsidRPr="00C80B29" w:rsidRDefault="00C80B29" w:rsidP="00C80B29">
            <w:pPr>
              <w:jc w:val="center"/>
              <w:rPr>
                <w:color w:val="000000"/>
                <w:szCs w:val="22"/>
              </w:rPr>
            </w:pPr>
          </w:p>
        </w:tc>
        <w:tc>
          <w:tcPr>
            <w:tcW w:w="1040" w:type="dxa"/>
            <w:noWrap/>
            <w:vAlign w:val="bottom"/>
            <w:hideMark/>
          </w:tcPr>
          <w:p w14:paraId="22489FF9" w14:textId="77777777" w:rsidR="00C80B29" w:rsidRPr="00C80B29" w:rsidRDefault="00C80B29" w:rsidP="00C80B29">
            <w:pPr>
              <w:jc w:val="center"/>
            </w:pPr>
          </w:p>
        </w:tc>
        <w:tc>
          <w:tcPr>
            <w:tcW w:w="3700" w:type="dxa"/>
            <w:tcBorders>
              <w:top w:val="nil"/>
              <w:left w:val="single" w:sz="4" w:space="0" w:color="auto"/>
              <w:bottom w:val="single" w:sz="4" w:space="0" w:color="auto"/>
              <w:right w:val="single" w:sz="4" w:space="0" w:color="auto"/>
            </w:tcBorders>
            <w:noWrap/>
            <w:vAlign w:val="bottom"/>
            <w:hideMark/>
          </w:tcPr>
          <w:p w14:paraId="572DDB16" w14:textId="04CC0B74" w:rsidR="00E43B12" w:rsidRPr="00DF0B4C" w:rsidRDefault="00C80B29" w:rsidP="00EA02B9">
            <w:pPr>
              <w:jc w:val="center"/>
              <w:rPr>
                <w:color w:val="000000"/>
                <w:szCs w:val="22"/>
              </w:rPr>
            </w:pPr>
            <w:r w:rsidRPr="00C80B29">
              <w:rPr>
                <w:color w:val="000000"/>
                <w:szCs w:val="22"/>
              </w:rPr>
              <w:t xml:space="preserve">total </w:t>
            </w:r>
            <w:r w:rsidR="00E43B12">
              <w:rPr>
                <w:color w:val="000000"/>
                <w:szCs w:val="22"/>
              </w:rPr>
              <w:t>= (</w:t>
            </w:r>
            <w:r w:rsidR="00212D8E">
              <w:rPr>
                <w:color w:val="000000"/>
                <w:szCs w:val="22"/>
              </w:rPr>
              <w:t>115</w:t>
            </w:r>
            <w:r w:rsidR="00E43B12">
              <w:rPr>
                <w:color w:val="000000"/>
                <w:szCs w:val="22"/>
              </w:rPr>
              <w:t xml:space="preserve"> @30kHz)</w:t>
            </w:r>
            <w:r w:rsidR="00EE2167">
              <w:rPr>
                <w:color w:val="000000"/>
                <w:szCs w:val="22"/>
              </w:rPr>
              <w:t xml:space="preserve"> </w:t>
            </w:r>
            <w:r w:rsidRPr="00C80B29">
              <w:rPr>
                <w:color w:val="000000"/>
                <w:szCs w:val="22"/>
              </w:rPr>
              <w:t>+</w:t>
            </w:r>
            <w:r w:rsidR="00212D8E">
              <w:rPr>
                <w:color w:val="000000"/>
                <w:szCs w:val="22"/>
              </w:rPr>
              <w:t>35</w:t>
            </w:r>
            <w:r w:rsidRPr="00C80B29">
              <w:rPr>
                <w:color w:val="000000"/>
                <w:szCs w:val="22"/>
              </w:rPr>
              <w:t xml:space="preserve"> </w:t>
            </w:r>
            <w:r w:rsidR="00E43B12">
              <w:rPr>
                <w:color w:val="000000"/>
                <w:szCs w:val="22"/>
              </w:rPr>
              <w:t>@15kHz</w:t>
            </w:r>
          </w:p>
        </w:tc>
      </w:tr>
    </w:tbl>
    <w:p w14:paraId="0BF2761E" w14:textId="77777777" w:rsidR="00C80B29" w:rsidRDefault="00C80B29" w:rsidP="00C80B29">
      <w:pPr>
        <w:jc w:val="center"/>
        <w:rPr>
          <w:rFonts w:ascii="Arial" w:hAnsi="Arial" w:cs="Arial"/>
          <w:b/>
          <w:bCs/>
          <w:sz w:val="22"/>
          <w:szCs w:val="20"/>
          <w:u w:val="single"/>
        </w:rPr>
      </w:pPr>
    </w:p>
    <w:p w14:paraId="6FAA1CCF" w14:textId="0748E2EE" w:rsidR="00C80B29" w:rsidRPr="00C80B29" w:rsidRDefault="00C80B29" w:rsidP="00C80B29">
      <w:pPr>
        <w:jc w:val="center"/>
        <w:rPr>
          <w:rFonts w:ascii="Arial" w:hAnsi="Arial" w:cs="Arial"/>
          <w:b/>
          <w:bCs/>
          <w:u w:val="single"/>
        </w:rPr>
      </w:pPr>
      <w:r w:rsidRPr="00C80B29">
        <w:rPr>
          <w:rFonts w:ascii="Arial" w:hAnsi="Arial" w:cs="Arial"/>
          <w:b/>
          <w:bCs/>
          <w:u w:val="single"/>
        </w:rPr>
        <w:t>Table 2 –</w:t>
      </w:r>
      <w:r>
        <w:rPr>
          <w:rFonts w:ascii="Arial" w:hAnsi="Arial" w:cs="Arial"/>
          <w:b/>
          <w:bCs/>
          <w:u w:val="single"/>
        </w:rPr>
        <w:t>Rel16 max #BD,</w:t>
      </w:r>
      <w:r w:rsidRPr="00C80B29">
        <w:rPr>
          <w:rFonts w:ascii="Arial" w:hAnsi="Arial" w:cs="Arial"/>
          <w:b/>
          <w:bCs/>
          <w:u w:val="single"/>
        </w:rPr>
        <w:t xml:space="preserve"> multi-TRP with </w:t>
      </w:r>
      <m:oMath>
        <m:r>
          <m:rPr>
            <m:sty m:val="bi"/>
          </m:rPr>
          <w:rPr>
            <w:rFonts w:ascii="Cambria Math" w:hAnsi="Cambria Math" w:cs="Arial"/>
            <w:u w:val="single"/>
          </w:rPr>
          <m:t>γ</m:t>
        </m:r>
        <m:r>
          <m:rPr>
            <m:sty m:val="b"/>
          </m:rPr>
          <w:rPr>
            <w:rFonts w:ascii="Cambria Math" w:hAnsi="Cambria Math" w:cs="Arial"/>
            <w:u w:val="single"/>
          </w:rPr>
          <m:t>=2</m:t>
        </m:r>
      </m:oMath>
      <w:r>
        <w:rPr>
          <w:rFonts w:ascii="Arial" w:hAnsi="Arial" w:cs="Arial"/>
          <w:b/>
          <w:bCs/>
          <w:u w:val="single"/>
        </w:rPr>
        <w:t xml:space="preserve"> </w:t>
      </w:r>
      <w:r w:rsidR="00D0416A">
        <w:rPr>
          <w:rFonts w:ascii="Arial" w:hAnsi="Arial" w:cs="Arial"/>
          <w:b/>
          <w:bCs/>
          <w:u w:val="single"/>
        </w:rPr>
        <w:t xml:space="preserve">and two CORESET pools on SCell S1 </w:t>
      </w:r>
    </w:p>
    <w:p w14:paraId="6C202F14" w14:textId="77777777" w:rsidR="00C80B29" w:rsidRDefault="00C80B29" w:rsidP="00C80B29">
      <w:pPr>
        <w:jc w:val="center"/>
        <w:rPr>
          <w:rFonts w:cs="Arial"/>
          <w:b/>
          <w:bCs/>
          <w:u w:val="single"/>
        </w:rPr>
      </w:pPr>
    </w:p>
    <w:tbl>
      <w:tblPr>
        <w:tblW w:w="6380" w:type="dxa"/>
        <w:jc w:val="center"/>
        <w:tblLook w:val="04A0" w:firstRow="1" w:lastRow="0" w:firstColumn="1" w:lastColumn="0" w:noHBand="0" w:noVBand="1"/>
      </w:tblPr>
      <w:tblGrid>
        <w:gridCol w:w="1180"/>
        <w:gridCol w:w="1100"/>
        <w:gridCol w:w="4100"/>
      </w:tblGrid>
      <w:tr w:rsidR="00C80B29" w14:paraId="03A96A3E" w14:textId="77777777" w:rsidTr="00C80B29">
        <w:trPr>
          <w:trHeight w:val="290"/>
          <w:jc w:val="center"/>
        </w:trPr>
        <w:tc>
          <w:tcPr>
            <w:tcW w:w="1180" w:type="dxa"/>
            <w:tcBorders>
              <w:top w:val="single" w:sz="4" w:space="0" w:color="auto"/>
              <w:left w:val="single" w:sz="4" w:space="0" w:color="auto"/>
              <w:bottom w:val="single" w:sz="4" w:space="0" w:color="auto"/>
              <w:right w:val="single" w:sz="4" w:space="0" w:color="auto"/>
            </w:tcBorders>
            <w:noWrap/>
            <w:vAlign w:val="bottom"/>
            <w:hideMark/>
          </w:tcPr>
          <w:p w14:paraId="29BAF21A" w14:textId="77777777" w:rsidR="00C80B29" w:rsidRPr="00C80B29" w:rsidRDefault="00C80B29" w:rsidP="00F62EB0">
            <w:pPr>
              <w:jc w:val="center"/>
              <w:rPr>
                <w:rFonts w:ascii="Arial" w:hAnsi="Arial" w:cs="Arial"/>
                <w:color w:val="000000"/>
                <w:szCs w:val="22"/>
              </w:rPr>
            </w:pPr>
            <w:r w:rsidRPr="00C80B29">
              <w:rPr>
                <w:rFonts w:ascii="Arial" w:hAnsi="Arial" w:cs="Arial"/>
                <w:color w:val="000000"/>
                <w:szCs w:val="22"/>
              </w:rPr>
              <w:t>scheduling</w:t>
            </w:r>
          </w:p>
        </w:tc>
        <w:tc>
          <w:tcPr>
            <w:tcW w:w="1100" w:type="dxa"/>
            <w:tcBorders>
              <w:top w:val="single" w:sz="4" w:space="0" w:color="auto"/>
              <w:left w:val="nil"/>
              <w:bottom w:val="single" w:sz="4" w:space="0" w:color="auto"/>
              <w:right w:val="single" w:sz="4" w:space="0" w:color="auto"/>
            </w:tcBorders>
            <w:noWrap/>
            <w:vAlign w:val="bottom"/>
            <w:hideMark/>
          </w:tcPr>
          <w:p w14:paraId="03E68F37" w14:textId="163EA914" w:rsidR="00C80B29" w:rsidRPr="00C80B29" w:rsidRDefault="00C80B29" w:rsidP="00F62EB0">
            <w:pPr>
              <w:jc w:val="center"/>
              <w:rPr>
                <w:rFonts w:ascii="Arial" w:hAnsi="Arial" w:cs="Arial"/>
                <w:color w:val="000000"/>
                <w:szCs w:val="22"/>
              </w:rPr>
            </w:pPr>
            <w:r w:rsidRPr="00C80B29">
              <w:rPr>
                <w:rFonts w:ascii="Arial" w:hAnsi="Arial" w:cs="Arial"/>
                <w:color w:val="000000"/>
                <w:szCs w:val="22"/>
              </w:rPr>
              <w:t>m-TRP</w:t>
            </w:r>
            <w:r w:rsidR="00140744">
              <w:rPr>
                <w:rFonts w:ascii="Arial" w:hAnsi="Arial" w:cs="Arial"/>
                <w:color w:val="000000"/>
                <w:szCs w:val="22"/>
              </w:rPr>
              <w:t>?</w:t>
            </w:r>
          </w:p>
        </w:tc>
        <w:tc>
          <w:tcPr>
            <w:tcW w:w="4100" w:type="dxa"/>
            <w:tcBorders>
              <w:top w:val="single" w:sz="4" w:space="0" w:color="auto"/>
              <w:left w:val="nil"/>
              <w:bottom w:val="single" w:sz="4" w:space="0" w:color="auto"/>
              <w:right w:val="single" w:sz="4" w:space="0" w:color="auto"/>
            </w:tcBorders>
            <w:noWrap/>
            <w:vAlign w:val="bottom"/>
            <w:hideMark/>
          </w:tcPr>
          <w:p w14:paraId="3F10D432" w14:textId="42489B89" w:rsidR="00C80B29" w:rsidRPr="00C80B29" w:rsidRDefault="00212D8E" w:rsidP="00F62EB0">
            <w:pPr>
              <w:jc w:val="center"/>
              <w:rPr>
                <w:rFonts w:ascii="Arial" w:hAnsi="Arial" w:cs="Arial"/>
                <w:color w:val="000000"/>
                <w:szCs w:val="22"/>
              </w:rPr>
            </w:pPr>
            <w:r w:rsidRPr="00C80B29">
              <w:rPr>
                <w:rFonts w:ascii="Arial" w:hAnsi="Arial" w:cs="Arial"/>
                <w:color w:val="000000"/>
                <w:szCs w:val="22"/>
              </w:rPr>
              <w:t>M</w:t>
            </w:r>
            <w:r w:rsidR="00C80B29" w:rsidRPr="00C80B29">
              <w:rPr>
                <w:rFonts w:ascii="Arial" w:hAnsi="Arial" w:cs="Arial"/>
                <w:color w:val="000000"/>
                <w:szCs w:val="22"/>
              </w:rPr>
              <w:t>ax PDCCH BDs</w:t>
            </w:r>
            <w:r w:rsidR="00D0416A">
              <w:rPr>
                <w:rFonts w:ascii="Arial" w:hAnsi="Arial" w:cs="Arial"/>
                <w:color w:val="000000"/>
                <w:szCs w:val="22"/>
              </w:rPr>
              <w:t xml:space="preserve"> per slot</w:t>
            </w:r>
          </w:p>
        </w:tc>
      </w:tr>
      <w:tr w:rsidR="00C80B29" w14:paraId="459CAAA0" w14:textId="77777777" w:rsidTr="00C80B29">
        <w:trPr>
          <w:trHeight w:val="290"/>
          <w:jc w:val="center"/>
        </w:trPr>
        <w:tc>
          <w:tcPr>
            <w:tcW w:w="1180" w:type="dxa"/>
            <w:tcBorders>
              <w:top w:val="nil"/>
              <w:left w:val="single" w:sz="4" w:space="0" w:color="auto"/>
              <w:bottom w:val="single" w:sz="4" w:space="0" w:color="auto"/>
              <w:right w:val="single" w:sz="4" w:space="0" w:color="auto"/>
            </w:tcBorders>
            <w:noWrap/>
            <w:vAlign w:val="bottom"/>
            <w:hideMark/>
          </w:tcPr>
          <w:p w14:paraId="155D8B77" w14:textId="77777777" w:rsidR="00C80B29" w:rsidRPr="00C80B29" w:rsidRDefault="00C80B29" w:rsidP="00C80B29">
            <w:pPr>
              <w:jc w:val="center"/>
              <w:rPr>
                <w:color w:val="000000"/>
                <w:szCs w:val="22"/>
              </w:rPr>
            </w:pPr>
            <w:r w:rsidRPr="00C80B29">
              <w:rPr>
                <w:color w:val="000000"/>
                <w:szCs w:val="22"/>
              </w:rPr>
              <w:t>P-&gt;P</w:t>
            </w:r>
          </w:p>
        </w:tc>
        <w:tc>
          <w:tcPr>
            <w:tcW w:w="1100" w:type="dxa"/>
            <w:tcBorders>
              <w:top w:val="nil"/>
              <w:left w:val="nil"/>
              <w:bottom w:val="single" w:sz="4" w:space="0" w:color="auto"/>
              <w:right w:val="single" w:sz="4" w:space="0" w:color="auto"/>
            </w:tcBorders>
            <w:noWrap/>
            <w:vAlign w:val="bottom"/>
            <w:hideMark/>
          </w:tcPr>
          <w:p w14:paraId="40BC1DE3" w14:textId="18FAFAC3" w:rsidR="00C80B29" w:rsidRPr="00C80B29" w:rsidRDefault="00C80B29" w:rsidP="00C80B29">
            <w:pPr>
              <w:jc w:val="center"/>
              <w:rPr>
                <w:color w:val="000000"/>
                <w:szCs w:val="22"/>
              </w:rPr>
            </w:pPr>
            <w:r w:rsidRPr="00C80B29">
              <w:rPr>
                <w:color w:val="000000"/>
                <w:szCs w:val="22"/>
              </w:rPr>
              <w:t>n</w:t>
            </w:r>
          </w:p>
        </w:tc>
        <w:tc>
          <w:tcPr>
            <w:tcW w:w="4100" w:type="dxa"/>
            <w:tcBorders>
              <w:top w:val="nil"/>
              <w:left w:val="nil"/>
              <w:bottom w:val="single" w:sz="4" w:space="0" w:color="auto"/>
              <w:right w:val="single" w:sz="4" w:space="0" w:color="auto"/>
            </w:tcBorders>
            <w:noWrap/>
            <w:vAlign w:val="bottom"/>
            <w:hideMark/>
          </w:tcPr>
          <w:p w14:paraId="0BD35626" w14:textId="1236795D" w:rsidR="00C80B29" w:rsidRPr="00C80B29" w:rsidRDefault="00C80B29" w:rsidP="00C80B29">
            <w:pPr>
              <w:jc w:val="center"/>
              <w:rPr>
                <w:color w:val="000000"/>
                <w:szCs w:val="22"/>
              </w:rPr>
            </w:pPr>
            <w:r w:rsidRPr="00C80B29">
              <w:rPr>
                <w:color w:val="000000"/>
                <w:szCs w:val="22"/>
              </w:rPr>
              <w:t>b1=</w:t>
            </w:r>
            <w:r w:rsidR="00212D8E">
              <w:rPr>
                <w:color w:val="000000"/>
                <w:szCs w:val="22"/>
              </w:rPr>
              <w:t>29</w:t>
            </w:r>
          </w:p>
        </w:tc>
      </w:tr>
      <w:tr w:rsidR="00C80B29" w14:paraId="517A06A4" w14:textId="77777777" w:rsidTr="00C80B29">
        <w:trPr>
          <w:trHeight w:val="290"/>
          <w:jc w:val="center"/>
        </w:trPr>
        <w:tc>
          <w:tcPr>
            <w:tcW w:w="1180" w:type="dxa"/>
            <w:tcBorders>
              <w:top w:val="nil"/>
              <w:left w:val="single" w:sz="4" w:space="0" w:color="auto"/>
              <w:bottom w:val="single" w:sz="4" w:space="0" w:color="auto"/>
              <w:right w:val="single" w:sz="4" w:space="0" w:color="auto"/>
            </w:tcBorders>
            <w:noWrap/>
            <w:vAlign w:val="bottom"/>
            <w:hideMark/>
          </w:tcPr>
          <w:p w14:paraId="264A8628" w14:textId="77777777" w:rsidR="00C80B29" w:rsidRPr="00C80B29" w:rsidRDefault="00C80B29" w:rsidP="00C80B29">
            <w:pPr>
              <w:jc w:val="center"/>
              <w:rPr>
                <w:color w:val="000000"/>
                <w:szCs w:val="22"/>
              </w:rPr>
            </w:pPr>
            <w:r w:rsidRPr="00C80B29">
              <w:rPr>
                <w:color w:val="000000"/>
                <w:szCs w:val="22"/>
              </w:rPr>
              <w:t>S1-&gt;S1</w:t>
            </w:r>
          </w:p>
        </w:tc>
        <w:tc>
          <w:tcPr>
            <w:tcW w:w="1100" w:type="dxa"/>
            <w:tcBorders>
              <w:top w:val="nil"/>
              <w:left w:val="nil"/>
              <w:bottom w:val="single" w:sz="4" w:space="0" w:color="auto"/>
              <w:right w:val="single" w:sz="4" w:space="0" w:color="auto"/>
            </w:tcBorders>
            <w:noWrap/>
            <w:vAlign w:val="bottom"/>
            <w:hideMark/>
          </w:tcPr>
          <w:p w14:paraId="140971B1" w14:textId="77777777" w:rsidR="00C80B29" w:rsidRPr="00C80B29" w:rsidRDefault="00C80B29" w:rsidP="00C80B29">
            <w:pPr>
              <w:jc w:val="center"/>
              <w:rPr>
                <w:color w:val="000000"/>
                <w:szCs w:val="22"/>
              </w:rPr>
            </w:pPr>
            <w:r w:rsidRPr="00C80B29">
              <w:rPr>
                <w:color w:val="000000"/>
                <w:szCs w:val="22"/>
              </w:rPr>
              <w:t>y</w:t>
            </w:r>
          </w:p>
        </w:tc>
        <w:tc>
          <w:tcPr>
            <w:tcW w:w="4100" w:type="dxa"/>
            <w:tcBorders>
              <w:top w:val="nil"/>
              <w:left w:val="nil"/>
              <w:bottom w:val="single" w:sz="4" w:space="0" w:color="auto"/>
              <w:right w:val="single" w:sz="4" w:space="0" w:color="auto"/>
            </w:tcBorders>
            <w:noWrap/>
            <w:vAlign w:val="bottom"/>
            <w:hideMark/>
          </w:tcPr>
          <w:p w14:paraId="495B5FE1" w14:textId="4EDAA167" w:rsidR="00C80B29" w:rsidRPr="00C80B29" w:rsidRDefault="00C80B29" w:rsidP="00C80B29">
            <w:pPr>
              <w:jc w:val="center"/>
              <w:rPr>
                <w:color w:val="000000"/>
                <w:szCs w:val="22"/>
              </w:rPr>
            </w:pPr>
            <w:r w:rsidRPr="00C80B29">
              <w:rPr>
                <w:color w:val="000000"/>
                <w:szCs w:val="22"/>
              </w:rPr>
              <w:t>b2&lt;=72 such that b2+b3+b4</w:t>
            </w:r>
            <w:r w:rsidR="00212D8E">
              <w:rPr>
                <w:color w:val="000000"/>
                <w:szCs w:val="22"/>
              </w:rPr>
              <w:t>+b5</w:t>
            </w:r>
            <w:r w:rsidRPr="00C80B29">
              <w:rPr>
                <w:color w:val="000000"/>
                <w:szCs w:val="22"/>
              </w:rPr>
              <w:t xml:space="preserve"> &lt;= </w:t>
            </w:r>
            <w:r w:rsidR="00212D8E">
              <w:rPr>
                <w:color w:val="000000"/>
                <w:szCs w:val="22"/>
              </w:rPr>
              <w:t>120</w:t>
            </w:r>
          </w:p>
        </w:tc>
      </w:tr>
      <w:tr w:rsidR="00C80B29" w14:paraId="2EEA2CE5" w14:textId="77777777" w:rsidTr="00C80B29">
        <w:trPr>
          <w:trHeight w:val="290"/>
          <w:jc w:val="center"/>
        </w:trPr>
        <w:tc>
          <w:tcPr>
            <w:tcW w:w="1180" w:type="dxa"/>
            <w:tcBorders>
              <w:top w:val="nil"/>
              <w:left w:val="single" w:sz="4" w:space="0" w:color="auto"/>
              <w:bottom w:val="single" w:sz="4" w:space="0" w:color="auto"/>
              <w:right w:val="single" w:sz="4" w:space="0" w:color="auto"/>
            </w:tcBorders>
            <w:noWrap/>
            <w:vAlign w:val="bottom"/>
            <w:hideMark/>
          </w:tcPr>
          <w:p w14:paraId="515D9B7E" w14:textId="77777777" w:rsidR="00C80B29" w:rsidRPr="00C80B29" w:rsidRDefault="00C80B29" w:rsidP="00C80B29">
            <w:pPr>
              <w:jc w:val="center"/>
              <w:rPr>
                <w:color w:val="000000"/>
                <w:szCs w:val="22"/>
              </w:rPr>
            </w:pPr>
            <w:r w:rsidRPr="00C80B29">
              <w:rPr>
                <w:color w:val="000000"/>
                <w:szCs w:val="22"/>
              </w:rPr>
              <w:t>S2-&gt;S2</w:t>
            </w:r>
          </w:p>
        </w:tc>
        <w:tc>
          <w:tcPr>
            <w:tcW w:w="1100" w:type="dxa"/>
            <w:tcBorders>
              <w:top w:val="nil"/>
              <w:left w:val="nil"/>
              <w:bottom w:val="single" w:sz="4" w:space="0" w:color="auto"/>
              <w:right w:val="single" w:sz="4" w:space="0" w:color="auto"/>
            </w:tcBorders>
            <w:noWrap/>
            <w:vAlign w:val="bottom"/>
            <w:hideMark/>
          </w:tcPr>
          <w:p w14:paraId="0F23096B" w14:textId="346EC43C" w:rsidR="00C80B29" w:rsidRPr="00C80B29" w:rsidRDefault="00941489" w:rsidP="00C80B29">
            <w:pPr>
              <w:jc w:val="center"/>
              <w:rPr>
                <w:color w:val="000000"/>
                <w:szCs w:val="22"/>
              </w:rPr>
            </w:pPr>
            <w:r>
              <w:rPr>
                <w:color w:val="000000"/>
                <w:szCs w:val="22"/>
              </w:rPr>
              <w:t>n</w:t>
            </w:r>
          </w:p>
        </w:tc>
        <w:tc>
          <w:tcPr>
            <w:tcW w:w="4100" w:type="dxa"/>
            <w:tcBorders>
              <w:top w:val="nil"/>
              <w:left w:val="nil"/>
              <w:bottom w:val="single" w:sz="4" w:space="0" w:color="auto"/>
              <w:right w:val="single" w:sz="4" w:space="0" w:color="auto"/>
            </w:tcBorders>
            <w:noWrap/>
            <w:vAlign w:val="bottom"/>
            <w:hideMark/>
          </w:tcPr>
          <w:p w14:paraId="4E2CFCC7" w14:textId="5CFDC5A5" w:rsidR="00C80B29" w:rsidRPr="00C80B29" w:rsidRDefault="00C80B29" w:rsidP="00C80B29">
            <w:pPr>
              <w:jc w:val="center"/>
              <w:rPr>
                <w:color w:val="000000"/>
                <w:szCs w:val="22"/>
              </w:rPr>
            </w:pPr>
            <w:r w:rsidRPr="00C80B29">
              <w:rPr>
                <w:color w:val="000000"/>
                <w:szCs w:val="22"/>
              </w:rPr>
              <w:t>b3&lt;=</w:t>
            </w:r>
            <w:r w:rsidR="00120DD5">
              <w:rPr>
                <w:color w:val="000000"/>
                <w:szCs w:val="22"/>
              </w:rPr>
              <w:t>36</w:t>
            </w:r>
            <w:r w:rsidR="00120DD5" w:rsidRPr="00C80B29">
              <w:rPr>
                <w:color w:val="000000"/>
                <w:szCs w:val="22"/>
              </w:rPr>
              <w:t xml:space="preserve"> </w:t>
            </w:r>
            <w:r w:rsidRPr="00C80B29">
              <w:rPr>
                <w:color w:val="000000"/>
                <w:szCs w:val="22"/>
              </w:rPr>
              <w:t>such that b2+b3+b4</w:t>
            </w:r>
            <w:r w:rsidR="00212D8E">
              <w:rPr>
                <w:color w:val="000000"/>
                <w:szCs w:val="22"/>
              </w:rPr>
              <w:t>+b5</w:t>
            </w:r>
            <w:r w:rsidRPr="00C80B29">
              <w:rPr>
                <w:color w:val="000000"/>
                <w:szCs w:val="22"/>
              </w:rPr>
              <w:t xml:space="preserve"> &lt;= </w:t>
            </w:r>
            <w:r w:rsidR="00212D8E">
              <w:rPr>
                <w:color w:val="000000"/>
                <w:szCs w:val="22"/>
              </w:rPr>
              <w:t>120</w:t>
            </w:r>
          </w:p>
        </w:tc>
      </w:tr>
      <w:tr w:rsidR="00C80B29" w14:paraId="0D239F1C" w14:textId="77777777" w:rsidTr="00C80B29">
        <w:trPr>
          <w:trHeight w:val="290"/>
          <w:jc w:val="center"/>
        </w:trPr>
        <w:tc>
          <w:tcPr>
            <w:tcW w:w="1180" w:type="dxa"/>
            <w:tcBorders>
              <w:top w:val="nil"/>
              <w:left w:val="single" w:sz="4" w:space="0" w:color="auto"/>
              <w:bottom w:val="single" w:sz="4" w:space="0" w:color="auto"/>
              <w:right w:val="single" w:sz="4" w:space="0" w:color="auto"/>
            </w:tcBorders>
            <w:noWrap/>
            <w:vAlign w:val="bottom"/>
            <w:hideMark/>
          </w:tcPr>
          <w:p w14:paraId="68C9156C" w14:textId="77777777" w:rsidR="00C80B29" w:rsidRPr="00C80B29" w:rsidRDefault="00C80B29" w:rsidP="00C80B29">
            <w:pPr>
              <w:jc w:val="center"/>
              <w:rPr>
                <w:color w:val="000000"/>
                <w:szCs w:val="22"/>
              </w:rPr>
            </w:pPr>
            <w:r w:rsidRPr="00C80B29">
              <w:rPr>
                <w:color w:val="000000"/>
                <w:szCs w:val="22"/>
              </w:rPr>
              <w:t>S3-&gt;S3</w:t>
            </w:r>
          </w:p>
        </w:tc>
        <w:tc>
          <w:tcPr>
            <w:tcW w:w="1100" w:type="dxa"/>
            <w:tcBorders>
              <w:top w:val="nil"/>
              <w:left w:val="nil"/>
              <w:bottom w:val="single" w:sz="4" w:space="0" w:color="auto"/>
              <w:right w:val="single" w:sz="4" w:space="0" w:color="auto"/>
            </w:tcBorders>
            <w:noWrap/>
            <w:vAlign w:val="bottom"/>
            <w:hideMark/>
          </w:tcPr>
          <w:p w14:paraId="0547ADF9" w14:textId="77777777" w:rsidR="00C80B29" w:rsidRPr="00C80B29" w:rsidRDefault="00C80B29" w:rsidP="00C80B29">
            <w:pPr>
              <w:jc w:val="center"/>
              <w:rPr>
                <w:color w:val="000000"/>
                <w:szCs w:val="22"/>
              </w:rPr>
            </w:pPr>
            <w:r w:rsidRPr="00C80B29">
              <w:rPr>
                <w:color w:val="000000"/>
                <w:szCs w:val="22"/>
              </w:rPr>
              <w:t>n</w:t>
            </w:r>
          </w:p>
        </w:tc>
        <w:tc>
          <w:tcPr>
            <w:tcW w:w="4100" w:type="dxa"/>
            <w:tcBorders>
              <w:top w:val="nil"/>
              <w:left w:val="nil"/>
              <w:bottom w:val="single" w:sz="4" w:space="0" w:color="auto"/>
              <w:right w:val="single" w:sz="4" w:space="0" w:color="auto"/>
            </w:tcBorders>
            <w:noWrap/>
            <w:vAlign w:val="bottom"/>
            <w:hideMark/>
          </w:tcPr>
          <w:p w14:paraId="29E9E5DA" w14:textId="0E94356B" w:rsidR="00C80B29" w:rsidRPr="00C80B29" w:rsidRDefault="00C80B29" w:rsidP="00C80B29">
            <w:pPr>
              <w:jc w:val="center"/>
              <w:rPr>
                <w:color w:val="000000"/>
                <w:szCs w:val="22"/>
              </w:rPr>
            </w:pPr>
            <w:r w:rsidRPr="00C80B29">
              <w:rPr>
                <w:color w:val="000000"/>
                <w:szCs w:val="22"/>
              </w:rPr>
              <w:t>b4&lt;=36 such that b2+b3+b4</w:t>
            </w:r>
            <w:r w:rsidR="00212D8E">
              <w:rPr>
                <w:color w:val="000000"/>
                <w:szCs w:val="22"/>
              </w:rPr>
              <w:t>+b5</w:t>
            </w:r>
            <w:r w:rsidRPr="00C80B29">
              <w:rPr>
                <w:color w:val="000000"/>
                <w:szCs w:val="22"/>
              </w:rPr>
              <w:t xml:space="preserve"> &lt;= </w:t>
            </w:r>
            <w:r w:rsidR="00212D8E">
              <w:rPr>
                <w:color w:val="000000"/>
                <w:szCs w:val="22"/>
              </w:rPr>
              <w:t>120</w:t>
            </w:r>
          </w:p>
        </w:tc>
      </w:tr>
      <w:tr w:rsidR="00212D8E" w14:paraId="5A80E37E" w14:textId="77777777" w:rsidTr="00C80B29">
        <w:trPr>
          <w:trHeight w:val="290"/>
          <w:jc w:val="center"/>
        </w:trPr>
        <w:tc>
          <w:tcPr>
            <w:tcW w:w="1180" w:type="dxa"/>
            <w:tcBorders>
              <w:top w:val="nil"/>
              <w:left w:val="single" w:sz="4" w:space="0" w:color="auto"/>
              <w:bottom w:val="single" w:sz="4" w:space="0" w:color="auto"/>
              <w:right w:val="single" w:sz="4" w:space="0" w:color="auto"/>
            </w:tcBorders>
            <w:noWrap/>
            <w:vAlign w:val="bottom"/>
          </w:tcPr>
          <w:p w14:paraId="11CBB83B" w14:textId="7CDD3F1E" w:rsidR="00212D8E" w:rsidRPr="00C80B29" w:rsidRDefault="00212D8E" w:rsidP="00C80B29">
            <w:pPr>
              <w:jc w:val="center"/>
              <w:rPr>
                <w:color w:val="000000"/>
                <w:szCs w:val="22"/>
              </w:rPr>
            </w:pPr>
            <w:r>
              <w:rPr>
                <w:color w:val="000000"/>
                <w:szCs w:val="22"/>
              </w:rPr>
              <w:t>S4-&gt;S4</w:t>
            </w:r>
          </w:p>
        </w:tc>
        <w:tc>
          <w:tcPr>
            <w:tcW w:w="1100" w:type="dxa"/>
            <w:tcBorders>
              <w:top w:val="nil"/>
              <w:left w:val="nil"/>
              <w:bottom w:val="single" w:sz="4" w:space="0" w:color="auto"/>
              <w:right w:val="single" w:sz="4" w:space="0" w:color="auto"/>
            </w:tcBorders>
            <w:noWrap/>
            <w:vAlign w:val="bottom"/>
          </w:tcPr>
          <w:p w14:paraId="4F677185" w14:textId="1E779917" w:rsidR="00212D8E" w:rsidRPr="00C80B29" w:rsidRDefault="00212D8E" w:rsidP="00C80B29">
            <w:pPr>
              <w:jc w:val="center"/>
              <w:rPr>
                <w:color w:val="000000"/>
                <w:szCs w:val="22"/>
              </w:rPr>
            </w:pPr>
            <w:r>
              <w:rPr>
                <w:color w:val="000000"/>
                <w:szCs w:val="22"/>
              </w:rPr>
              <w:t>n</w:t>
            </w:r>
          </w:p>
        </w:tc>
        <w:tc>
          <w:tcPr>
            <w:tcW w:w="4100" w:type="dxa"/>
            <w:tcBorders>
              <w:top w:val="nil"/>
              <w:left w:val="nil"/>
              <w:bottom w:val="single" w:sz="4" w:space="0" w:color="auto"/>
              <w:right w:val="single" w:sz="4" w:space="0" w:color="auto"/>
            </w:tcBorders>
            <w:noWrap/>
            <w:vAlign w:val="bottom"/>
          </w:tcPr>
          <w:p w14:paraId="4E7ADD19" w14:textId="45299B63" w:rsidR="00212D8E" w:rsidRPr="00C80B29" w:rsidRDefault="00212D8E" w:rsidP="00C80B29">
            <w:pPr>
              <w:jc w:val="center"/>
              <w:rPr>
                <w:color w:val="000000"/>
                <w:szCs w:val="22"/>
              </w:rPr>
            </w:pPr>
            <w:r>
              <w:rPr>
                <w:color w:val="000000"/>
                <w:szCs w:val="22"/>
              </w:rPr>
              <w:t xml:space="preserve">b5&lt;=36 such that </w:t>
            </w:r>
            <w:r w:rsidRPr="00C80B29">
              <w:rPr>
                <w:color w:val="000000"/>
                <w:szCs w:val="22"/>
              </w:rPr>
              <w:t>b2+b3+b4</w:t>
            </w:r>
            <w:r>
              <w:rPr>
                <w:color w:val="000000"/>
                <w:szCs w:val="22"/>
              </w:rPr>
              <w:t>+b5 &lt;= 120</w:t>
            </w:r>
          </w:p>
        </w:tc>
      </w:tr>
      <w:tr w:rsidR="00C80B29" w14:paraId="6A181C21" w14:textId="77777777" w:rsidTr="00C80B29">
        <w:trPr>
          <w:trHeight w:val="290"/>
          <w:jc w:val="center"/>
        </w:trPr>
        <w:tc>
          <w:tcPr>
            <w:tcW w:w="1180" w:type="dxa"/>
            <w:noWrap/>
            <w:vAlign w:val="bottom"/>
            <w:hideMark/>
          </w:tcPr>
          <w:p w14:paraId="2A9BB084" w14:textId="77777777" w:rsidR="00C80B29" w:rsidRPr="00C80B29" w:rsidRDefault="00C80B29" w:rsidP="00C80B29">
            <w:pPr>
              <w:jc w:val="center"/>
              <w:rPr>
                <w:color w:val="000000"/>
                <w:szCs w:val="22"/>
              </w:rPr>
            </w:pPr>
          </w:p>
        </w:tc>
        <w:tc>
          <w:tcPr>
            <w:tcW w:w="1100" w:type="dxa"/>
            <w:noWrap/>
            <w:vAlign w:val="bottom"/>
            <w:hideMark/>
          </w:tcPr>
          <w:p w14:paraId="31CF8C66" w14:textId="77777777" w:rsidR="00C80B29" w:rsidRPr="00C80B29" w:rsidRDefault="00C80B29" w:rsidP="00C80B29">
            <w:pPr>
              <w:jc w:val="center"/>
            </w:pPr>
          </w:p>
        </w:tc>
        <w:tc>
          <w:tcPr>
            <w:tcW w:w="4100" w:type="dxa"/>
            <w:tcBorders>
              <w:top w:val="nil"/>
              <w:left w:val="single" w:sz="4" w:space="0" w:color="auto"/>
              <w:bottom w:val="single" w:sz="4" w:space="0" w:color="auto"/>
              <w:right w:val="single" w:sz="4" w:space="0" w:color="auto"/>
            </w:tcBorders>
            <w:noWrap/>
            <w:vAlign w:val="bottom"/>
            <w:hideMark/>
          </w:tcPr>
          <w:p w14:paraId="0249F3BC" w14:textId="2E13C211" w:rsidR="00C80B29" w:rsidRPr="00C80B29" w:rsidRDefault="00C80B29" w:rsidP="00EA02B9">
            <w:pPr>
              <w:jc w:val="center"/>
              <w:rPr>
                <w:color w:val="000000"/>
                <w:sz w:val="22"/>
                <w:szCs w:val="22"/>
              </w:rPr>
            </w:pPr>
            <w:r w:rsidRPr="00C80B29">
              <w:rPr>
                <w:color w:val="000000"/>
                <w:szCs w:val="22"/>
              </w:rPr>
              <w:t xml:space="preserve">total = </w:t>
            </w:r>
            <w:r w:rsidR="00E43B12">
              <w:rPr>
                <w:color w:val="000000"/>
                <w:szCs w:val="22"/>
              </w:rPr>
              <w:t>(</w:t>
            </w:r>
            <w:r w:rsidR="00212D8E">
              <w:rPr>
                <w:color w:val="000000"/>
                <w:szCs w:val="22"/>
              </w:rPr>
              <w:t>120</w:t>
            </w:r>
            <w:r w:rsidR="00E43B12">
              <w:rPr>
                <w:color w:val="000000"/>
                <w:szCs w:val="22"/>
              </w:rPr>
              <w:t xml:space="preserve"> @30kHz) </w:t>
            </w:r>
            <w:r w:rsidRPr="00C80B29">
              <w:rPr>
                <w:color w:val="000000"/>
                <w:szCs w:val="22"/>
              </w:rPr>
              <w:t>+</w:t>
            </w:r>
            <w:r w:rsidR="00E43B12">
              <w:rPr>
                <w:color w:val="000000"/>
                <w:szCs w:val="22"/>
              </w:rPr>
              <w:t xml:space="preserve"> </w:t>
            </w:r>
            <w:r w:rsidR="00212D8E">
              <w:rPr>
                <w:color w:val="000000"/>
                <w:szCs w:val="22"/>
              </w:rPr>
              <w:t>29</w:t>
            </w:r>
            <w:r w:rsidR="00E43B12">
              <w:rPr>
                <w:color w:val="000000"/>
                <w:szCs w:val="22"/>
              </w:rPr>
              <w:t xml:space="preserve"> @15kHz</w:t>
            </w:r>
            <w:r w:rsidRPr="00C80B29">
              <w:rPr>
                <w:color w:val="000000"/>
                <w:szCs w:val="22"/>
              </w:rPr>
              <w:t xml:space="preserve"> </w:t>
            </w:r>
          </w:p>
        </w:tc>
      </w:tr>
    </w:tbl>
    <w:p w14:paraId="07873197" w14:textId="380A89BF" w:rsidR="00461F7B" w:rsidRDefault="00461F7B" w:rsidP="00D84E76">
      <w:pPr>
        <w:rPr>
          <w:rFonts w:eastAsiaTheme="minorEastAsia" w:cs="Arial"/>
        </w:rPr>
      </w:pPr>
    </w:p>
    <w:p w14:paraId="1929D852" w14:textId="4482F6C1" w:rsidR="00F62EB0" w:rsidRDefault="00F62EB0" w:rsidP="00F62EB0">
      <w:pPr>
        <w:jc w:val="center"/>
        <w:rPr>
          <w:rFonts w:ascii="Arial" w:hAnsi="Arial" w:cs="Arial"/>
          <w:b/>
          <w:bCs/>
          <w:u w:val="single"/>
        </w:rPr>
      </w:pPr>
      <w:r w:rsidRPr="001337AD">
        <w:rPr>
          <w:rFonts w:ascii="Arial" w:hAnsi="Arial" w:cs="Arial"/>
          <w:b/>
          <w:bCs/>
          <w:u w:val="single"/>
        </w:rPr>
        <w:t>Table 3 –</w:t>
      </w:r>
      <w:r w:rsidR="001337AD">
        <w:rPr>
          <w:rFonts w:ascii="Arial" w:hAnsi="Arial" w:cs="Arial"/>
          <w:b/>
          <w:bCs/>
          <w:u w:val="single"/>
        </w:rPr>
        <w:t xml:space="preserve">max #BDs with Rel17 </w:t>
      </w:r>
      <w:r w:rsidRPr="001337AD">
        <w:rPr>
          <w:rFonts w:ascii="Arial" w:hAnsi="Arial" w:cs="Arial"/>
          <w:b/>
          <w:bCs/>
          <w:u w:val="single"/>
        </w:rPr>
        <w:t>SCell to PCell scheduling</w:t>
      </w:r>
      <w:r w:rsidR="00703666">
        <w:rPr>
          <w:rFonts w:ascii="Arial" w:hAnsi="Arial" w:cs="Arial"/>
          <w:b/>
          <w:bCs/>
          <w:u w:val="single"/>
        </w:rPr>
        <w:t xml:space="preserve"> from SCell S1</w:t>
      </w:r>
    </w:p>
    <w:p w14:paraId="14AF7DE7" w14:textId="77777777" w:rsidR="001337AD" w:rsidRPr="001337AD" w:rsidRDefault="001337AD" w:rsidP="00F62EB0">
      <w:pPr>
        <w:jc w:val="center"/>
        <w:rPr>
          <w:rFonts w:ascii="Arial" w:hAnsi="Arial" w:cs="Arial"/>
          <w:b/>
          <w:bCs/>
          <w:u w:val="single"/>
        </w:rPr>
      </w:pPr>
    </w:p>
    <w:tbl>
      <w:tblPr>
        <w:tblW w:w="6565" w:type="dxa"/>
        <w:jc w:val="center"/>
        <w:tblLook w:val="04A0" w:firstRow="1" w:lastRow="0" w:firstColumn="1" w:lastColumn="0" w:noHBand="0" w:noVBand="1"/>
      </w:tblPr>
      <w:tblGrid>
        <w:gridCol w:w="1640"/>
        <w:gridCol w:w="1040"/>
        <w:gridCol w:w="3885"/>
      </w:tblGrid>
      <w:tr w:rsidR="00F62EB0" w14:paraId="3E29CE85" w14:textId="77777777" w:rsidTr="00DF0B4C">
        <w:trPr>
          <w:trHeight w:val="290"/>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755C7869" w14:textId="77777777" w:rsidR="00F62EB0" w:rsidRPr="00F62EB0" w:rsidRDefault="00F62EB0" w:rsidP="00F62EB0">
            <w:pPr>
              <w:jc w:val="center"/>
              <w:rPr>
                <w:rFonts w:ascii="Arial" w:hAnsi="Arial" w:cs="Arial"/>
                <w:color w:val="000000"/>
                <w:szCs w:val="22"/>
              </w:rPr>
            </w:pPr>
            <w:r w:rsidRPr="00F62EB0">
              <w:rPr>
                <w:rFonts w:ascii="Arial" w:hAnsi="Arial" w:cs="Arial"/>
                <w:color w:val="000000"/>
                <w:szCs w:val="22"/>
              </w:rPr>
              <w:t>scheduling</w:t>
            </w:r>
          </w:p>
        </w:tc>
        <w:tc>
          <w:tcPr>
            <w:tcW w:w="1040" w:type="dxa"/>
            <w:tcBorders>
              <w:top w:val="single" w:sz="4" w:space="0" w:color="auto"/>
              <w:left w:val="nil"/>
              <w:bottom w:val="single" w:sz="4" w:space="0" w:color="auto"/>
              <w:right w:val="single" w:sz="4" w:space="0" w:color="auto"/>
            </w:tcBorders>
            <w:noWrap/>
            <w:vAlign w:val="bottom"/>
            <w:hideMark/>
          </w:tcPr>
          <w:p w14:paraId="77843DF1" w14:textId="7CDEA51F" w:rsidR="00F62EB0" w:rsidRPr="00F62EB0" w:rsidRDefault="00F62EB0" w:rsidP="00F62EB0">
            <w:pPr>
              <w:jc w:val="center"/>
              <w:rPr>
                <w:rFonts w:ascii="Arial" w:hAnsi="Arial" w:cs="Arial"/>
                <w:color w:val="000000"/>
                <w:szCs w:val="22"/>
              </w:rPr>
            </w:pPr>
            <w:r w:rsidRPr="00F62EB0">
              <w:rPr>
                <w:rFonts w:ascii="Arial" w:hAnsi="Arial" w:cs="Arial"/>
                <w:color w:val="000000"/>
                <w:szCs w:val="22"/>
              </w:rPr>
              <w:t>m-TRP</w:t>
            </w:r>
            <w:r w:rsidR="00140744">
              <w:rPr>
                <w:rFonts w:ascii="Arial" w:hAnsi="Arial" w:cs="Arial"/>
                <w:color w:val="000000"/>
                <w:szCs w:val="22"/>
              </w:rPr>
              <w:t>?</w:t>
            </w:r>
          </w:p>
        </w:tc>
        <w:tc>
          <w:tcPr>
            <w:tcW w:w="3885" w:type="dxa"/>
            <w:tcBorders>
              <w:top w:val="single" w:sz="4" w:space="0" w:color="auto"/>
              <w:left w:val="nil"/>
              <w:bottom w:val="single" w:sz="4" w:space="0" w:color="auto"/>
              <w:right w:val="single" w:sz="4" w:space="0" w:color="auto"/>
            </w:tcBorders>
            <w:noWrap/>
            <w:vAlign w:val="bottom"/>
            <w:hideMark/>
          </w:tcPr>
          <w:p w14:paraId="274932AD" w14:textId="026CAFD0" w:rsidR="00F62EB0" w:rsidRPr="00F62EB0" w:rsidRDefault="00212D8E" w:rsidP="00F62EB0">
            <w:pPr>
              <w:jc w:val="center"/>
              <w:rPr>
                <w:rFonts w:ascii="Arial" w:hAnsi="Arial" w:cs="Arial"/>
                <w:color w:val="000000"/>
                <w:szCs w:val="22"/>
              </w:rPr>
            </w:pPr>
            <w:r w:rsidRPr="00F62EB0">
              <w:rPr>
                <w:rFonts w:ascii="Arial" w:hAnsi="Arial" w:cs="Arial"/>
                <w:color w:val="000000"/>
                <w:szCs w:val="22"/>
              </w:rPr>
              <w:t>M</w:t>
            </w:r>
            <w:r w:rsidR="00F62EB0" w:rsidRPr="00F62EB0">
              <w:rPr>
                <w:rFonts w:ascii="Arial" w:hAnsi="Arial" w:cs="Arial"/>
                <w:color w:val="000000"/>
                <w:szCs w:val="22"/>
              </w:rPr>
              <w:t>ax PDCCH BDs</w:t>
            </w:r>
            <w:r w:rsidR="00D0416A">
              <w:rPr>
                <w:rFonts w:ascii="Arial" w:hAnsi="Arial" w:cs="Arial"/>
                <w:color w:val="000000"/>
                <w:szCs w:val="22"/>
              </w:rPr>
              <w:t xml:space="preserve"> per slot</w:t>
            </w:r>
          </w:p>
        </w:tc>
      </w:tr>
      <w:tr w:rsidR="00F62EB0" w14:paraId="5FE8FE1F" w14:textId="77777777" w:rsidTr="00DF0B4C">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64E49C94" w14:textId="77777777" w:rsidR="00F62EB0" w:rsidRPr="00F62EB0" w:rsidRDefault="00F62EB0" w:rsidP="00F62EB0">
            <w:pPr>
              <w:jc w:val="center"/>
              <w:rPr>
                <w:color w:val="000000"/>
                <w:szCs w:val="22"/>
              </w:rPr>
            </w:pPr>
            <w:r w:rsidRPr="00F62EB0">
              <w:rPr>
                <w:color w:val="000000"/>
                <w:szCs w:val="22"/>
              </w:rPr>
              <w:t>P-&gt;P</w:t>
            </w:r>
          </w:p>
        </w:tc>
        <w:tc>
          <w:tcPr>
            <w:tcW w:w="1040" w:type="dxa"/>
            <w:tcBorders>
              <w:top w:val="nil"/>
              <w:left w:val="nil"/>
              <w:bottom w:val="single" w:sz="4" w:space="0" w:color="auto"/>
              <w:right w:val="single" w:sz="4" w:space="0" w:color="auto"/>
            </w:tcBorders>
            <w:noWrap/>
            <w:vAlign w:val="bottom"/>
            <w:hideMark/>
          </w:tcPr>
          <w:p w14:paraId="3157D8EC" w14:textId="77777777" w:rsidR="00F62EB0" w:rsidRPr="00F62EB0" w:rsidRDefault="00F62EB0" w:rsidP="00F62EB0">
            <w:pPr>
              <w:jc w:val="center"/>
              <w:rPr>
                <w:color w:val="000000"/>
                <w:szCs w:val="22"/>
              </w:rPr>
            </w:pPr>
            <w:r w:rsidRPr="00F62EB0">
              <w:rPr>
                <w:color w:val="000000"/>
                <w:szCs w:val="22"/>
              </w:rPr>
              <w:t>n</w:t>
            </w:r>
          </w:p>
        </w:tc>
        <w:tc>
          <w:tcPr>
            <w:tcW w:w="3885" w:type="dxa"/>
            <w:tcBorders>
              <w:top w:val="nil"/>
              <w:left w:val="nil"/>
              <w:bottom w:val="single" w:sz="4" w:space="0" w:color="auto"/>
              <w:right w:val="single" w:sz="4" w:space="0" w:color="auto"/>
            </w:tcBorders>
            <w:noWrap/>
            <w:vAlign w:val="bottom"/>
            <w:hideMark/>
          </w:tcPr>
          <w:p w14:paraId="12299294" w14:textId="76A9D6EF" w:rsidR="00F62EB0" w:rsidRPr="00F62EB0" w:rsidRDefault="00F62EB0" w:rsidP="00F62EB0">
            <w:pPr>
              <w:jc w:val="center"/>
              <w:rPr>
                <w:color w:val="000000"/>
                <w:szCs w:val="22"/>
              </w:rPr>
            </w:pPr>
            <w:r w:rsidRPr="00F62EB0">
              <w:rPr>
                <w:color w:val="000000"/>
                <w:szCs w:val="22"/>
              </w:rPr>
              <w:t>b1=</w:t>
            </w:r>
            <w:r w:rsidR="00212D8E">
              <w:rPr>
                <w:color w:val="000000"/>
                <w:szCs w:val="22"/>
              </w:rPr>
              <w:t>29</w:t>
            </w:r>
          </w:p>
        </w:tc>
      </w:tr>
      <w:tr w:rsidR="00F62EB0" w14:paraId="01364F4E" w14:textId="77777777" w:rsidTr="00DF0B4C">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0869DA9C" w14:textId="77777777" w:rsidR="00F62EB0" w:rsidRPr="00F62EB0" w:rsidRDefault="00F62EB0" w:rsidP="00F62EB0">
            <w:pPr>
              <w:jc w:val="center"/>
              <w:rPr>
                <w:color w:val="000000"/>
                <w:szCs w:val="22"/>
              </w:rPr>
            </w:pPr>
            <w:r w:rsidRPr="00F62EB0">
              <w:rPr>
                <w:color w:val="000000"/>
                <w:szCs w:val="22"/>
              </w:rPr>
              <w:t>S1-&gt;S1</w:t>
            </w:r>
          </w:p>
        </w:tc>
        <w:tc>
          <w:tcPr>
            <w:tcW w:w="1040" w:type="dxa"/>
            <w:tcBorders>
              <w:top w:val="nil"/>
              <w:left w:val="nil"/>
              <w:bottom w:val="single" w:sz="4" w:space="0" w:color="auto"/>
              <w:right w:val="single" w:sz="4" w:space="0" w:color="auto"/>
            </w:tcBorders>
            <w:noWrap/>
            <w:vAlign w:val="bottom"/>
            <w:hideMark/>
          </w:tcPr>
          <w:p w14:paraId="5FF44300" w14:textId="77777777" w:rsidR="00F62EB0" w:rsidRPr="00F62EB0" w:rsidRDefault="00F62EB0" w:rsidP="00F62EB0">
            <w:pPr>
              <w:jc w:val="center"/>
              <w:rPr>
                <w:color w:val="000000"/>
                <w:szCs w:val="22"/>
              </w:rPr>
            </w:pPr>
            <w:r w:rsidRPr="00F62EB0">
              <w:rPr>
                <w:color w:val="000000"/>
                <w:szCs w:val="22"/>
              </w:rPr>
              <w:t>n</w:t>
            </w:r>
          </w:p>
        </w:tc>
        <w:tc>
          <w:tcPr>
            <w:tcW w:w="3885" w:type="dxa"/>
            <w:tcBorders>
              <w:top w:val="nil"/>
              <w:left w:val="nil"/>
              <w:bottom w:val="single" w:sz="4" w:space="0" w:color="auto"/>
              <w:right w:val="single" w:sz="4" w:space="0" w:color="auto"/>
            </w:tcBorders>
            <w:noWrap/>
            <w:vAlign w:val="bottom"/>
            <w:hideMark/>
          </w:tcPr>
          <w:p w14:paraId="38BB36E9" w14:textId="6CA790BF" w:rsidR="00F62EB0" w:rsidRPr="00F62EB0" w:rsidRDefault="00F62EB0" w:rsidP="00F62EB0">
            <w:pPr>
              <w:jc w:val="center"/>
              <w:rPr>
                <w:color w:val="000000"/>
                <w:szCs w:val="22"/>
              </w:rPr>
            </w:pPr>
            <w:r w:rsidRPr="00F62EB0">
              <w:rPr>
                <w:color w:val="000000"/>
                <w:szCs w:val="22"/>
              </w:rPr>
              <w:t>b2 &lt;= 36 such that b2+b3+b4+b5</w:t>
            </w:r>
            <w:r w:rsidR="00212D8E">
              <w:rPr>
                <w:color w:val="000000"/>
                <w:szCs w:val="22"/>
              </w:rPr>
              <w:t>+b6</w:t>
            </w:r>
            <w:r w:rsidRPr="00F62EB0">
              <w:rPr>
                <w:color w:val="000000"/>
                <w:szCs w:val="22"/>
              </w:rPr>
              <w:t xml:space="preserve"> &lt;=</w:t>
            </w:r>
            <w:r w:rsidR="00212D8E">
              <w:rPr>
                <w:color w:val="000000"/>
                <w:szCs w:val="22"/>
              </w:rPr>
              <w:t>120</w:t>
            </w:r>
          </w:p>
        </w:tc>
      </w:tr>
      <w:tr w:rsidR="00F62EB0" w14:paraId="0DBC779F" w14:textId="77777777" w:rsidTr="00DF0B4C">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1B8D21D4" w14:textId="77777777" w:rsidR="00F62EB0" w:rsidRPr="00F62EB0" w:rsidRDefault="00F62EB0" w:rsidP="00F62EB0">
            <w:pPr>
              <w:jc w:val="center"/>
              <w:rPr>
                <w:color w:val="000000"/>
                <w:szCs w:val="22"/>
              </w:rPr>
            </w:pPr>
            <w:r w:rsidRPr="00F62EB0">
              <w:rPr>
                <w:color w:val="000000"/>
                <w:szCs w:val="22"/>
              </w:rPr>
              <w:t>S2-&gt;S2</w:t>
            </w:r>
          </w:p>
        </w:tc>
        <w:tc>
          <w:tcPr>
            <w:tcW w:w="1040" w:type="dxa"/>
            <w:tcBorders>
              <w:top w:val="nil"/>
              <w:left w:val="nil"/>
              <w:bottom w:val="single" w:sz="4" w:space="0" w:color="auto"/>
              <w:right w:val="single" w:sz="4" w:space="0" w:color="auto"/>
            </w:tcBorders>
            <w:noWrap/>
            <w:vAlign w:val="bottom"/>
            <w:hideMark/>
          </w:tcPr>
          <w:p w14:paraId="1057883A" w14:textId="77777777" w:rsidR="00F62EB0" w:rsidRPr="00F62EB0" w:rsidRDefault="00F62EB0" w:rsidP="00F62EB0">
            <w:pPr>
              <w:jc w:val="center"/>
              <w:rPr>
                <w:color w:val="000000"/>
                <w:szCs w:val="22"/>
              </w:rPr>
            </w:pPr>
            <w:r w:rsidRPr="00F62EB0">
              <w:rPr>
                <w:color w:val="000000"/>
                <w:szCs w:val="22"/>
              </w:rPr>
              <w:t>n</w:t>
            </w:r>
          </w:p>
        </w:tc>
        <w:tc>
          <w:tcPr>
            <w:tcW w:w="3885" w:type="dxa"/>
            <w:tcBorders>
              <w:top w:val="nil"/>
              <w:left w:val="nil"/>
              <w:bottom w:val="single" w:sz="4" w:space="0" w:color="auto"/>
              <w:right w:val="single" w:sz="4" w:space="0" w:color="auto"/>
            </w:tcBorders>
            <w:noWrap/>
            <w:vAlign w:val="bottom"/>
            <w:hideMark/>
          </w:tcPr>
          <w:p w14:paraId="0911DF9E" w14:textId="7368EE63" w:rsidR="00F62EB0" w:rsidRPr="00F62EB0" w:rsidRDefault="00F62EB0" w:rsidP="00F62EB0">
            <w:pPr>
              <w:jc w:val="center"/>
              <w:rPr>
                <w:color w:val="000000"/>
                <w:szCs w:val="22"/>
              </w:rPr>
            </w:pPr>
            <w:r w:rsidRPr="00F62EB0">
              <w:rPr>
                <w:color w:val="000000"/>
                <w:szCs w:val="22"/>
              </w:rPr>
              <w:t>b3 &lt;= 36 such that b2+b3+b4+b5</w:t>
            </w:r>
            <w:r w:rsidR="00212D8E">
              <w:rPr>
                <w:color w:val="000000"/>
                <w:szCs w:val="22"/>
              </w:rPr>
              <w:t>+b6</w:t>
            </w:r>
            <w:r w:rsidRPr="00F62EB0">
              <w:rPr>
                <w:color w:val="000000"/>
                <w:szCs w:val="22"/>
              </w:rPr>
              <w:t xml:space="preserve"> &lt;=</w:t>
            </w:r>
            <w:r w:rsidR="00212D8E">
              <w:rPr>
                <w:color w:val="000000"/>
                <w:szCs w:val="22"/>
              </w:rPr>
              <w:t>120</w:t>
            </w:r>
          </w:p>
        </w:tc>
      </w:tr>
      <w:tr w:rsidR="00F62EB0" w14:paraId="61DEA64D" w14:textId="77777777" w:rsidTr="00DF0B4C">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1245C7F9" w14:textId="77777777" w:rsidR="00F62EB0" w:rsidRPr="00F62EB0" w:rsidRDefault="00F62EB0" w:rsidP="00F62EB0">
            <w:pPr>
              <w:jc w:val="center"/>
              <w:rPr>
                <w:color w:val="000000"/>
                <w:szCs w:val="22"/>
              </w:rPr>
            </w:pPr>
            <w:r w:rsidRPr="00F62EB0">
              <w:rPr>
                <w:color w:val="000000"/>
                <w:szCs w:val="22"/>
              </w:rPr>
              <w:t>S3-&gt;S3</w:t>
            </w:r>
          </w:p>
        </w:tc>
        <w:tc>
          <w:tcPr>
            <w:tcW w:w="1040" w:type="dxa"/>
            <w:tcBorders>
              <w:top w:val="nil"/>
              <w:left w:val="nil"/>
              <w:bottom w:val="single" w:sz="4" w:space="0" w:color="auto"/>
              <w:right w:val="single" w:sz="4" w:space="0" w:color="auto"/>
            </w:tcBorders>
            <w:noWrap/>
            <w:vAlign w:val="bottom"/>
            <w:hideMark/>
          </w:tcPr>
          <w:p w14:paraId="1A1555F1" w14:textId="77777777" w:rsidR="00F62EB0" w:rsidRPr="00F62EB0" w:rsidRDefault="00F62EB0" w:rsidP="00F62EB0">
            <w:pPr>
              <w:jc w:val="center"/>
              <w:rPr>
                <w:color w:val="000000"/>
                <w:szCs w:val="22"/>
              </w:rPr>
            </w:pPr>
            <w:r w:rsidRPr="00F62EB0">
              <w:rPr>
                <w:color w:val="000000"/>
                <w:szCs w:val="22"/>
              </w:rPr>
              <w:t>n</w:t>
            </w:r>
          </w:p>
        </w:tc>
        <w:tc>
          <w:tcPr>
            <w:tcW w:w="3885" w:type="dxa"/>
            <w:tcBorders>
              <w:top w:val="nil"/>
              <w:left w:val="nil"/>
              <w:bottom w:val="single" w:sz="4" w:space="0" w:color="auto"/>
              <w:right w:val="single" w:sz="4" w:space="0" w:color="auto"/>
            </w:tcBorders>
            <w:noWrap/>
            <w:vAlign w:val="bottom"/>
            <w:hideMark/>
          </w:tcPr>
          <w:p w14:paraId="3F8EBC68" w14:textId="1B8E47AD" w:rsidR="00F62EB0" w:rsidRPr="00F62EB0" w:rsidRDefault="00F62EB0" w:rsidP="00F62EB0">
            <w:pPr>
              <w:jc w:val="center"/>
              <w:rPr>
                <w:color w:val="000000"/>
                <w:szCs w:val="22"/>
              </w:rPr>
            </w:pPr>
            <w:r w:rsidRPr="00F62EB0">
              <w:rPr>
                <w:color w:val="000000"/>
                <w:szCs w:val="22"/>
              </w:rPr>
              <w:t>b4 &lt;= 36 such that b2+b3+b4+b5</w:t>
            </w:r>
            <w:r w:rsidR="00212D8E">
              <w:rPr>
                <w:color w:val="000000"/>
                <w:szCs w:val="22"/>
              </w:rPr>
              <w:t>+b6</w:t>
            </w:r>
            <w:r w:rsidRPr="00F62EB0">
              <w:rPr>
                <w:color w:val="000000"/>
                <w:szCs w:val="22"/>
              </w:rPr>
              <w:t xml:space="preserve"> &lt;=</w:t>
            </w:r>
            <w:r w:rsidR="00212D8E">
              <w:rPr>
                <w:color w:val="000000"/>
                <w:szCs w:val="22"/>
              </w:rPr>
              <w:t>120</w:t>
            </w:r>
          </w:p>
        </w:tc>
      </w:tr>
      <w:tr w:rsidR="00212D8E" w14:paraId="186F5B4C" w14:textId="77777777" w:rsidTr="00DF0B4C">
        <w:trPr>
          <w:trHeight w:val="290"/>
          <w:jc w:val="center"/>
        </w:trPr>
        <w:tc>
          <w:tcPr>
            <w:tcW w:w="1640" w:type="dxa"/>
            <w:tcBorders>
              <w:top w:val="nil"/>
              <w:left w:val="single" w:sz="4" w:space="0" w:color="auto"/>
              <w:bottom w:val="single" w:sz="4" w:space="0" w:color="auto"/>
              <w:right w:val="single" w:sz="4" w:space="0" w:color="auto"/>
            </w:tcBorders>
            <w:noWrap/>
            <w:vAlign w:val="bottom"/>
          </w:tcPr>
          <w:p w14:paraId="59FB7E4B" w14:textId="3BBA8777" w:rsidR="00212D8E" w:rsidRPr="00F62EB0" w:rsidRDefault="00212D8E" w:rsidP="00F62EB0">
            <w:pPr>
              <w:jc w:val="center"/>
              <w:rPr>
                <w:color w:val="000000"/>
                <w:szCs w:val="22"/>
              </w:rPr>
            </w:pPr>
            <w:r>
              <w:rPr>
                <w:color w:val="000000"/>
                <w:szCs w:val="22"/>
              </w:rPr>
              <w:t>S4-&gt;S4</w:t>
            </w:r>
          </w:p>
        </w:tc>
        <w:tc>
          <w:tcPr>
            <w:tcW w:w="1040" w:type="dxa"/>
            <w:tcBorders>
              <w:top w:val="nil"/>
              <w:left w:val="nil"/>
              <w:bottom w:val="single" w:sz="4" w:space="0" w:color="auto"/>
              <w:right w:val="single" w:sz="4" w:space="0" w:color="auto"/>
            </w:tcBorders>
            <w:noWrap/>
            <w:vAlign w:val="bottom"/>
          </w:tcPr>
          <w:p w14:paraId="2028E7F4" w14:textId="444131CB" w:rsidR="00212D8E" w:rsidRPr="00F62EB0" w:rsidRDefault="00212D8E" w:rsidP="00F62EB0">
            <w:pPr>
              <w:jc w:val="center"/>
              <w:rPr>
                <w:color w:val="000000"/>
                <w:szCs w:val="22"/>
              </w:rPr>
            </w:pPr>
            <w:r>
              <w:rPr>
                <w:color w:val="000000"/>
                <w:szCs w:val="22"/>
              </w:rPr>
              <w:t>n</w:t>
            </w:r>
          </w:p>
        </w:tc>
        <w:tc>
          <w:tcPr>
            <w:tcW w:w="3885" w:type="dxa"/>
            <w:tcBorders>
              <w:top w:val="nil"/>
              <w:left w:val="nil"/>
              <w:bottom w:val="single" w:sz="4" w:space="0" w:color="auto"/>
              <w:right w:val="single" w:sz="4" w:space="0" w:color="auto"/>
            </w:tcBorders>
            <w:noWrap/>
            <w:vAlign w:val="bottom"/>
          </w:tcPr>
          <w:p w14:paraId="5C5733E9" w14:textId="702611EC" w:rsidR="00212D8E" w:rsidRPr="00F62EB0" w:rsidRDefault="00212D8E" w:rsidP="00F62EB0">
            <w:pPr>
              <w:jc w:val="center"/>
              <w:rPr>
                <w:color w:val="000000"/>
                <w:szCs w:val="22"/>
              </w:rPr>
            </w:pPr>
            <w:r>
              <w:rPr>
                <w:color w:val="000000"/>
                <w:szCs w:val="22"/>
              </w:rPr>
              <w:t>b5</w:t>
            </w:r>
            <w:r w:rsidRPr="00F62EB0">
              <w:rPr>
                <w:color w:val="000000"/>
                <w:szCs w:val="22"/>
              </w:rPr>
              <w:t xml:space="preserve"> &lt;= 36 such that b2+b3+b4+b5</w:t>
            </w:r>
            <w:r>
              <w:rPr>
                <w:color w:val="000000"/>
                <w:szCs w:val="22"/>
              </w:rPr>
              <w:t>+b6</w:t>
            </w:r>
            <w:r w:rsidRPr="00F62EB0">
              <w:rPr>
                <w:color w:val="000000"/>
                <w:szCs w:val="22"/>
              </w:rPr>
              <w:t xml:space="preserve"> &lt;=</w:t>
            </w:r>
            <w:r>
              <w:rPr>
                <w:color w:val="000000"/>
                <w:szCs w:val="22"/>
              </w:rPr>
              <w:t>120</w:t>
            </w:r>
          </w:p>
        </w:tc>
      </w:tr>
      <w:tr w:rsidR="00F62EB0" w14:paraId="33EF4421" w14:textId="77777777" w:rsidTr="00DF0B4C">
        <w:trPr>
          <w:trHeight w:val="290"/>
          <w:jc w:val="center"/>
        </w:trPr>
        <w:tc>
          <w:tcPr>
            <w:tcW w:w="1640" w:type="dxa"/>
            <w:tcBorders>
              <w:top w:val="nil"/>
              <w:left w:val="single" w:sz="4" w:space="0" w:color="auto"/>
              <w:bottom w:val="single" w:sz="4" w:space="0" w:color="auto"/>
              <w:right w:val="single" w:sz="4" w:space="0" w:color="auto"/>
            </w:tcBorders>
            <w:noWrap/>
            <w:vAlign w:val="bottom"/>
            <w:hideMark/>
          </w:tcPr>
          <w:p w14:paraId="359EC944" w14:textId="77777777" w:rsidR="00F62EB0" w:rsidRPr="00F62EB0" w:rsidRDefault="00F62EB0" w:rsidP="00F62EB0">
            <w:pPr>
              <w:jc w:val="center"/>
              <w:rPr>
                <w:color w:val="0070C0"/>
                <w:szCs w:val="22"/>
              </w:rPr>
            </w:pPr>
            <w:r w:rsidRPr="00F62EB0">
              <w:rPr>
                <w:color w:val="0070C0"/>
                <w:szCs w:val="22"/>
              </w:rPr>
              <w:t>S1-&gt;P</w:t>
            </w:r>
          </w:p>
        </w:tc>
        <w:tc>
          <w:tcPr>
            <w:tcW w:w="1040" w:type="dxa"/>
            <w:tcBorders>
              <w:top w:val="nil"/>
              <w:left w:val="nil"/>
              <w:bottom w:val="single" w:sz="4" w:space="0" w:color="auto"/>
              <w:right w:val="single" w:sz="4" w:space="0" w:color="auto"/>
            </w:tcBorders>
            <w:noWrap/>
            <w:vAlign w:val="bottom"/>
            <w:hideMark/>
          </w:tcPr>
          <w:p w14:paraId="279C01C2" w14:textId="3C606721" w:rsidR="00F62EB0" w:rsidRPr="00F62EB0" w:rsidRDefault="00EA02B9" w:rsidP="00F62EB0">
            <w:pPr>
              <w:jc w:val="center"/>
              <w:rPr>
                <w:color w:val="0070C0"/>
                <w:szCs w:val="22"/>
              </w:rPr>
            </w:pPr>
            <w:r>
              <w:rPr>
                <w:color w:val="0070C0"/>
                <w:szCs w:val="22"/>
              </w:rPr>
              <w:t>n</w:t>
            </w:r>
          </w:p>
        </w:tc>
        <w:tc>
          <w:tcPr>
            <w:tcW w:w="3885" w:type="dxa"/>
            <w:tcBorders>
              <w:top w:val="nil"/>
              <w:left w:val="nil"/>
              <w:bottom w:val="single" w:sz="4" w:space="0" w:color="auto"/>
              <w:right w:val="single" w:sz="4" w:space="0" w:color="auto"/>
            </w:tcBorders>
            <w:noWrap/>
            <w:vAlign w:val="bottom"/>
            <w:hideMark/>
          </w:tcPr>
          <w:p w14:paraId="26FC30F7" w14:textId="789FA0DD" w:rsidR="00F62EB0" w:rsidRPr="00F62EB0" w:rsidRDefault="00212D8E" w:rsidP="00F62EB0">
            <w:pPr>
              <w:jc w:val="center"/>
              <w:rPr>
                <w:color w:val="0070C0"/>
                <w:szCs w:val="22"/>
              </w:rPr>
            </w:pPr>
            <w:r>
              <w:rPr>
                <w:color w:val="0070C0"/>
                <w:szCs w:val="22"/>
              </w:rPr>
              <w:t>b6</w:t>
            </w:r>
            <w:r w:rsidR="00F62EB0" w:rsidRPr="00F62EB0">
              <w:rPr>
                <w:color w:val="0070C0"/>
                <w:szCs w:val="22"/>
              </w:rPr>
              <w:t xml:space="preserve"> &lt;= 36 such that b2+b3+b4+b5</w:t>
            </w:r>
            <w:r>
              <w:rPr>
                <w:color w:val="0070C0"/>
                <w:szCs w:val="22"/>
              </w:rPr>
              <w:t>+b6</w:t>
            </w:r>
            <w:r w:rsidR="00F62EB0" w:rsidRPr="00F62EB0">
              <w:rPr>
                <w:color w:val="0070C0"/>
                <w:szCs w:val="22"/>
              </w:rPr>
              <w:t xml:space="preserve"> &lt;=1</w:t>
            </w:r>
            <w:r w:rsidR="000D7E6E">
              <w:rPr>
                <w:color w:val="0070C0"/>
                <w:szCs w:val="22"/>
              </w:rPr>
              <w:t>20</w:t>
            </w:r>
          </w:p>
        </w:tc>
      </w:tr>
      <w:tr w:rsidR="00F62EB0" w14:paraId="37014045" w14:textId="77777777" w:rsidTr="00DF0B4C">
        <w:trPr>
          <w:trHeight w:val="290"/>
          <w:jc w:val="center"/>
        </w:trPr>
        <w:tc>
          <w:tcPr>
            <w:tcW w:w="1640" w:type="dxa"/>
            <w:noWrap/>
            <w:vAlign w:val="bottom"/>
            <w:hideMark/>
          </w:tcPr>
          <w:p w14:paraId="7D157C01" w14:textId="77777777" w:rsidR="00F62EB0" w:rsidRPr="00F62EB0" w:rsidRDefault="00F62EB0">
            <w:pPr>
              <w:rPr>
                <w:color w:val="000000"/>
                <w:szCs w:val="22"/>
              </w:rPr>
            </w:pPr>
          </w:p>
        </w:tc>
        <w:tc>
          <w:tcPr>
            <w:tcW w:w="1040" w:type="dxa"/>
            <w:noWrap/>
            <w:vAlign w:val="bottom"/>
            <w:hideMark/>
          </w:tcPr>
          <w:p w14:paraId="3C432049" w14:textId="77777777" w:rsidR="00F62EB0" w:rsidRPr="00F62EB0" w:rsidRDefault="00F62EB0" w:rsidP="00ED5551">
            <w:pPr>
              <w:jc w:val="center"/>
            </w:pPr>
          </w:p>
        </w:tc>
        <w:tc>
          <w:tcPr>
            <w:tcW w:w="3885" w:type="dxa"/>
            <w:tcBorders>
              <w:top w:val="nil"/>
              <w:left w:val="single" w:sz="4" w:space="0" w:color="auto"/>
              <w:bottom w:val="single" w:sz="4" w:space="0" w:color="auto"/>
              <w:right w:val="single" w:sz="4" w:space="0" w:color="auto"/>
            </w:tcBorders>
            <w:noWrap/>
            <w:vAlign w:val="bottom"/>
            <w:hideMark/>
          </w:tcPr>
          <w:p w14:paraId="763A55FA" w14:textId="6208CA92" w:rsidR="00F62EB0" w:rsidRPr="00F62EB0" w:rsidRDefault="00F62EB0" w:rsidP="00ED5551">
            <w:pPr>
              <w:jc w:val="center"/>
              <w:rPr>
                <w:color w:val="000000"/>
                <w:sz w:val="22"/>
                <w:szCs w:val="22"/>
              </w:rPr>
            </w:pPr>
            <w:r w:rsidRPr="00F62EB0">
              <w:rPr>
                <w:color w:val="000000"/>
                <w:szCs w:val="22"/>
              </w:rPr>
              <w:t xml:space="preserve">total = </w:t>
            </w:r>
            <w:r w:rsidR="00EA02B9">
              <w:rPr>
                <w:color w:val="000000"/>
                <w:szCs w:val="22"/>
              </w:rPr>
              <w:t>(</w:t>
            </w:r>
            <w:r w:rsidR="00212D8E">
              <w:rPr>
                <w:color w:val="000000"/>
                <w:szCs w:val="22"/>
              </w:rPr>
              <w:t>120</w:t>
            </w:r>
            <w:r w:rsidR="00EA02B9">
              <w:rPr>
                <w:color w:val="000000"/>
                <w:szCs w:val="22"/>
              </w:rPr>
              <w:t xml:space="preserve"> @30kHz) </w:t>
            </w:r>
            <w:r w:rsidRPr="00F62EB0">
              <w:rPr>
                <w:color w:val="000000"/>
                <w:szCs w:val="22"/>
              </w:rPr>
              <w:t>+</w:t>
            </w:r>
            <w:r w:rsidR="00212D8E">
              <w:rPr>
                <w:color w:val="000000"/>
                <w:szCs w:val="22"/>
              </w:rPr>
              <w:t>29</w:t>
            </w:r>
            <w:r w:rsidR="00EA02B9">
              <w:rPr>
                <w:color w:val="000000"/>
                <w:szCs w:val="22"/>
              </w:rPr>
              <w:t xml:space="preserve"> @15kHz</w:t>
            </w:r>
          </w:p>
        </w:tc>
      </w:tr>
    </w:tbl>
    <w:p w14:paraId="07532AC0" w14:textId="612998A2" w:rsidR="00F62EB0" w:rsidRDefault="00F62EB0" w:rsidP="00D84E76">
      <w:pPr>
        <w:rPr>
          <w:rFonts w:eastAsiaTheme="minorEastAsia" w:cs="Arial"/>
        </w:rPr>
      </w:pPr>
    </w:p>
    <w:p w14:paraId="13D172C5" w14:textId="34B4C643" w:rsidR="00EA02B9" w:rsidRDefault="00EA02B9" w:rsidP="00D84E76">
      <w:pPr>
        <w:rPr>
          <w:rFonts w:eastAsiaTheme="minorEastAsia" w:cs="Arial"/>
        </w:rPr>
      </w:pPr>
    </w:p>
    <w:p w14:paraId="69EFA52A" w14:textId="77777777" w:rsidR="00217332" w:rsidRDefault="00217332" w:rsidP="00217332">
      <w:pPr>
        <w:pStyle w:val="BodyText"/>
      </w:pPr>
      <w:r>
        <w:t xml:space="preserve">For case when UE does not indicate </w:t>
      </w:r>
      <w:r w:rsidRPr="00217332">
        <w:rPr>
          <w:i/>
          <w:iCs/>
        </w:rPr>
        <w:t>pdcch-BlindDetectionCA</w:t>
      </w:r>
      <w:r w:rsidRPr="006B1D6F">
        <w:t xml:space="preserve">,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r>
          <w:rPr>
            <w:rFonts w:ascii="Cambria Math" w:hAnsi="Cambria Math"/>
          </w:rPr>
          <m:t xml:space="preserve"> </m:t>
        </m:r>
      </m:oMath>
      <w:r w:rsidRPr="006B1D6F">
        <w:t>is</w:t>
      </w:r>
      <w:r>
        <w:t xml:space="preserve"> given as follows according to sub-clause 10.1 of current 38.213 </w:t>
      </w:r>
    </w:p>
    <w:p w14:paraId="29A03B0A" w14:textId="77777777" w:rsidR="00217332" w:rsidRDefault="00217332" w:rsidP="00217332">
      <w:pPr>
        <w:pStyle w:val="BodyText"/>
        <w:ind w:left="720"/>
      </w:pPr>
      <w:r>
        <w:t>“</w:t>
      </w:r>
      <m:oMath>
        <m:sSubSup>
          <m:sSubSupPr>
            <m:ctrlPr>
              <w:rPr>
                <w:rFonts w:ascii="Cambria Math" w:hAnsi="Cambria Math"/>
                <w:i/>
                <w:sz w:val="24"/>
              </w:rPr>
            </m:ctrlPr>
          </m:sSubSupPr>
          <m:e>
            <m:r>
              <w:rPr>
                <w:rFonts w:ascii="Cambria Math"/>
              </w:rPr>
              <m:t>N</m:t>
            </m:r>
          </m:e>
          <m:sub>
            <m:r>
              <m:rPr>
                <m:nor/>
              </m:rPr>
              <w:rPr>
                <w:rFonts w:ascii="Cambria Math"/>
                <w:i/>
              </w:rPr>
              <m:t>cells</m:t>
            </m:r>
          </m:sub>
          <m:sup>
            <m:r>
              <m:rPr>
                <m:nor/>
              </m:rPr>
              <w:rPr>
                <w:rFonts w:ascii="Cambria Math"/>
                <w:i/>
              </w:rPr>
              <m:t>cap</m:t>
            </m:r>
          </m:sup>
        </m:sSubSup>
      </m:oMath>
      <w:r w:rsidRPr="006B1D6F">
        <w:rPr>
          <w:i/>
        </w:rPr>
        <w:t xml:space="preserve"> </w:t>
      </w:r>
      <w:r w:rsidRPr="006B1D6F">
        <w:rPr>
          <w:i/>
          <w:lang w:eastAsia="ko-KR"/>
        </w:rPr>
        <w:t xml:space="preserve">is </w:t>
      </w:r>
      <m:oMath>
        <m:sSubSup>
          <m:sSubSupPr>
            <m:ctrlPr>
              <w:rPr>
                <w:rFonts w:ascii="Cambria Math" w:hAnsi="Cambria Math"/>
                <w:i/>
                <w:sz w:val="24"/>
              </w:rPr>
            </m:ctrlPr>
          </m:sSubSupPr>
          <m:e>
            <m:r>
              <w:rPr>
                <w:rFonts w:ascii="Cambria Math"/>
              </w:rPr>
              <m:t>N</m:t>
            </m:r>
          </m:e>
          <m:sub>
            <m:r>
              <m:rPr>
                <m:nor/>
              </m:rPr>
              <w:rPr>
                <w:rFonts w:ascii="Cambria Math"/>
                <w:i/>
              </w:rPr>
              <m:t>cells,0</m:t>
            </m:r>
          </m:sub>
          <m:sup>
            <m:r>
              <m:rPr>
                <m:nor/>
              </m:rPr>
              <w:rPr>
                <w:rFonts w:ascii="Cambria Math"/>
                <w:i/>
              </w:rPr>
              <m:t>DL</m:t>
            </m:r>
          </m:sup>
        </m:sSubSup>
        <m:r>
          <w:rPr>
            <w:rFonts w:ascii="Cambria Math" w:hAnsi="Cambria Math"/>
          </w:rPr>
          <m:t>+R</m:t>
        </m:r>
        <m:r>
          <w:rPr>
            <w:rFonts w:ascii="Cambria Math" w:hAnsi="Cambria Math" w:cs="Cambria Math"/>
          </w:rPr>
          <m:t>⋅</m:t>
        </m:r>
        <m:sSubSup>
          <m:sSubSupPr>
            <m:ctrlPr>
              <w:rPr>
                <w:rFonts w:ascii="Cambria Math" w:hAnsi="Cambria Math"/>
                <w:i/>
                <w:sz w:val="24"/>
              </w:rPr>
            </m:ctrlPr>
          </m:sSubSupPr>
          <m:e>
            <m:r>
              <w:rPr>
                <w:rFonts w:ascii="Cambria Math"/>
              </w:rPr>
              <m:t>N</m:t>
            </m:r>
          </m:e>
          <m:sub>
            <m:r>
              <m:rPr>
                <m:nor/>
              </m:rPr>
              <w:rPr>
                <w:rFonts w:ascii="Cambria Math"/>
                <w:i/>
              </w:rPr>
              <m:t>cells,1</m:t>
            </m:r>
          </m:sub>
          <m:sup>
            <m:r>
              <m:rPr>
                <m:nor/>
              </m:rPr>
              <w:rPr>
                <w:rFonts w:ascii="Cambria Math"/>
                <w:i/>
              </w:rPr>
              <m:t>DL</m:t>
            </m:r>
          </m:sup>
        </m:sSubSup>
      </m:oMath>
      <w:r w:rsidRPr="006B1D6F">
        <w:rPr>
          <w:i/>
          <w:lang w:eastAsia="ko-KR"/>
        </w:rPr>
        <w:t xml:space="preserve"> if the UE does not provide </w:t>
      </w:r>
      <w:r w:rsidRPr="00F1329F">
        <w:rPr>
          <w:i/>
        </w:rPr>
        <w:t>pdcch-BlindDetectionCA</w:t>
      </w:r>
      <w:r w:rsidRPr="006B1D6F">
        <w:rPr>
          <w:i/>
        </w:rPr>
        <w:t xml:space="preserve">  </w:t>
      </w:r>
      <m:oMath>
        <m:sSubSup>
          <m:sSubSupPr>
            <m:ctrlPr>
              <w:rPr>
                <w:rFonts w:ascii="Cambria Math" w:hAnsi="Cambria Math"/>
                <w:i/>
              </w:rPr>
            </m:ctrlPr>
          </m:sSubSupPr>
          <m:e>
            <m:r>
              <w:rPr>
                <w:rFonts w:ascii="Cambria Math" w:hAnsi="Cambria Math"/>
              </w:rPr>
              <m:t>N</m:t>
            </m:r>
          </m:e>
          <m:sub>
            <m:r>
              <m:rPr>
                <m:nor/>
              </m:rPr>
              <w:rPr>
                <w:i/>
              </w:rPr>
              <m:t>cells,0</m:t>
            </m:r>
          </m:sub>
          <m:sup>
            <m:r>
              <m:rPr>
                <m:nor/>
              </m:rPr>
              <w:rPr>
                <w:i/>
              </w:rPr>
              <m:t>DL</m:t>
            </m:r>
          </m:sup>
        </m:sSubSup>
        <m:r>
          <w:rPr>
            <w:rFonts w:ascii="Cambria Math" w:hAnsi="Cambria Math"/>
          </w:rPr>
          <m:t>+R⋅</m:t>
        </m:r>
        <m:sSubSup>
          <m:sSubSupPr>
            <m:ctrlPr>
              <w:rPr>
                <w:rFonts w:ascii="Cambria Math" w:hAnsi="Cambria Math"/>
                <w:i/>
              </w:rPr>
            </m:ctrlPr>
          </m:sSubSupPr>
          <m:e>
            <m:r>
              <w:rPr>
                <w:rFonts w:ascii="Cambria Math" w:hAnsi="Cambria Math"/>
              </w:rPr>
              <m:t>N</m:t>
            </m:r>
          </m:e>
          <m:sub>
            <m:r>
              <m:rPr>
                <m:nor/>
              </m:rPr>
              <w:rPr>
                <w:i/>
              </w:rPr>
              <m:t>cells,1</m:t>
            </m:r>
          </m:sub>
          <m:sup>
            <m:r>
              <m:rPr>
                <m:nor/>
              </m:rPr>
              <w:rPr>
                <w:i/>
              </w:rPr>
              <m:t>DL</m:t>
            </m:r>
          </m:sup>
        </m:sSubSup>
      </m:oMath>
      <w:r w:rsidRPr="006B1D6F">
        <w:rPr>
          <w:i/>
        </w:rPr>
        <w:t xml:space="preserve"> where </w:t>
      </w:r>
      <m:oMath>
        <m:sSubSup>
          <m:sSubSupPr>
            <m:ctrlPr>
              <w:rPr>
                <w:rFonts w:ascii="Cambria Math" w:hAnsi="Cambria Math"/>
                <w:i/>
              </w:rPr>
            </m:ctrlPr>
          </m:sSubSupPr>
          <m:e>
            <m:r>
              <w:rPr>
                <w:rFonts w:ascii="Cambria Math" w:hAnsi="Cambria Math"/>
              </w:rPr>
              <m:t>N</m:t>
            </m:r>
          </m:e>
          <m:sub>
            <m:r>
              <m:rPr>
                <m:nor/>
              </m:rPr>
              <w:rPr>
                <w:i/>
              </w:rPr>
              <m:t>cells,0</m:t>
            </m:r>
          </m:sub>
          <m:sup>
            <m:r>
              <m:rPr>
                <m:nor/>
              </m:rPr>
              <w:rPr>
                <w:i/>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i/>
              </w:rPr>
              <m:t>cells,1</m:t>
            </m:r>
          </m:sub>
          <m:sup>
            <m:r>
              <m:rPr>
                <m:nor/>
              </m:rPr>
              <w:rPr>
                <w:i/>
              </w:rPr>
              <m:t>DL</m:t>
            </m:r>
          </m:sup>
        </m:sSubSup>
      </m:oMath>
      <w:r w:rsidRPr="006B1D6F">
        <w:rPr>
          <w:i/>
        </w:rPr>
        <w:t xml:space="preserve"> is the number of configured downlink serving cells</w:t>
      </w:r>
      <w:r w:rsidRPr="00217332">
        <w:t>”</w:t>
      </w:r>
      <w:r>
        <w:t xml:space="preserve">. </w:t>
      </w:r>
    </w:p>
    <w:p w14:paraId="0305AF00" w14:textId="4ED904FB" w:rsidR="00217332" w:rsidRPr="00217332" w:rsidRDefault="00217332" w:rsidP="00217332">
      <w:pPr>
        <w:pStyle w:val="BodyText"/>
        <w:rPr>
          <w:szCs w:val="20"/>
        </w:rPr>
      </w:pPr>
      <w:r>
        <w:lastRenderedPageBreak/>
        <w:t xml:space="preserve">For example, if UE indicates R=2 and is configured with two serving cells of which one is configured with </w:t>
      </w:r>
      <w:r>
        <w:rPr>
          <w:color w:val="000000"/>
          <w:szCs w:val="20"/>
          <w:lang w:eastAsia="zh-CN"/>
        </w:rPr>
        <w:t xml:space="preserve">separate CORESET pools, </w:t>
      </w:r>
      <m:oMath>
        <m:sSubSup>
          <m:sSubSupPr>
            <m:ctrlPr>
              <w:rPr>
                <w:rFonts w:ascii="Cambria Math" w:hAnsi="Cambria Math"/>
                <w:i/>
                <w:sz w:val="24"/>
              </w:rPr>
            </m:ctrlPr>
          </m:sSubSupPr>
          <m:e>
            <m:r>
              <w:rPr>
                <w:rFonts w:ascii="Cambria Math"/>
              </w:rPr>
              <m:t>N</m:t>
            </m:r>
          </m:e>
          <m:sub>
            <m:r>
              <m:rPr>
                <m:nor/>
              </m:rPr>
              <w:rPr>
                <w:rFonts w:ascii="Cambria Math"/>
                <w:i/>
              </w:rPr>
              <m:t>cells</m:t>
            </m:r>
          </m:sub>
          <m:sup>
            <m:r>
              <m:rPr>
                <m:nor/>
              </m:rPr>
              <w:rPr>
                <w:rFonts w:ascii="Cambria Math"/>
                <w:i/>
              </w:rPr>
              <m:t>cap</m:t>
            </m:r>
          </m:sup>
        </m:sSubSup>
      </m:oMath>
      <w:r>
        <w:rPr>
          <w:sz w:val="24"/>
        </w:rPr>
        <w:t>=</w:t>
      </w:r>
      <w:r>
        <w:rPr>
          <w:szCs w:val="20"/>
        </w:rPr>
        <w:t xml:space="preserve">3. </w:t>
      </w:r>
      <w:r>
        <w:t xml:space="preserve">For Rel17, SCell to PCell scheduling, one approach is to use similar handling as multi-TRP. i.e., if UE is configured with SCell to PCell scheduling and does not indicate </w:t>
      </w:r>
      <w:r w:rsidRPr="006B1D6F">
        <w:rPr>
          <w:i/>
        </w:rPr>
        <w:t>pdcch-BlindDetectionCA</w:t>
      </w:r>
      <w:r>
        <w:rPr>
          <w:szCs w:val="20"/>
        </w:rPr>
        <w:t xml:space="preserve">, </w:t>
      </w:r>
      <m:oMath>
        <m:sSubSup>
          <m:sSubSupPr>
            <m:ctrlPr>
              <w:rPr>
                <w:rFonts w:ascii="Cambria Math" w:hAnsi="Cambria Math"/>
                <w:i/>
                <w:sz w:val="24"/>
              </w:rPr>
            </m:ctrlPr>
          </m:sSubSupPr>
          <m:e>
            <m:r>
              <w:rPr>
                <w:rFonts w:ascii="Cambria Math"/>
              </w:rPr>
              <m:t>N</m:t>
            </m:r>
          </m:e>
          <m:sub>
            <m:r>
              <m:rPr>
                <m:nor/>
              </m:rPr>
              <w:rPr>
                <w:rFonts w:ascii="Cambria Math"/>
                <w:i/>
              </w:rPr>
              <m:t>cells</m:t>
            </m:r>
          </m:sub>
          <m:sup>
            <m:r>
              <m:rPr>
                <m:nor/>
              </m:rPr>
              <w:rPr>
                <w:rFonts w:ascii="Cambria Math"/>
                <w:i/>
              </w:rPr>
              <m:t>cap</m:t>
            </m:r>
          </m:sup>
        </m:sSubSup>
      </m:oMath>
      <w:r>
        <w:rPr>
          <w:szCs w:val="20"/>
        </w:rPr>
        <w:t xml:space="preserve"> is 1+ </w:t>
      </w:r>
      <m:oMath>
        <m:sSubSup>
          <m:sSubSupPr>
            <m:ctrlPr>
              <w:rPr>
                <w:rFonts w:ascii="Cambria Math" w:hAnsi="Cambria Math"/>
                <w:i/>
                <w:sz w:val="24"/>
              </w:rPr>
            </m:ctrlPr>
          </m:sSubSupPr>
          <m:e>
            <m:r>
              <w:rPr>
                <w:rFonts w:ascii="Cambria Math"/>
              </w:rPr>
              <m:t>N</m:t>
            </m:r>
          </m:e>
          <m:sub>
            <m:r>
              <m:rPr>
                <m:nor/>
              </m:rPr>
              <w:rPr>
                <w:rFonts w:ascii="Cambria Math"/>
                <w:i/>
              </w:rPr>
              <m:t>cells,0</m:t>
            </m:r>
          </m:sub>
          <m:sup>
            <m:r>
              <m:rPr>
                <m:nor/>
              </m:rPr>
              <w:rPr>
                <w:rFonts w:ascii="Cambria Math"/>
                <w:i/>
              </w:rPr>
              <m:t>DL</m:t>
            </m:r>
          </m:sup>
        </m:sSubSup>
        <m:r>
          <w:rPr>
            <w:rFonts w:ascii="Cambria Math" w:hAnsi="Cambria Math"/>
          </w:rPr>
          <m:t>+R</m:t>
        </m:r>
        <m:r>
          <w:rPr>
            <w:rFonts w:ascii="Cambria Math" w:hAnsi="Cambria Math" w:cs="Cambria Math"/>
          </w:rPr>
          <m:t>⋅</m:t>
        </m:r>
        <m:sSubSup>
          <m:sSubSupPr>
            <m:ctrlPr>
              <w:rPr>
                <w:rFonts w:ascii="Cambria Math" w:hAnsi="Cambria Math"/>
                <w:i/>
                <w:sz w:val="24"/>
              </w:rPr>
            </m:ctrlPr>
          </m:sSubSupPr>
          <m:e>
            <m:r>
              <w:rPr>
                <w:rFonts w:ascii="Cambria Math"/>
              </w:rPr>
              <m:t>N</m:t>
            </m:r>
          </m:e>
          <m:sub>
            <m:r>
              <m:rPr>
                <m:nor/>
              </m:rPr>
              <w:rPr>
                <w:rFonts w:ascii="Cambria Math"/>
                <w:i/>
              </w:rPr>
              <m:t>cells,1</m:t>
            </m:r>
          </m:sub>
          <m:sup>
            <m:r>
              <m:rPr>
                <m:nor/>
              </m:rPr>
              <w:rPr>
                <w:rFonts w:ascii="Cambria Math"/>
                <w:i/>
              </w:rPr>
              <m:t>DL</m:t>
            </m:r>
          </m:sup>
        </m:sSubSup>
      </m:oMath>
      <w:r>
        <w:rPr>
          <w:szCs w:val="20"/>
        </w:rPr>
        <w:t xml:space="preserve">. Other option is to set </w:t>
      </w:r>
      <m:oMath>
        <m:sSubSup>
          <m:sSubSupPr>
            <m:ctrlPr>
              <w:rPr>
                <w:rFonts w:ascii="Cambria Math" w:hAnsi="Cambria Math"/>
                <w:i/>
                <w:sz w:val="24"/>
              </w:rPr>
            </m:ctrlPr>
          </m:sSubSupPr>
          <m:e>
            <m:r>
              <w:rPr>
                <w:rFonts w:ascii="Cambria Math"/>
              </w:rPr>
              <m:t>N</m:t>
            </m:r>
          </m:e>
          <m:sub>
            <m:r>
              <m:rPr>
                <m:nor/>
              </m:rPr>
              <w:rPr>
                <w:rFonts w:ascii="Cambria Math"/>
                <w:i/>
              </w:rPr>
              <m:t>cells</m:t>
            </m:r>
          </m:sub>
          <m:sup>
            <m:r>
              <m:rPr>
                <m:nor/>
              </m:rPr>
              <w:rPr>
                <w:rFonts w:ascii="Cambria Math"/>
                <w:i/>
              </w:rPr>
              <m:t>cap</m:t>
            </m:r>
          </m:sup>
        </m:sSubSup>
      </m:oMath>
      <w:r>
        <w:rPr>
          <w:szCs w:val="20"/>
        </w:rPr>
        <w:t xml:space="preserve"> to </w:t>
      </w:r>
      <m:oMath>
        <m:sSubSup>
          <m:sSubSupPr>
            <m:ctrlPr>
              <w:rPr>
                <w:rFonts w:ascii="Cambria Math" w:hAnsi="Cambria Math"/>
                <w:i/>
                <w:sz w:val="24"/>
              </w:rPr>
            </m:ctrlPr>
          </m:sSubSupPr>
          <m:e>
            <m:r>
              <w:rPr>
                <w:rFonts w:ascii="Cambria Math"/>
              </w:rPr>
              <m:t>N</m:t>
            </m:r>
          </m:e>
          <m:sub>
            <m:r>
              <m:rPr>
                <m:nor/>
              </m:rPr>
              <w:rPr>
                <w:rFonts w:ascii="Cambria Math"/>
                <w:i/>
              </w:rPr>
              <m:t>cells,0</m:t>
            </m:r>
          </m:sub>
          <m:sup>
            <m:r>
              <m:rPr>
                <m:nor/>
              </m:rPr>
              <w:rPr>
                <w:rFonts w:ascii="Cambria Math"/>
                <w:i/>
              </w:rPr>
              <m:t>DL</m:t>
            </m:r>
          </m:sup>
        </m:sSubSup>
        <m:r>
          <w:rPr>
            <w:rFonts w:ascii="Cambria Math" w:hAnsi="Cambria Math"/>
          </w:rPr>
          <m:t>+R</m:t>
        </m:r>
        <m:r>
          <w:rPr>
            <w:rFonts w:ascii="Cambria Math" w:hAnsi="Cambria Math" w:cs="Cambria Math"/>
          </w:rPr>
          <m:t>⋅</m:t>
        </m:r>
        <m:sSubSup>
          <m:sSubSupPr>
            <m:ctrlPr>
              <w:rPr>
                <w:rFonts w:ascii="Cambria Math" w:hAnsi="Cambria Math"/>
                <w:i/>
                <w:sz w:val="24"/>
              </w:rPr>
            </m:ctrlPr>
          </m:sSubSupPr>
          <m:e>
            <m:r>
              <w:rPr>
                <w:rFonts w:ascii="Cambria Math"/>
              </w:rPr>
              <m:t>N</m:t>
            </m:r>
          </m:e>
          <m:sub>
            <m:r>
              <m:rPr>
                <m:nor/>
              </m:rPr>
              <w:rPr>
                <w:rFonts w:ascii="Cambria Math"/>
                <w:i/>
              </w:rPr>
              <m:t>cells,1</m:t>
            </m:r>
          </m:sub>
          <m:sup>
            <m:r>
              <m:rPr>
                <m:nor/>
              </m:rPr>
              <w:rPr>
                <w:rFonts w:ascii="Cambria Math"/>
                <w:i/>
              </w:rPr>
              <m:t>DL</m:t>
            </m:r>
          </m:sup>
        </m:sSubSup>
      </m:oMath>
      <w:r>
        <w:rPr>
          <w:szCs w:val="20"/>
        </w:rPr>
        <w:t xml:space="preserve">  regardless of configuration of SCell to PCell scheduling or not. Our preference is to decide from one to these two approaches after </w:t>
      </w:r>
      <w:r w:rsidR="0008252D">
        <w:rPr>
          <w:szCs w:val="20"/>
        </w:rPr>
        <w:t xml:space="preserve">discussion </w:t>
      </w:r>
      <w:r>
        <w:rPr>
          <w:szCs w:val="20"/>
        </w:rPr>
        <w:t xml:space="preserve">for the case when UE reports </w:t>
      </w:r>
      <w:r w:rsidRPr="006B1D6F">
        <w:rPr>
          <w:i/>
          <w:iCs/>
        </w:rPr>
        <w:t>pdcch-BlindDetectionCA</w:t>
      </w:r>
      <w:r w:rsidR="00D71C3E">
        <w:rPr>
          <w:i/>
          <w:iCs/>
        </w:rPr>
        <w:t xml:space="preserve"> </w:t>
      </w:r>
      <w:r w:rsidR="00D71C3E">
        <w:rPr>
          <w:szCs w:val="20"/>
        </w:rPr>
        <w:t>is finalized.</w:t>
      </w:r>
    </w:p>
    <w:p w14:paraId="7C1892CA" w14:textId="77777777" w:rsidR="00461F7B" w:rsidRDefault="00461F7B" w:rsidP="00D84E76">
      <w:pPr>
        <w:rPr>
          <w:rFonts w:eastAsiaTheme="minorEastAsia" w:cs="Arial"/>
        </w:rPr>
      </w:pPr>
    </w:p>
    <w:p w14:paraId="65154588" w14:textId="53E23FD6" w:rsidR="0041590D" w:rsidRDefault="0041590D" w:rsidP="0041590D">
      <w:pPr>
        <w:jc w:val="both"/>
        <w:rPr>
          <w:b/>
          <w:bCs/>
          <w:u w:val="single"/>
        </w:rPr>
      </w:pPr>
      <w:r>
        <w:rPr>
          <w:b/>
          <w:bCs/>
          <w:u w:val="single"/>
        </w:rPr>
        <w:t>Proposal</w:t>
      </w:r>
      <w:r w:rsidRPr="004377CC">
        <w:rPr>
          <w:b/>
          <w:bCs/>
          <w:u w:val="single"/>
        </w:rPr>
        <w:t xml:space="preserve"> </w:t>
      </w:r>
      <w:r>
        <w:rPr>
          <w:b/>
          <w:bCs/>
          <w:u w:val="single"/>
        </w:rPr>
        <w:t>2</w:t>
      </w:r>
    </w:p>
    <w:p w14:paraId="3678A1C9" w14:textId="77777777" w:rsidR="0049755B" w:rsidRDefault="0041590D" w:rsidP="0041590D">
      <w:pPr>
        <w:pStyle w:val="BodyText"/>
        <w:numPr>
          <w:ilvl w:val="0"/>
          <w:numId w:val="28"/>
        </w:numPr>
        <w:rPr>
          <w:i/>
          <w:iCs/>
        </w:rPr>
      </w:pPr>
      <w:r w:rsidRPr="00573E1D">
        <w:rPr>
          <w:rFonts w:eastAsiaTheme="minorEastAsia" w:cs="Arial"/>
          <w:i/>
          <w:iCs/>
        </w:rPr>
        <w:t xml:space="preserve">For Rel17 SCell to PCell scheduling, at least for case when </w:t>
      </w:r>
      <w:r w:rsidRPr="00573E1D">
        <w:rPr>
          <w:i/>
          <w:iCs/>
        </w:rPr>
        <w:t xml:space="preserve">UE </w:t>
      </w:r>
      <w:r w:rsidR="0049755B">
        <w:rPr>
          <w:i/>
          <w:iCs/>
        </w:rPr>
        <w:t xml:space="preserve">indicates </w:t>
      </w:r>
      <w:r w:rsidR="0049755B">
        <w:rPr>
          <w:i/>
        </w:rPr>
        <w:t xml:space="preserve">pdcch-BlindDetectionCA and </w:t>
      </w:r>
      <w:r w:rsidRPr="00573E1D">
        <w:rPr>
          <w:i/>
          <w:iCs/>
        </w:rPr>
        <w:t xml:space="preserve">is not provided monitoringCapabilityConfig-r16, </w:t>
      </w:r>
    </w:p>
    <w:p w14:paraId="434D26B7" w14:textId="03AD9D4F" w:rsidR="00D84E76" w:rsidRPr="00573E1D" w:rsidRDefault="0041590D" w:rsidP="00DF0B4C">
      <w:pPr>
        <w:pStyle w:val="BodyText"/>
        <w:numPr>
          <w:ilvl w:val="1"/>
          <w:numId w:val="28"/>
        </w:numPr>
        <w:rPr>
          <w:i/>
          <w:iCs/>
        </w:rPr>
      </w:pPr>
      <w:r w:rsidRPr="00573E1D">
        <w:rPr>
          <w:i/>
          <w:iCs/>
        </w:rPr>
        <w:t xml:space="preserve">the </w:t>
      </w:r>
      <w:r w:rsidRPr="00573E1D">
        <w:rPr>
          <w:rFonts w:eastAsiaTheme="minorEastAsia" w:cs="Arial"/>
          <w:i/>
          <w:iCs/>
        </w:rPr>
        <w:t xml:space="preserve">BD/CCE limits are computed by </w:t>
      </w:r>
      <w:r w:rsidRPr="00573E1D">
        <w:rPr>
          <w:i/>
          <w:iCs/>
        </w:rPr>
        <w:t xml:space="preserve">counting (s-p) scheduling as an additional cell in the LHS part of  the conditions </w:t>
      </w:r>
      <m:oMath>
        <m:nary>
          <m:naryPr>
            <m:chr m:val="∑"/>
            <m:ctrlPr>
              <w:rPr>
                <w:rFonts w:ascii="Cambria Math" w:hAnsi="Cambria Math"/>
                <w:i/>
                <w:iCs/>
              </w:rPr>
            </m:ctrlPr>
          </m:naryPr>
          <m:sub>
            <m:r>
              <w:rPr>
                <w:rFonts w:ascii="Cambria Math"/>
              </w:rPr>
              <m:t>μ=0</m:t>
            </m:r>
          </m:sub>
          <m:sup>
            <m:r>
              <w:rPr>
                <w:rFonts w:ascii="Cambria Math"/>
              </w:rPr>
              <m:t>3</m:t>
            </m:r>
          </m:sup>
          <m:e>
            <m:d>
              <m:dPr>
                <m:ctrlPr>
                  <w:rPr>
                    <w:rFonts w:ascii="Cambria Math" w:hAnsi="Cambria Math"/>
                    <w:i/>
                    <w:iCs/>
                  </w:rPr>
                </m:ctrlPr>
              </m:dPr>
              <m:e>
                <m:sSubSup>
                  <m:sSubSupPr>
                    <m:ctrlPr>
                      <w:rPr>
                        <w:rFonts w:ascii="Cambria Math" w:hAnsi="Cambria Math"/>
                        <w:i/>
                        <w:iCs/>
                      </w:rPr>
                    </m:ctrlPr>
                  </m:sSubSupPr>
                  <m:e>
                    <m:r>
                      <w:rPr>
                        <w:rFonts w:ascii="Cambria Math"/>
                      </w:rPr>
                      <m:t>N</m:t>
                    </m:r>
                  </m:e>
                  <m:sub>
                    <m:r>
                      <m:rPr>
                        <m:nor/>
                      </m:rPr>
                      <w:rPr>
                        <w:rFonts w:ascii="Cambria Math"/>
                        <w:i/>
                        <w:iCs/>
                      </w:rPr>
                      <m:t>cells,0</m:t>
                    </m:r>
                  </m:sub>
                  <m:sup>
                    <m:r>
                      <m:rPr>
                        <m:nor/>
                      </m:rPr>
                      <w:rPr>
                        <w:rFonts w:ascii="Cambria Math"/>
                        <w:i/>
                        <w:iCs/>
                      </w:rPr>
                      <m:t>DL,</m:t>
                    </m:r>
                    <m:r>
                      <w:rPr>
                        <w:rFonts w:ascii="Cambria Math"/>
                      </w:rPr>
                      <m:t>μ</m:t>
                    </m: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iCs/>
                      </w:rPr>
                    </m:ctrlPr>
                  </m:sSubSupPr>
                  <m:e>
                    <m:r>
                      <w:rPr>
                        <w:rFonts w:ascii="Cambria Math"/>
                      </w:rPr>
                      <m:t>N</m:t>
                    </m:r>
                  </m:e>
                  <m:sub>
                    <m:r>
                      <m:rPr>
                        <m:nor/>
                      </m:rPr>
                      <w:rPr>
                        <w:rFonts w:ascii="Cambria Math"/>
                        <w:i/>
                        <w:iCs/>
                      </w:rPr>
                      <m:t>cells,1</m:t>
                    </m:r>
                  </m:sub>
                  <m:sup>
                    <m:r>
                      <m:rPr>
                        <m:nor/>
                      </m:rPr>
                      <w:rPr>
                        <w:rFonts w:ascii="Cambria Math"/>
                        <w:i/>
                        <w:iCs/>
                      </w:rPr>
                      <m:t>DL,</m:t>
                    </m:r>
                    <m:r>
                      <w:rPr>
                        <w:rFonts w:ascii="Cambria Math"/>
                      </w:rPr>
                      <m:t>μ</m:t>
                    </m:r>
                  </m:sup>
                </m:sSubSup>
              </m:e>
            </m:d>
          </m:e>
        </m:nary>
        <m:r>
          <w:rPr>
            <w:rFonts w:ascii="Cambria Math"/>
          </w:rPr>
          <m:t>≤</m:t>
        </m:r>
        <m:sSubSup>
          <m:sSubSupPr>
            <m:ctrlPr>
              <w:rPr>
                <w:rFonts w:ascii="Cambria Math" w:hAnsi="Cambria Math"/>
                <w:i/>
                <w:iCs/>
              </w:rPr>
            </m:ctrlPr>
          </m:sSubSupPr>
          <m:e>
            <m:r>
              <w:rPr>
                <w:rFonts w:ascii="Cambria Math"/>
              </w:rPr>
              <m:t>N</m:t>
            </m:r>
          </m:e>
          <m:sub>
            <m:r>
              <m:rPr>
                <m:nor/>
              </m:rPr>
              <w:rPr>
                <w:rFonts w:ascii="Cambria Math"/>
                <w:i/>
                <w:iCs/>
              </w:rPr>
              <m:t>cells</m:t>
            </m:r>
          </m:sub>
          <m:sup>
            <m:r>
              <m:rPr>
                <m:nor/>
              </m:rPr>
              <w:rPr>
                <w:rFonts w:ascii="Cambria Math"/>
                <w:i/>
                <w:iCs/>
              </w:rPr>
              <m:t>cap</m:t>
            </m:r>
          </m:sup>
        </m:sSubSup>
      </m:oMath>
      <w:r w:rsidRPr="00573E1D">
        <w:rPr>
          <w:i/>
          <w:iCs/>
        </w:rPr>
        <w:t xml:space="preserve">, </w:t>
      </w:r>
      <m:oMath>
        <m:nary>
          <m:naryPr>
            <m:chr m:val="∑"/>
            <m:ctrlPr>
              <w:rPr>
                <w:rFonts w:ascii="Cambria Math" w:hAnsi="Cambria Math"/>
                <w:i/>
                <w:iCs/>
              </w:rPr>
            </m:ctrlPr>
          </m:naryPr>
          <m:sub>
            <m:r>
              <w:rPr>
                <w:rFonts w:ascii="Cambria Math"/>
              </w:rPr>
              <m:t>μ=0</m:t>
            </m:r>
          </m:sub>
          <m:sup>
            <m:r>
              <w:rPr>
                <w:rFonts w:ascii="Cambria Math"/>
              </w:rPr>
              <m:t>3</m:t>
            </m:r>
          </m:sup>
          <m:e>
            <m:d>
              <m:dPr>
                <m:ctrlPr>
                  <w:rPr>
                    <w:rFonts w:ascii="Cambria Math" w:hAnsi="Cambria Math"/>
                    <w:i/>
                    <w:iCs/>
                  </w:rPr>
                </m:ctrlPr>
              </m:dPr>
              <m:e>
                <m:sSubSup>
                  <m:sSubSupPr>
                    <m:ctrlPr>
                      <w:rPr>
                        <w:rFonts w:ascii="Cambria Math" w:hAnsi="Cambria Math"/>
                        <w:i/>
                        <w:iCs/>
                      </w:rPr>
                    </m:ctrlPr>
                  </m:sSubSupPr>
                  <m:e>
                    <m:r>
                      <w:rPr>
                        <w:rFonts w:ascii="Cambria Math"/>
                      </w:rPr>
                      <m:t>N</m:t>
                    </m:r>
                  </m:e>
                  <m:sub>
                    <m:r>
                      <m:rPr>
                        <m:nor/>
                      </m:rPr>
                      <w:rPr>
                        <w:rFonts w:ascii="Cambria Math"/>
                        <w:i/>
                        <w:iCs/>
                      </w:rPr>
                      <m:t>cells,0</m:t>
                    </m:r>
                  </m:sub>
                  <m:sup>
                    <m:r>
                      <m:rPr>
                        <m:nor/>
                      </m:rPr>
                      <w:rPr>
                        <w:rFonts w:ascii="Cambria Math"/>
                        <w:i/>
                        <w:iCs/>
                      </w:rPr>
                      <m:t>DL,</m:t>
                    </m:r>
                    <m:r>
                      <w:rPr>
                        <w:rFonts w:ascii="Cambria Math"/>
                      </w:rPr>
                      <m:t>μ</m:t>
                    </m: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iCs/>
                      </w:rPr>
                    </m:ctrlPr>
                  </m:sSubSupPr>
                  <m:e>
                    <m:r>
                      <w:rPr>
                        <w:rFonts w:ascii="Cambria Math"/>
                      </w:rPr>
                      <m:t>N</m:t>
                    </m:r>
                  </m:e>
                  <m:sub>
                    <m:r>
                      <m:rPr>
                        <m:nor/>
                      </m:rPr>
                      <w:rPr>
                        <w:rFonts w:ascii="Cambria Math"/>
                        <w:i/>
                        <w:iCs/>
                      </w:rPr>
                      <m:t>cells,1</m:t>
                    </m:r>
                  </m:sub>
                  <m:sup>
                    <m:r>
                      <m:rPr>
                        <m:nor/>
                      </m:rPr>
                      <w:rPr>
                        <w:rFonts w:ascii="Cambria Math"/>
                        <w:i/>
                        <w:iCs/>
                      </w:rPr>
                      <m:t>DL,</m:t>
                    </m:r>
                    <m:r>
                      <w:rPr>
                        <w:rFonts w:ascii="Cambria Math"/>
                      </w:rPr>
                      <m:t>μ</m:t>
                    </m:r>
                  </m:sup>
                </m:sSubSup>
              </m:e>
            </m:d>
          </m:e>
        </m:nary>
        <m:r>
          <w:rPr>
            <w:rFonts w:ascii="Cambria Math"/>
          </w:rPr>
          <m:t>&gt;</m:t>
        </m:r>
        <m:sSubSup>
          <m:sSubSupPr>
            <m:ctrlPr>
              <w:rPr>
                <w:rFonts w:ascii="Cambria Math" w:hAnsi="Cambria Math"/>
                <w:i/>
                <w:iCs/>
              </w:rPr>
            </m:ctrlPr>
          </m:sSubSupPr>
          <m:e>
            <m:r>
              <w:rPr>
                <w:rFonts w:ascii="Cambria Math"/>
              </w:rPr>
              <m:t>N</m:t>
            </m:r>
          </m:e>
          <m:sub>
            <m:r>
              <m:rPr>
                <m:nor/>
              </m:rPr>
              <w:rPr>
                <w:rFonts w:ascii="Cambria Math"/>
                <w:i/>
                <w:iCs/>
              </w:rPr>
              <m:t>cells</m:t>
            </m:r>
          </m:sub>
          <m:sup>
            <m:r>
              <m:rPr>
                <m:nor/>
              </m:rPr>
              <w:rPr>
                <w:rFonts w:ascii="Cambria Math"/>
                <w:i/>
                <w:iCs/>
              </w:rPr>
              <m:t>cap</m:t>
            </m:r>
          </m:sup>
        </m:sSubSup>
      </m:oMath>
      <w:r w:rsidRPr="00573E1D">
        <w:rPr>
          <w:i/>
          <w:iCs/>
        </w:rPr>
        <w:t xml:space="preserve"> specified in sub-clause 10.1 of 38.213. </w:t>
      </w:r>
    </w:p>
    <w:p w14:paraId="79410FE0" w14:textId="253E2481" w:rsidR="00EA02B9" w:rsidRPr="006B1D6F" w:rsidRDefault="004F589C" w:rsidP="00EA02B9">
      <w:pPr>
        <w:pStyle w:val="BodyText"/>
        <w:numPr>
          <w:ilvl w:val="1"/>
          <w:numId w:val="28"/>
        </w:num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w:rPr>
            <w:rFonts w:ascii="Cambria Math" w:hAnsi="Cambria Math"/>
          </w:rPr>
          <m:t xml:space="preserve"> </m:t>
        </m:r>
      </m:oMath>
      <w:r w:rsidR="00EA02B9">
        <w:t xml:space="preserve"> is given by </w:t>
      </w:r>
      <w:r w:rsidR="00EA02B9">
        <w:rPr>
          <w:i/>
        </w:rPr>
        <w:t xml:space="preserve">pdcch-BlindDetectionCA </w:t>
      </w:r>
      <w:r w:rsidR="00EA02B9">
        <w:rPr>
          <w:iCs/>
        </w:rPr>
        <w:t xml:space="preserve">indicated by the UE </w:t>
      </w:r>
    </w:p>
    <w:p w14:paraId="761D4B14" w14:textId="6DEE88A1" w:rsidR="00EA02B9" w:rsidRPr="006B1D6F" w:rsidRDefault="00EA02B9" w:rsidP="00EE2167">
      <w:pPr>
        <w:pStyle w:val="BodyText"/>
        <w:numPr>
          <w:ilvl w:val="2"/>
          <w:numId w:val="28"/>
        </w:numPr>
      </w:pPr>
      <w:r>
        <w:rPr>
          <w:iCs/>
        </w:rPr>
        <w:t xml:space="preserve">(s-p) scheduling is considered to be included within UE reported </w:t>
      </w:r>
      <w:r>
        <w:rPr>
          <w:i/>
        </w:rPr>
        <w:t>pdcch-BlindDetectionCA</w:t>
      </w:r>
      <w:r>
        <w:rPr>
          <w:iCs/>
        </w:rPr>
        <w:t>.</w:t>
      </w:r>
    </w:p>
    <w:p w14:paraId="472B96E2" w14:textId="49C37940" w:rsidR="00F1329F" w:rsidRDefault="00EB0C61" w:rsidP="00F1329F">
      <w:pPr>
        <w:pStyle w:val="BodyText"/>
      </w:pPr>
      <w:r>
        <w:t>If above principles are followed,</w:t>
      </w:r>
      <w:r w:rsidR="00F1329F">
        <w:t xml:space="preserve"> PDCCH overbooking and SS set dropping rules can be applied based on BD/CCE limits for (p-p) case, and there is no need to specify additional PDCCH overbooking handling for sSCell.</w:t>
      </w:r>
    </w:p>
    <w:p w14:paraId="6E483B8F" w14:textId="77777777" w:rsidR="00F1329F" w:rsidRDefault="00F1329F" w:rsidP="00F1329F">
      <w:pPr>
        <w:jc w:val="both"/>
        <w:rPr>
          <w:b/>
          <w:bCs/>
          <w:u w:val="single"/>
        </w:rPr>
      </w:pPr>
      <w:r>
        <w:rPr>
          <w:b/>
          <w:bCs/>
          <w:u w:val="single"/>
        </w:rPr>
        <w:t>Proposal</w:t>
      </w:r>
      <w:r w:rsidRPr="004377CC">
        <w:rPr>
          <w:b/>
          <w:bCs/>
          <w:u w:val="single"/>
        </w:rPr>
        <w:t xml:space="preserve"> </w:t>
      </w:r>
      <w:r>
        <w:rPr>
          <w:b/>
          <w:bCs/>
          <w:u w:val="single"/>
        </w:rPr>
        <w:t>3</w:t>
      </w:r>
    </w:p>
    <w:p w14:paraId="6421C685" w14:textId="76A0F3F0" w:rsidR="00F1329F" w:rsidRPr="006B1D6F" w:rsidRDefault="00F1329F" w:rsidP="00F1329F">
      <w:pPr>
        <w:pStyle w:val="BodyText"/>
        <w:numPr>
          <w:ilvl w:val="0"/>
          <w:numId w:val="28"/>
        </w:numPr>
        <w:rPr>
          <w:i/>
          <w:iCs/>
        </w:rPr>
      </w:pPr>
      <w:r w:rsidRPr="00711FF2">
        <w:rPr>
          <w:rFonts w:eastAsiaTheme="minorEastAsia" w:cs="Arial"/>
          <w:i/>
          <w:iCs/>
        </w:rPr>
        <w:t xml:space="preserve">When CCS from sSCell to PCell is configured, UE applies PDCCH overbooking and associated search-space set dropping procedures </w:t>
      </w:r>
      <w:r>
        <w:rPr>
          <w:rFonts w:eastAsiaTheme="minorEastAsia" w:cs="Arial"/>
          <w:i/>
          <w:iCs/>
        </w:rPr>
        <w:t xml:space="preserve">on </w:t>
      </w:r>
      <w:r w:rsidRPr="006B1D6F">
        <w:rPr>
          <w:rFonts w:eastAsiaTheme="minorEastAsia" w:cs="Arial"/>
          <w:i/>
          <w:iCs/>
        </w:rPr>
        <w:t>PCell</w:t>
      </w:r>
      <w:r w:rsidR="00D71C3E">
        <w:rPr>
          <w:rFonts w:eastAsiaTheme="minorEastAsia" w:cs="Arial"/>
          <w:i/>
          <w:iCs/>
        </w:rPr>
        <w:t>,</w:t>
      </w:r>
      <w:r w:rsidRPr="006B1D6F">
        <w:rPr>
          <w:rFonts w:eastAsiaTheme="minorEastAsia" w:cs="Arial"/>
          <w:i/>
          <w:iCs/>
        </w:rPr>
        <w:t xml:space="preserve"> and </w:t>
      </w:r>
      <w:r w:rsidRPr="006B1D6F">
        <w:rPr>
          <w:i/>
          <w:iCs/>
        </w:rPr>
        <w:t xml:space="preserve">additional PDCCH overbooking handling for sSCell is not specified. </w:t>
      </w:r>
    </w:p>
    <w:p w14:paraId="406D964B" w14:textId="77777777" w:rsidR="00F1329F" w:rsidRDefault="00F1329F" w:rsidP="00D84E76">
      <w:pPr>
        <w:pStyle w:val="BodyText"/>
      </w:pPr>
    </w:p>
    <w:p w14:paraId="6796046E" w14:textId="32FFF510" w:rsidR="001475FF" w:rsidRDefault="001475FF" w:rsidP="001475FF">
      <w:pPr>
        <w:pStyle w:val="Heading2"/>
        <w:rPr>
          <w:u w:val="single"/>
        </w:rPr>
      </w:pPr>
      <w:r>
        <w:rPr>
          <w:u w:val="single"/>
        </w:rPr>
        <w:t>Handling of UL and DL DCI formats</w:t>
      </w:r>
    </w:p>
    <w:p w14:paraId="4C522B04" w14:textId="77777777" w:rsidR="00351483" w:rsidRDefault="00351483" w:rsidP="00D8747A">
      <w:pPr>
        <w:jc w:val="both"/>
      </w:pPr>
    </w:p>
    <w:p w14:paraId="791DB94F" w14:textId="3AFE4150" w:rsidR="00E802D2" w:rsidRDefault="00E802D2" w:rsidP="0023093B">
      <w:pPr>
        <w:jc w:val="both"/>
      </w:pPr>
      <w:r>
        <w:t xml:space="preserve">For the case of </w:t>
      </w:r>
      <w:r w:rsidR="00646BF1">
        <w:t>s</w:t>
      </w:r>
      <w:r>
        <w:t xml:space="preserve">SCell scheduling </w:t>
      </w:r>
      <w:r w:rsidR="00646BF1">
        <w:t>PDSCH/PUSCH on</w:t>
      </w:r>
      <w:r>
        <w:t xml:space="preserve"> primary cell, it is desirable to have the flexibility for the sSCell to schedule any one of the below possibilities</w:t>
      </w:r>
    </w:p>
    <w:p w14:paraId="045AF248" w14:textId="471C6644" w:rsidR="00E802D2" w:rsidRDefault="00646BF1" w:rsidP="0023093B">
      <w:pPr>
        <w:pStyle w:val="ListParagraph"/>
        <w:numPr>
          <w:ilvl w:val="0"/>
          <w:numId w:val="18"/>
        </w:numPr>
        <w:spacing w:after="160" w:line="259" w:lineRule="auto"/>
        <w:jc w:val="both"/>
      </w:pPr>
      <w:r>
        <w:t>s</w:t>
      </w:r>
      <w:r w:rsidR="00E802D2">
        <w:t>SCell used only for scheduling UL grants for primary cell</w:t>
      </w:r>
    </w:p>
    <w:p w14:paraId="300D5AE5" w14:textId="278C0E21" w:rsidR="00E802D2" w:rsidRDefault="00646BF1" w:rsidP="0023093B">
      <w:pPr>
        <w:pStyle w:val="ListParagraph"/>
        <w:numPr>
          <w:ilvl w:val="0"/>
          <w:numId w:val="18"/>
        </w:numPr>
        <w:spacing w:after="160" w:line="259" w:lineRule="auto"/>
        <w:jc w:val="both"/>
      </w:pPr>
      <w:r>
        <w:t>s</w:t>
      </w:r>
      <w:r w:rsidR="00E802D2">
        <w:t>SCell used for scheduling both UL grants and DL assignments for primary cell</w:t>
      </w:r>
    </w:p>
    <w:p w14:paraId="06E51F41" w14:textId="74F7968B" w:rsidR="00B91DB8" w:rsidRDefault="00646BF1" w:rsidP="0023093B">
      <w:pPr>
        <w:pStyle w:val="ListParagraph"/>
        <w:numPr>
          <w:ilvl w:val="0"/>
          <w:numId w:val="18"/>
        </w:numPr>
        <w:spacing w:after="160" w:line="259" w:lineRule="auto"/>
        <w:jc w:val="both"/>
      </w:pPr>
      <w:r>
        <w:t>s</w:t>
      </w:r>
      <w:r w:rsidR="00E802D2">
        <w:t>SCell used only for scheduling DL assignments for primary cell</w:t>
      </w:r>
    </w:p>
    <w:p w14:paraId="456D2CA7" w14:textId="5EFA2CDF" w:rsidR="00B91DB8" w:rsidRDefault="00B91DB8" w:rsidP="0023093B">
      <w:pPr>
        <w:jc w:val="both"/>
      </w:pPr>
      <w:r>
        <w:t>With current PDCCH search space set configuration</w:t>
      </w:r>
      <w:r w:rsidR="00646BF1">
        <w:t>,</w:t>
      </w:r>
      <w:r>
        <w:t xml:space="preserve"> when a </w:t>
      </w:r>
      <w:r w:rsidR="0022542D">
        <w:t>USS</w:t>
      </w:r>
      <w:r>
        <w:t xml:space="preserve"> is configured, the UL and DL DCI formats for that search space are </w:t>
      </w:r>
      <w:r w:rsidR="00646BF1">
        <w:t>constrained</w:t>
      </w:r>
      <w:r>
        <w:t xml:space="preserve"> to be configured together. i.e., the IE </w:t>
      </w:r>
      <w:r w:rsidRPr="00322489">
        <w:rPr>
          <w:i/>
          <w:iCs/>
        </w:rPr>
        <w:t>dci-Formats</w:t>
      </w:r>
      <w:r>
        <w:rPr>
          <w:i/>
          <w:iCs/>
        </w:rPr>
        <w:t xml:space="preserve"> </w:t>
      </w:r>
      <w:r>
        <w:t xml:space="preserve">can only be </w:t>
      </w:r>
      <w:r w:rsidRPr="00322489">
        <w:rPr>
          <w:i/>
          <w:iCs/>
        </w:rPr>
        <w:t>formats0-1-And-1-1</w:t>
      </w:r>
      <w:r>
        <w:t xml:space="preserve"> or </w:t>
      </w:r>
      <w:r w:rsidRPr="00322489">
        <w:rPr>
          <w:i/>
          <w:iCs/>
        </w:rPr>
        <w:t>formats0-0-And-1-0</w:t>
      </w:r>
      <w:r>
        <w:t xml:space="preserve">. Due to this, when the DCI sizes of UL and DL grants are different (as is usually the case with DCI format 0-1 and DCI format 1-1), the UE has to do two BDs for each </w:t>
      </w:r>
      <w:r w:rsidR="00646BF1">
        <w:t xml:space="preserve">configured </w:t>
      </w:r>
      <w:r>
        <w:t>PDCCH monitoring candidate, one corresponding to each DCI format.</w:t>
      </w:r>
    </w:p>
    <w:p w14:paraId="3090FE01" w14:textId="77777777" w:rsidR="00B91DB8" w:rsidRDefault="00B91DB8" w:rsidP="0023093B">
      <w:pPr>
        <w:jc w:val="both"/>
      </w:pPr>
    </w:p>
    <w:p w14:paraId="113F8F4C" w14:textId="494F2A9F" w:rsidR="00E802D2" w:rsidRDefault="00E802D2" w:rsidP="0023093B">
      <w:pPr>
        <w:jc w:val="both"/>
      </w:pPr>
      <w:r>
        <w:t xml:space="preserve">To support the above possibilities without unnecessary increase of PDCCH BD overhead on sSCell, the option of configuring </w:t>
      </w:r>
      <w:r w:rsidR="00B91DB8">
        <w:t xml:space="preserve">DCI formats individually for PUSCH scheduling or for PDSCH scheduling or for both </w:t>
      </w:r>
      <w:r w:rsidR="0086469F">
        <w:t xml:space="preserve">PUSCH and PDSCH scheduling </w:t>
      </w:r>
      <w:r>
        <w:t xml:space="preserve">should be supported as part of the search space set configuration </w:t>
      </w:r>
      <w:r w:rsidR="004C7325">
        <w:t xml:space="preserve">used for </w:t>
      </w:r>
      <w:r w:rsidR="00646BF1">
        <w:t>s</w:t>
      </w:r>
      <w:r w:rsidR="004C7325">
        <w:t>SCell to primary cell scheduling</w:t>
      </w:r>
      <w:r>
        <w:t xml:space="preserve">. </w:t>
      </w:r>
    </w:p>
    <w:p w14:paraId="1EBAC75A" w14:textId="77777777" w:rsidR="00E802D2" w:rsidRDefault="00E802D2" w:rsidP="00E802D2"/>
    <w:p w14:paraId="30C22414" w14:textId="1C440285" w:rsidR="004C7325" w:rsidRPr="00051196" w:rsidRDefault="004C7325" w:rsidP="004C7325">
      <w:pPr>
        <w:pStyle w:val="BodyText"/>
        <w:rPr>
          <w:b/>
          <w:i/>
          <w:iCs/>
          <w:u w:val="single"/>
        </w:rPr>
      </w:pPr>
      <w:r w:rsidRPr="00051196">
        <w:rPr>
          <w:b/>
          <w:i/>
          <w:iCs/>
          <w:u w:val="single"/>
        </w:rPr>
        <w:t xml:space="preserve">Proposal </w:t>
      </w:r>
      <w:r w:rsidR="00711FF2">
        <w:rPr>
          <w:b/>
          <w:i/>
          <w:iCs/>
          <w:u w:val="single"/>
        </w:rPr>
        <w:t>4</w:t>
      </w:r>
    </w:p>
    <w:p w14:paraId="5EB5E67A" w14:textId="53FB2B52" w:rsidR="00B91DB8" w:rsidRPr="00B7630C" w:rsidRDefault="00DB4D98" w:rsidP="00DB4D98">
      <w:pPr>
        <w:pStyle w:val="ListParagraph"/>
        <w:numPr>
          <w:ilvl w:val="0"/>
          <w:numId w:val="4"/>
        </w:numPr>
      </w:pPr>
      <w:r>
        <w:rPr>
          <w:i/>
          <w:iCs/>
        </w:rPr>
        <w:t>F</w:t>
      </w:r>
      <w:r w:rsidR="00B91DB8" w:rsidRPr="00B91DB8">
        <w:rPr>
          <w:i/>
          <w:iCs/>
        </w:rPr>
        <w:t xml:space="preserve">or </w:t>
      </w:r>
      <w:r w:rsidR="00282684">
        <w:rPr>
          <w:rFonts w:eastAsia="MS Mincho"/>
          <w:bCs/>
          <w:i/>
          <w:iCs/>
        </w:rPr>
        <w:t>CCS from sSCell to primary cell</w:t>
      </w:r>
      <w:r>
        <w:rPr>
          <w:rFonts w:eastAsia="MS Mincho"/>
          <w:bCs/>
          <w:i/>
          <w:iCs/>
        </w:rPr>
        <w:t xml:space="preserve">, </w:t>
      </w:r>
      <w:r w:rsidRPr="00B91DB8">
        <w:rPr>
          <w:i/>
          <w:iCs/>
        </w:rPr>
        <w:t xml:space="preserve">configuration </w:t>
      </w:r>
      <w:r>
        <w:rPr>
          <w:i/>
          <w:iCs/>
        </w:rPr>
        <w:t xml:space="preserve">of individual </w:t>
      </w:r>
      <w:r w:rsidRPr="00B91DB8">
        <w:rPr>
          <w:i/>
          <w:iCs/>
        </w:rPr>
        <w:t>DCI format</w:t>
      </w:r>
      <w:r>
        <w:rPr>
          <w:i/>
          <w:iCs/>
        </w:rPr>
        <w:t xml:space="preserve">(s) (e.g. only DCI format 0-1, only DCI format 1-1) should be supported as part of </w:t>
      </w:r>
      <w:r>
        <w:rPr>
          <w:rFonts w:eastAsia="MS Mincho"/>
          <w:bCs/>
          <w:i/>
          <w:iCs/>
        </w:rPr>
        <w:t xml:space="preserve">the corresponding </w:t>
      </w:r>
      <w:r w:rsidRPr="00B91DB8">
        <w:rPr>
          <w:i/>
          <w:iCs/>
        </w:rPr>
        <w:t>search space set</w:t>
      </w:r>
      <w:r>
        <w:rPr>
          <w:i/>
          <w:iCs/>
        </w:rPr>
        <w:t xml:space="preserve"> </w:t>
      </w:r>
      <w:r w:rsidRPr="00B91DB8">
        <w:rPr>
          <w:i/>
          <w:iCs/>
        </w:rPr>
        <w:t>configuration</w:t>
      </w:r>
      <w:r w:rsidR="00610DEE">
        <w:rPr>
          <w:i/>
          <w:iCs/>
        </w:rPr>
        <w:t>.</w:t>
      </w:r>
      <w:r w:rsidRPr="00B91DB8">
        <w:rPr>
          <w:i/>
          <w:iCs/>
        </w:rPr>
        <w:t xml:space="preserve"> </w:t>
      </w:r>
    </w:p>
    <w:p w14:paraId="2FB356B0" w14:textId="25D416F4" w:rsidR="00B7630C" w:rsidRDefault="00B7630C" w:rsidP="00B7630C"/>
    <w:p w14:paraId="5DBD7ED2" w14:textId="39354F74" w:rsidR="00693AE2" w:rsidRDefault="00693AE2" w:rsidP="00693AE2">
      <w:pPr>
        <w:pStyle w:val="Heading1"/>
      </w:pPr>
      <w:r>
        <w:t>Conclusions</w:t>
      </w:r>
    </w:p>
    <w:p w14:paraId="161C67F8" w14:textId="531F5DA7" w:rsidR="009A0C3C" w:rsidRDefault="00B60051" w:rsidP="00A06C15">
      <w:pPr>
        <w:pStyle w:val="BodyText"/>
        <w:rPr>
          <w:szCs w:val="20"/>
        </w:rPr>
      </w:pPr>
      <w:r>
        <w:rPr>
          <w:lang w:val="en-AU"/>
        </w:rPr>
        <w:t xml:space="preserve">In this document we discuss </w:t>
      </w:r>
      <w:r w:rsidR="008C2CEE">
        <w:rPr>
          <w:lang w:val="en-AU"/>
        </w:rPr>
        <w:t xml:space="preserve">further details </w:t>
      </w:r>
      <w:r w:rsidR="00AD4F62">
        <w:rPr>
          <w:lang w:val="en-AU"/>
        </w:rPr>
        <w:t>for cross-carrier scheduling from an SCell (referred to as sSCell) to PCell/PSCell (primary cell) and propos</w:t>
      </w:r>
      <w:r w:rsidR="00FF74C6">
        <w:rPr>
          <w:lang w:val="en-AU"/>
        </w:rPr>
        <w:t>e the following</w:t>
      </w:r>
    </w:p>
    <w:p w14:paraId="6A6AF2F9" w14:textId="77777777" w:rsidR="00E965A6" w:rsidRPr="00E965A6" w:rsidRDefault="00E965A6" w:rsidP="00E965A6">
      <w:pPr>
        <w:pStyle w:val="ListParagraph"/>
        <w:ind w:left="1080"/>
        <w:jc w:val="both"/>
        <w:rPr>
          <w:i/>
          <w:iCs/>
          <w:lang w:eastAsia="zh-CN"/>
        </w:rPr>
      </w:pPr>
    </w:p>
    <w:p w14:paraId="22C5DA0D" w14:textId="77777777" w:rsidR="00FF74C6" w:rsidRPr="00711FF2" w:rsidRDefault="00FF74C6" w:rsidP="00FF74C6">
      <w:pPr>
        <w:jc w:val="both"/>
        <w:rPr>
          <w:b/>
          <w:bCs/>
          <w:u w:val="single"/>
        </w:rPr>
      </w:pPr>
      <w:r w:rsidRPr="00711FF2">
        <w:rPr>
          <w:b/>
          <w:bCs/>
          <w:u w:val="single"/>
        </w:rPr>
        <w:lastRenderedPageBreak/>
        <w:t>Proposal 1</w:t>
      </w:r>
    </w:p>
    <w:p w14:paraId="1B4AEC95" w14:textId="77777777" w:rsidR="00FF74C6" w:rsidRPr="00711FF2" w:rsidRDefault="00FF74C6" w:rsidP="00FF74C6">
      <w:pPr>
        <w:pStyle w:val="ListParagraph"/>
        <w:numPr>
          <w:ilvl w:val="0"/>
          <w:numId w:val="28"/>
        </w:numPr>
        <w:jc w:val="both"/>
      </w:pPr>
      <w:r w:rsidRPr="00711FF2">
        <w:t>Support Alt-2-1 for PDCCH non-fallback USS handling when CCS from sSCell to primary cell is configured</w:t>
      </w:r>
    </w:p>
    <w:p w14:paraId="2462CB06" w14:textId="71202708" w:rsidR="00FF74C6" w:rsidRPr="00711FF2" w:rsidRDefault="00FF74C6" w:rsidP="00FF74C6">
      <w:pPr>
        <w:pStyle w:val="ListParagraph"/>
        <w:numPr>
          <w:ilvl w:val="1"/>
          <w:numId w:val="28"/>
        </w:numPr>
        <w:jc w:val="both"/>
        <w:rPr>
          <w:lang w:eastAsia="zh-CN"/>
        </w:rPr>
      </w:pPr>
      <w:r w:rsidRPr="00711FF2">
        <w:rPr>
          <w:lang w:eastAsia="zh-CN"/>
        </w:rPr>
        <w:t xml:space="preserve">Note : </w:t>
      </w:r>
      <w:r w:rsidRPr="00711FF2">
        <w:t xml:space="preserve">As discussed in RAN1#103-e, Alt 2-1 =&gt;When sSCell to primary cell CCS is configured, UE can monitor </w:t>
      </w:r>
      <w:r w:rsidR="008D328C">
        <w:rPr>
          <w:lang w:eastAsia="zh-CN"/>
        </w:rPr>
        <w:t xml:space="preserve">‘DCI formats 0_1,1_1,0_2,1_2 scheduling PDSCH/PUSCH on PCell/PSCell’ </w:t>
      </w:r>
      <w:r w:rsidRPr="00711FF2">
        <w:t>on both PCell USS set(s) and sSCell USS sets simultaneously</w:t>
      </w:r>
    </w:p>
    <w:p w14:paraId="42CC3DFE" w14:textId="77777777" w:rsidR="00656BAD" w:rsidRDefault="00656BAD" w:rsidP="00FF74C6">
      <w:pPr>
        <w:jc w:val="both"/>
        <w:rPr>
          <w:b/>
          <w:bCs/>
          <w:u w:val="single"/>
        </w:rPr>
      </w:pPr>
    </w:p>
    <w:p w14:paraId="07540F7C" w14:textId="77777777" w:rsidR="00E62F71" w:rsidRDefault="00E62F71" w:rsidP="00E62F71">
      <w:pPr>
        <w:jc w:val="both"/>
        <w:rPr>
          <w:b/>
          <w:bCs/>
          <w:u w:val="single"/>
        </w:rPr>
      </w:pPr>
      <w:r>
        <w:rPr>
          <w:b/>
          <w:bCs/>
          <w:u w:val="single"/>
        </w:rPr>
        <w:t>Proposal</w:t>
      </w:r>
      <w:r w:rsidRPr="004377CC">
        <w:rPr>
          <w:b/>
          <w:bCs/>
          <w:u w:val="single"/>
        </w:rPr>
        <w:t xml:space="preserve"> </w:t>
      </w:r>
      <w:r>
        <w:rPr>
          <w:b/>
          <w:bCs/>
          <w:u w:val="single"/>
        </w:rPr>
        <w:t>2</w:t>
      </w:r>
    </w:p>
    <w:p w14:paraId="3EE2C02B" w14:textId="77777777" w:rsidR="00E62F71" w:rsidRPr="00DF0B4C" w:rsidRDefault="00E62F71" w:rsidP="00E62F71">
      <w:pPr>
        <w:pStyle w:val="BodyText"/>
        <w:numPr>
          <w:ilvl w:val="0"/>
          <w:numId w:val="28"/>
        </w:numPr>
      </w:pPr>
      <w:r w:rsidRPr="00DF0B4C">
        <w:rPr>
          <w:rFonts w:eastAsiaTheme="minorEastAsia" w:cs="Arial"/>
        </w:rPr>
        <w:t xml:space="preserve">For Rel17 SCell to PCell scheduling, at least for case when </w:t>
      </w:r>
      <w:r w:rsidRPr="00DF0B4C">
        <w:t xml:space="preserve">UE indicates </w:t>
      </w:r>
      <w:r w:rsidRPr="0008252D">
        <w:rPr>
          <w:i/>
          <w:iCs/>
        </w:rPr>
        <w:t>pdcch-BlindDetectionCA</w:t>
      </w:r>
      <w:r w:rsidRPr="00DF0B4C">
        <w:t xml:space="preserve"> and is not provided monitoringCapabilityConfig-r16, </w:t>
      </w:r>
    </w:p>
    <w:p w14:paraId="1BF30D56" w14:textId="48A8AD67" w:rsidR="00E62F71" w:rsidRPr="00DF0B4C" w:rsidRDefault="00E62F71" w:rsidP="00E62F71">
      <w:pPr>
        <w:pStyle w:val="BodyText"/>
        <w:numPr>
          <w:ilvl w:val="1"/>
          <w:numId w:val="28"/>
        </w:numPr>
      </w:pPr>
      <w:r w:rsidRPr="00DF0B4C">
        <w:t xml:space="preserve">the </w:t>
      </w:r>
      <w:r w:rsidRPr="00DF0B4C">
        <w:rPr>
          <w:rFonts w:eastAsiaTheme="minorEastAsia" w:cs="Arial"/>
        </w:rPr>
        <w:t xml:space="preserve">BD/CCE limits are computed by </w:t>
      </w:r>
      <w:r w:rsidRPr="00DF0B4C">
        <w:t xml:space="preserve">counting (s-p) scheduling as an additional cell in the LHS part of  the conditions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specified in sub-clause 10.1 of 38.213. </w:t>
      </w:r>
    </w:p>
    <w:p w14:paraId="56535C4E" w14:textId="753CEAB4" w:rsidR="00E62F71" w:rsidRPr="00E62F71" w:rsidRDefault="004F589C" w:rsidP="00E62F71">
      <w:pPr>
        <w:pStyle w:val="BodyText"/>
        <w:numPr>
          <w:ilvl w:val="1"/>
          <w:numId w:val="28"/>
        </w:num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00E62F71" w:rsidRPr="00E62F71">
        <w:t xml:space="preserve"> is given by </w:t>
      </w:r>
      <w:r w:rsidR="00E62F71" w:rsidRPr="00DF0B4C">
        <w:t xml:space="preserve">pdcch-BlindDetectionCA </w:t>
      </w:r>
      <w:r w:rsidR="00E62F71" w:rsidRPr="00217332">
        <w:t xml:space="preserve">indicated by the UE </w:t>
      </w:r>
    </w:p>
    <w:p w14:paraId="570901CA" w14:textId="77777777" w:rsidR="00E62F71" w:rsidRPr="00E62F71" w:rsidRDefault="00E62F71" w:rsidP="00E62F71">
      <w:pPr>
        <w:pStyle w:val="BodyText"/>
        <w:numPr>
          <w:ilvl w:val="2"/>
          <w:numId w:val="28"/>
        </w:numPr>
      </w:pPr>
      <w:r w:rsidRPr="00217332">
        <w:t xml:space="preserve">(s-p) scheduling is considered to be included within UE reported </w:t>
      </w:r>
      <w:r w:rsidRPr="0008252D">
        <w:rPr>
          <w:i/>
          <w:iCs/>
        </w:rPr>
        <w:t>pdcch-BlindDetectionCA</w:t>
      </w:r>
      <w:r w:rsidRPr="00217332">
        <w:t>.</w:t>
      </w:r>
    </w:p>
    <w:p w14:paraId="3F643A3F" w14:textId="77777777" w:rsidR="00E62F71" w:rsidRDefault="00E62F71" w:rsidP="00E62F71">
      <w:pPr>
        <w:jc w:val="both"/>
        <w:rPr>
          <w:b/>
          <w:bCs/>
          <w:u w:val="single"/>
        </w:rPr>
      </w:pPr>
      <w:r>
        <w:rPr>
          <w:b/>
          <w:bCs/>
          <w:u w:val="single"/>
        </w:rPr>
        <w:t>Proposal</w:t>
      </w:r>
      <w:r w:rsidRPr="004377CC">
        <w:rPr>
          <w:b/>
          <w:bCs/>
          <w:u w:val="single"/>
        </w:rPr>
        <w:t xml:space="preserve"> </w:t>
      </w:r>
      <w:r>
        <w:rPr>
          <w:b/>
          <w:bCs/>
          <w:u w:val="single"/>
        </w:rPr>
        <w:t>3</w:t>
      </w:r>
    </w:p>
    <w:p w14:paraId="031B4E45" w14:textId="17BB2777" w:rsidR="00E62F71" w:rsidRPr="00DF0B4C" w:rsidRDefault="00E62F71" w:rsidP="00E62F71">
      <w:pPr>
        <w:pStyle w:val="BodyText"/>
        <w:numPr>
          <w:ilvl w:val="0"/>
          <w:numId w:val="28"/>
        </w:numPr>
      </w:pPr>
      <w:r w:rsidRPr="00DF0B4C">
        <w:rPr>
          <w:rFonts w:eastAsiaTheme="minorEastAsia" w:cs="Arial"/>
        </w:rPr>
        <w:t>When CCS from sSCell to PCell is configured, UE applies PDCCH overbooking and associated search-space set dropping procedures on PCell</w:t>
      </w:r>
      <w:r w:rsidR="00D71C3E">
        <w:rPr>
          <w:rFonts w:eastAsiaTheme="minorEastAsia" w:cs="Arial"/>
        </w:rPr>
        <w:t>,</w:t>
      </w:r>
      <w:r w:rsidRPr="00DF0B4C">
        <w:rPr>
          <w:rFonts w:eastAsiaTheme="minorEastAsia" w:cs="Arial"/>
        </w:rPr>
        <w:t xml:space="preserve"> and </w:t>
      </w:r>
      <w:r w:rsidRPr="00DF0B4C">
        <w:t xml:space="preserve">additional PDCCH overbooking handling for sSCell is not specified. </w:t>
      </w:r>
    </w:p>
    <w:p w14:paraId="2C9BE8FD" w14:textId="6A3EC0FE" w:rsidR="00FF74C6" w:rsidRPr="00711FF2" w:rsidRDefault="00FF74C6" w:rsidP="00FF74C6">
      <w:pPr>
        <w:pStyle w:val="BodyText"/>
        <w:rPr>
          <w:b/>
          <w:u w:val="single"/>
        </w:rPr>
      </w:pPr>
      <w:r w:rsidRPr="00711FF2">
        <w:rPr>
          <w:b/>
          <w:u w:val="single"/>
        </w:rPr>
        <w:t xml:space="preserve">Proposal </w:t>
      </w:r>
      <w:r w:rsidR="00711FF2" w:rsidRPr="00711FF2">
        <w:rPr>
          <w:b/>
          <w:u w:val="single"/>
        </w:rPr>
        <w:t>4</w:t>
      </w:r>
    </w:p>
    <w:p w14:paraId="7445FF15" w14:textId="77777777" w:rsidR="00FF74C6" w:rsidRPr="00711FF2" w:rsidRDefault="00FF74C6" w:rsidP="00FF74C6">
      <w:pPr>
        <w:pStyle w:val="ListParagraph"/>
        <w:numPr>
          <w:ilvl w:val="0"/>
          <w:numId w:val="4"/>
        </w:numPr>
      </w:pPr>
      <w:r w:rsidRPr="00711FF2">
        <w:t xml:space="preserve">For </w:t>
      </w:r>
      <w:r w:rsidRPr="00711FF2">
        <w:rPr>
          <w:rFonts w:eastAsia="MS Mincho"/>
          <w:bCs/>
        </w:rPr>
        <w:t xml:space="preserve">CCS from sSCell to primary cell, </w:t>
      </w:r>
      <w:r w:rsidRPr="00711FF2">
        <w:t xml:space="preserve">configuration of individual DCI format(s) (e.g. only DCI format 0-1, only DCI format 1-1) should be supported as part of </w:t>
      </w:r>
      <w:r w:rsidRPr="00711FF2">
        <w:rPr>
          <w:rFonts w:eastAsia="MS Mincho"/>
          <w:bCs/>
        </w:rPr>
        <w:t xml:space="preserve">the corresponding </w:t>
      </w:r>
      <w:r w:rsidRPr="00711FF2">
        <w:t xml:space="preserve">search space set configuration. </w:t>
      </w:r>
    </w:p>
    <w:p w14:paraId="328ED55C" w14:textId="77777777" w:rsidR="00FF74C6" w:rsidRDefault="00FF74C6" w:rsidP="00A06C15">
      <w:pPr>
        <w:pStyle w:val="BodyText"/>
        <w:rPr>
          <w:lang w:val="en-AU"/>
        </w:rPr>
      </w:pPr>
    </w:p>
    <w:p w14:paraId="0F83334F" w14:textId="77777777" w:rsidR="00693AE2" w:rsidRDefault="00693AE2" w:rsidP="00693AE2">
      <w:pPr>
        <w:pStyle w:val="Heading1"/>
      </w:pPr>
      <w:r>
        <w:t>References</w:t>
      </w:r>
    </w:p>
    <w:p w14:paraId="39B19EA5" w14:textId="5DF8CB85" w:rsidR="00072676" w:rsidRDefault="00072676" w:rsidP="00693AE2">
      <w:pPr>
        <w:pStyle w:val="BodyText"/>
        <w:rPr>
          <w:lang w:val="de-DE"/>
        </w:rPr>
      </w:pPr>
      <w:r>
        <w:t xml:space="preserve">[1] </w:t>
      </w:r>
      <w:r w:rsidRPr="001A52FD">
        <w:rPr>
          <w:lang w:val="de-DE"/>
        </w:rPr>
        <w:t>R</w:t>
      </w:r>
      <w:r w:rsidR="00D0755E">
        <w:rPr>
          <w:lang w:val="de-DE"/>
        </w:rPr>
        <w:t>1</w:t>
      </w:r>
      <w:r w:rsidRPr="001A52FD">
        <w:rPr>
          <w:lang w:val="de-DE"/>
        </w:rPr>
        <w:t>-</w:t>
      </w:r>
      <w:r w:rsidR="00D0755E">
        <w:rPr>
          <w:lang w:val="de-DE"/>
        </w:rPr>
        <w:t>2101561</w:t>
      </w:r>
      <w:r w:rsidRPr="001A52FD">
        <w:rPr>
          <w:lang w:val="de-DE"/>
        </w:rPr>
        <w:t xml:space="preserve"> - “</w:t>
      </w:r>
      <w:r w:rsidR="00D0755E" w:rsidRPr="00D0755E">
        <w:rPr>
          <w:lang w:val="de-DE"/>
        </w:rPr>
        <w:t>Enhanced cross-carrier scheduling for DSS</w:t>
      </w:r>
      <w:r w:rsidRPr="001A52FD">
        <w:rPr>
          <w:lang w:val="de-DE"/>
        </w:rPr>
        <w:t xml:space="preserve">”, </w:t>
      </w:r>
      <w:r w:rsidR="00276DD8" w:rsidRPr="001A52FD">
        <w:rPr>
          <w:lang w:val="de-DE"/>
        </w:rPr>
        <w:t xml:space="preserve">Ericsson, </w:t>
      </w:r>
      <w:r w:rsidRPr="001A52FD">
        <w:rPr>
          <w:lang w:val="de-DE"/>
        </w:rPr>
        <w:t>RAN</w:t>
      </w:r>
      <w:r w:rsidR="00D0755E">
        <w:rPr>
          <w:lang w:val="de-DE"/>
        </w:rPr>
        <w:t>1#104-e</w:t>
      </w:r>
      <w:r w:rsidRPr="001A52FD">
        <w:rPr>
          <w:lang w:val="de-DE"/>
        </w:rPr>
        <w:t xml:space="preserve">, </w:t>
      </w:r>
      <w:r w:rsidR="00D0755E">
        <w:rPr>
          <w:lang w:val="de-DE"/>
        </w:rPr>
        <w:t>January 2021</w:t>
      </w:r>
      <w:r w:rsidRPr="001A52FD">
        <w:rPr>
          <w:lang w:val="de-DE"/>
        </w:rPr>
        <w:t xml:space="preserve">, </w:t>
      </w:r>
      <w:r w:rsidR="00D0755E">
        <w:rPr>
          <w:lang w:val="de-DE"/>
        </w:rPr>
        <w:t>e-Meeting.</w:t>
      </w:r>
    </w:p>
    <w:p w14:paraId="1FE9B6DE" w14:textId="3313845C" w:rsidR="00875410" w:rsidRDefault="00875410" w:rsidP="00875410">
      <w:pPr>
        <w:pStyle w:val="BodyText"/>
        <w:rPr>
          <w:lang w:val="de-DE"/>
        </w:rPr>
      </w:pPr>
    </w:p>
    <w:p w14:paraId="67CAEADA" w14:textId="04D5B120" w:rsidR="009B1DAE" w:rsidRDefault="009B1DAE" w:rsidP="009B1DAE">
      <w:pPr>
        <w:pStyle w:val="Heading1"/>
      </w:pPr>
      <w:r>
        <w:t>Annex</w:t>
      </w:r>
    </w:p>
    <w:p w14:paraId="14F8C9C8" w14:textId="5767FF75" w:rsidR="00D71C3E" w:rsidRPr="00D71C3E" w:rsidRDefault="00D71C3E" w:rsidP="00D71C3E">
      <w:pPr>
        <w:pStyle w:val="BodyText"/>
      </w:pPr>
      <w:r>
        <w:t>UESS handling options as discussed in RAN1#103-e are given below</w:t>
      </w:r>
    </w:p>
    <w:p w14:paraId="7C940E5C" w14:textId="77777777" w:rsidR="009B1DAE" w:rsidRDefault="009B1DAE" w:rsidP="00D71C3E">
      <w:pPr>
        <w:rPr>
          <w:szCs w:val="20"/>
          <w:highlight w:val="green"/>
        </w:rPr>
      </w:pPr>
      <w:r>
        <w:rPr>
          <w:highlight w:val="green"/>
        </w:rPr>
        <w:t>Agreements:</w:t>
      </w:r>
    </w:p>
    <w:p w14:paraId="56F7E59E" w14:textId="77777777" w:rsidR="009B1DAE" w:rsidRDefault="009B1DAE" w:rsidP="00D71C3E">
      <w:pPr>
        <w:numPr>
          <w:ilvl w:val="0"/>
          <w:numId w:val="31"/>
        </w:numPr>
        <w:overflowPunct w:val="0"/>
        <w:autoSpaceDE w:val="0"/>
        <w:autoSpaceDN w:val="0"/>
        <w:spacing w:line="360" w:lineRule="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7F30C486" w14:textId="77777777" w:rsidR="009B1DAE" w:rsidRDefault="009B1DAE" w:rsidP="00D71C3E">
      <w:pPr>
        <w:numPr>
          <w:ilvl w:val="0"/>
          <w:numId w:val="31"/>
        </w:numPr>
        <w:overflowPunct w:val="0"/>
        <w:autoSpaceDE w:val="0"/>
        <w:autoSpaceDN w:val="0"/>
        <w:spacing w:line="360" w:lineRule="auto"/>
        <w:rPr>
          <w:strike/>
          <w:lang w:eastAsia="zh-CN"/>
        </w:rPr>
      </w:pPr>
      <w:r>
        <w:rPr>
          <w:strike/>
          <w:color w:val="7030A0"/>
          <w:lang w:eastAsia="zh-CN"/>
        </w:rPr>
        <w:t>Below alternatives can be considered in the discussion (other alternatives are not precluded)</w:t>
      </w:r>
    </w:p>
    <w:p w14:paraId="0CF038A0" w14:textId="77777777" w:rsidR="009B1DAE" w:rsidRDefault="009B1DAE" w:rsidP="00D71C3E">
      <w:pPr>
        <w:numPr>
          <w:ilvl w:val="1"/>
          <w:numId w:val="31"/>
        </w:numPr>
        <w:overflowPunct w:val="0"/>
        <w:autoSpaceDE w:val="0"/>
        <w:autoSpaceDN w:val="0"/>
        <w:spacing w:line="360" w:lineRule="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UE cannot be configured to monitor DCI formats 0_1,1_1,0_2,1_2 on PCell/PSCell USS set(s), and can be configured to monitor them only on the sSCell USS set(s)</w:t>
      </w:r>
    </w:p>
    <w:p w14:paraId="76B913FC" w14:textId="77777777" w:rsidR="009B1DAE" w:rsidRDefault="009B1DAE" w:rsidP="00D71C3E">
      <w:pPr>
        <w:numPr>
          <w:ilvl w:val="1"/>
          <w:numId w:val="31"/>
        </w:numPr>
        <w:overflowPunct w:val="0"/>
        <w:autoSpaceDE w:val="0"/>
        <w:autoSpaceDN w:val="0"/>
        <w:spacing w:line="360" w:lineRule="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35409DCA" w14:textId="77777777" w:rsidR="009B1DAE" w:rsidRDefault="009B1DAE" w:rsidP="00D71C3E">
      <w:pPr>
        <w:numPr>
          <w:ilvl w:val="2"/>
          <w:numId w:val="31"/>
        </w:numPr>
        <w:overflowPunct w:val="0"/>
        <w:autoSpaceDE w:val="0"/>
        <w:autoSpaceDN w:val="0"/>
        <w:spacing w:line="360" w:lineRule="auto"/>
        <w:rPr>
          <w:lang w:eastAsia="zh-CN"/>
        </w:rPr>
      </w:pPr>
      <w:r>
        <w:rPr>
          <w:lang w:eastAsia="zh-CN"/>
        </w:rPr>
        <w:t xml:space="preserve">Alt 2-1: </w:t>
      </w:r>
    </w:p>
    <w:p w14:paraId="0AF20FF3" w14:textId="77777777" w:rsidR="009B1DAE" w:rsidRDefault="009B1DAE" w:rsidP="00D71C3E">
      <w:pPr>
        <w:numPr>
          <w:ilvl w:val="3"/>
          <w:numId w:val="31"/>
        </w:numPr>
        <w:overflowPunct w:val="0"/>
        <w:autoSpaceDE w:val="0"/>
        <w:autoSpaceDN w:val="0"/>
        <w:spacing w:line="360" w:lineRule="auto"/>
        <w:rPr>
          <w:lang w:eastAsia="zh-CN"/>
        </w:rPr>
      </w:pPr>
      <w:r>
        <w:rPr>
          <w:lang w:eastAsia="zh-CN"/>
        </w:rPr>
        <w:t>UE can monitor DCI formats 0_1,1_1,0_2,1_2 on both PCell USS set(s) and sSCell USS sets simultaneously</w:t>
      </w:r>
    </w:p>
    <w:p w14:paraId="035A8E49" w14:textId="77777777" w:rsidR="009B1DAE" w:rsidRDefault="009B1DAE" w:rsidP="00D71C3E">
      <w:pPr>
        <w:numPr>
          <w:ilvl w:val="4"/>
          <w:numId w:val="31"/>
        </w:numPr>
        <w:overflowPunct w:val="0"/>
        <w:autoSpaceDE w:val="0"/>
        <w:autoSpaceDN w:val="0"/>
        <w:spacing w:line="360" w:lineRule="auto"/>
        <w:rPr>
          <w:strike/>
          <w:color w:val="4472C4"/>
          <w:lang w:eastAsia="zh-CN"/>
        </w:rPr>
      </w:pPr>
      <w:r>
        <w:rPr>
          <w:strike/>
          <w:color w:val="4472C4"/>
          <w:lang w:eastAsia="zh-CN"/>
        </w:rPr>
        <w:lastRenderedPageBreak/>
        <w:t>FFS activation/deactivation of scheduling from sSCell to PCell/PSCell</w:t>
      </w:r>
    </w:p>
    <w:p w14:paraId="4411320E" w14:textId="77777777" w:rsidR="009B1DAE" w:rsidRDefault="009B1DAE" w:rsidP="00D71C3E">
      <w:pPr>
        <w:numPr>
          <w:ilvl w:val="2"/>
          <w:numId w:val="31"/>
        </w:numPr>
        <w:overflowPunct w:val="0"/>
        <w:autoSpaceDE w:val="0"/>
        <w:autoSpaceDN w:val="0"/>
        <w:spacing w:line="360" w:lineRule="auto"/>
        <w:rPr>
          <w:lang w:eastAsia="zh-CN"/>
        </w:rPr>
      </w:pPr>
      <w:r>
        <w:rPr>
          <w:lang w:eastAsia="zh-CN"/>
        </w:rPr>
        <w:t xml:space="preserve">Alt 2-2: </w:t>
      </w:r>
    </w:p>
    <w:p w14:paraId="62BA0B04" w14:textId="77777777" w:rsidR="009B1DAE" w:rsidRDefault="009B1DAE" w:rsidP="00D71C3E">
      <w:pPr>
        <w:numPr>
          <w:ilvl w:val="3"/>
          <w:numId w:val="31"/>
        </w:numPr>
        <w:overflowPunct w:val="0"/>
        <w:autoSpaceDE w:val="0"/>
        <w:autoSpaceDN w:val="0"/>
        <w:spacing w:line="360" w:lineRule="auto"/>
        <w:rPr>
          <w:lang w:eastAsia="zh-CN"/>
        </w:rPr>
      </w:pPr>
      <w:r>
        <w:rPr>
          <w:lang w:eastAsia="zh-CN"/>
        </w:rPr>
        <w:t>Dynamic switching of PDCCH monitoring of DCI formats 0_1,1_1,0_2,1_2 between monitoring on PCell/PSCell USS sets and monitoring on sSCell USS sets is supported</w:t>
      </w:r>
    </w:p>
    <w:p w14:paraId="164580AE" w14:textId="77777777" w:rsidR="009B1DAE" w:rsidRDefault="009B1DAE" w:rsidP="00D71C3E">
      <w:pPr>
        <w:numPr>
          <w:ilvl w:val="4"/>
          <w:numId w:val="31"/>
        </w:numPr>
        <w:overflowPunct w:val="0"/>
        <w:autoSpaceDE w:val="0"/>
        <w:autoSpaceDN w:val="0"/>
        <w:spacing w:line="360" w:lineRule="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03666017" w14:textId="77777777" w:rsidR="009B1DAE" w:rsidRDefault="009B1DAE" w:rsidP="00D71C3E">
      <w:pPr>
        <w:numPr>
          <w:ilvl w:val="3"/>
          <w:numId w:val="31"/>
        </w:numPr>
        <w:overflowPunct w:val="0"/>
        <w:autoSpaceDE w:val="0"/>
        <w:autoSpaceDN w:val="0"/>
        <w:spacing w:line="360" w:lineRule="auto"/>
        <w:rPr>
          <w:lang w:eastAsia="zh-CN"/>
        </w:rPr>
      </w:pPr>
      <w:r>
        <w:rPr>
          <w:lang w:eastAsia="zh-CN"/>
        </w:rPr>
        <w:t>UE does not monitor DCI formats 0_1,1_1,0_2,1_2 on both PCell USS set(s) and sSCell USS sets simultaneously</w:t>
      </w:r>
    </w:p>
    <w:p w14:paraId="098113C6" w14:textId="77777777" w:rsidR="009B1DAE" w:rsidRDefault="009B1DAE" w:rsidP="00D71C3E">
      <w:pPr>
        <w:numPr>
          <w:ilvl w:val="2"/>
          <w:numId w:val="31"/>
        </w:numPr>
        <w:overflowPunct w:val="0"/>
        <w:autoSpaceDE w:val="0"/>
        <w:autoSpaceDN w:val="0"/>
        <w:spacing w:line="360" w:lineRule="auto"/>
        <w:rPr>
          <w:lang w:eastAsia="zh-CN"/>
        </w:rPr>
      </w:pPr>
      <w:r>
        <w:rPr>
          <w:lang w:eastAsia="zh-CN"/>
        </w:rPr>
        <w:t xml:space="preserve">Alt 2-3: </w:t>
      </w:r>
    </w:p>
    <w:p w14:paraId="37E035FF" w14:textId="77777777" w:rsidR="009B1DAE" w:rsidRDefault="009B1DAE" w:rsidP="00D71C3E">
      <w:pPr>
        <w:numPr>
          <w:ilvl w:val="3"/>
          <w:numId w:val="31"/>
        </w:numPr>
        <w:overflowPunct w:val="0"/>
        <w:autoSpaceDE w:val="0"/>
        <w:autoSpaceDN w:val="0"/>
        <w:spacing w:line="360" w:lineRule="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2F8451C7" w14:textId="77777777" w:rsidR="009B1DAE" w:rsidRDefault="009B1DAE" w:rsidP="00D71C3E">
      <w:pPr>
        <w:numPr>
          <w:ilvl w:val="2"/>
          <w:numId w:val="31"/>
        </w:numPr>
        <w:overflowPunct w:val="0"/>
        <w:autoSpaceDE w:val="0"/>
        <w:autoSpaceDN w:val="0"/>
        <w:spacing w:line="360" w:lineRule="auto"/>
        <w:rPr>
          <w:color w:val="ED7D31"/>
          <w:lang w:eastAsia="zh-CN"/>
        </w:rPr>
      </w:pPr>
      <w:r>
        <w:rPr>
          <w:color w:val="ED7D31"/>
          <w:lang w:eastAsia="zh-CN"/>
        </w:rPr>
        <w:t xml:space="preserve">Alt 2-4: </w:t>
      </w:r>
    </w:p>
    <w:p w14:paraId="0242067B" w14:textId="77777777" w:rsidR="009B1DAE" w:rsidRDefault="009B1DAE" w:rsidP="00D71C3E">
      <w:pPr>
        <w:numPr>
          <w:ilvl w:val="3"/>
          <w:numId w:val="31"/>
        </w:numPr>
        <w:overflowPunct w:val="0"/>
        <w:autoSpaceDE w:val="0"/>
        <w:autoSpaceDN w:val="0"/>
        <w:spacing w:line="360" w:lineRule="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39FF3F3A" w14:textId="77777777" w:rsidR="009B1DAE" w:rsidRDefault="009B1DAE" w:rsidP="00D71C3E">
      <w:pPr>
        <w:numPr>
          <w:ilvl w:val="0"/>
          <w:numId w:val="31"/>
        </w:numPr>
        <w:overflowPunct w:val="0"/>
        <w:autoSpaceDE w:val="0"/>
        <w:autoSpaceDN w:val="0"/>
        <w:spacing w:line="360" w:lineRule="auto"/>
        <w:rPr>
          <w:lang w:eastAsia="zh-CN"/>
        </w:rPr>
      </w:pPr>
      <w:r>
        <w:rPr>
          <w:lang w:eastAsia="zh-CN"/>
        </w:rPr>
        <w:t>FFS following aspects</w:t>
      </w:r>
    </w:p>
    <w:p w14:paraId="102963CD" w14:textId="77777777" w:rsidR="009B1DAE" w:rsidRDefault="009B1DAE" w:rsidP="00D71C3E">
      <w:pPr>
        <w:numPr>
          <w:ilvl w:val="1"/>
          <w:numId w:val="31"/>
        </w:numPr>
        <w:overflowPunct w:val="0"/>
        <w:autoSpaceDE w:val="0"/>
        <w:autoSpaceDN w:val="0"/>
        <w:spacing w:line="360" w:lineRule="auto"/>
        <w:rPr>
          <w:lang w:eastAsia="zh-CN"/>
        </w:rPr>
      </w:pPr>
      <w:r>
        <w:rPr>
          <w:lang w:eastAsia="zh-CN"/>
        </w:rPr>
        <w:t>Impact of sSCell activation/deactivation and sSCell dormancy</w:t>
      </w:r>
    </w:p>
    <w:p w14:paraId="1EE65DC8" w14:textId="77777777" w:rsidR="009B1DAE" w:rsidRDefault="009B1DAE" w:rsidP="00D71C3E">
      <w:pPr>
        <w:numPr>
          <w:ilvl w:val="1"/>
          <w:numId w:val="31"/>
        </w:numPr>
        <w:overflowPunct w:val="0"/>
        <w:autoSpaceDE w:val="0"/>
        <w:autoSpaceDN w:val="0"/>
        <w:spacing w:line="360" w:lineRule="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06A87EE0" w14:textId="77777777" w:rsidR="009B1DAE" w:rsidRDefault="009B1DAE" w:rsidP="00D71C3E">
      <w:pPr>
        <w:numPr>
          <w:ilvl w:val="1"/>
          <w:numId w:val="31"/>
        </w:numPr>
        <w:overflowPunct w:val="0"/>
        <w:autoSpaceDE w:val="0"/>
        <w:autoSpaceDN w:val="0"/>
        <w:spacing w:line="360" w:lineRule="auto"/>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09181A37" w14:textId="77777777" w:rsidR="009B1DAE" w:rsidRDefault="009B1DAE" w:rsidP="00D71C3E">
      <w:pPr>
        <w:numPr>
          <w:ilvl w:val="1"/>
          <w:numId w:val="31"/>
        </w:numPr>
        <w:overflowPunct w:val="0"/>
        <w:autoSpaceDE w:val="0"/>
        <w:autoSpaceDN w:val="0"/>
        <w:spacing w:line="360" w:lineRule="auto"/>
        <w:rPr>
          <w:color w:val="FF0000"/>
          <w:lang w:eastAsia="zh-CN"/>
        </w:rPr>
      </w:pPr>
      <w:r>
        <w:rPr>
          <w:color w:val="FF0000"/>
          <w:lang w:eastAsia="zh-CN"/>
        </w:rPr>
        <w:t>Impact from different numerologies between PDCCH on the PCell/PSCell and that on the sSCell</w:t>
      </w:r>
    </w:p>
    <w:p w14:paraId="7CB2645A" w14:textId="77777777" w:rsidR="009B1DAE" w:rsidRDefault="009B1DAE" w:rsidP="00D71C3E">
      <w:pPr>
        <w:numPr>
          <w:ilvl w:val="1"/>
          <w:numId w:val="31"/>
        </w:numPr>
        <w:overflowPunct w:val="0"/>
        <w:autoSpaceDE w:val="0"/>
        <w:autoSpaceDN w:val="0"/>
        <w:spacing w:line="360" w:lineRule="auto"/>
        <w:rPr>
          <w:color w:val="ED7D31"/>
          <w:lang w:eastAsia="zh-CN"/>
        </w:rPr>
      </w:pPr>
      <w:r>
        <w:rPr>
          <w:color w:val="ED7D31"/>
          <w:lang w:eastAsia="zh-CN"/>
        </w:rPr>
        <w:t>Whether or not to have mechanism for activation/deactivation of scheduling from sSCell to PCell/PSCell</w:t>
      </w:r>
    </w:p>
    <w:p w14:paraId="62C0CF9F" w14:textId="77777777" w:rsidR="009B1DAE" w:rsidRDefault="009B1DAE" w:rsidP="00D71C3E">
      <w:pPr>
        <w:numPr>
          <w:ilvl w:val="1"/>
          <w:numId w:val="31"/>
        </w:numPr>
        <w:overflowPunct w:val="0"/>
        <w:autoSpaceDE w:val="0"/>
        <w:autoSpaceDN w:val="0"/>
        <w:spacing w:line="360" w:lineRule="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4046DCD7" w14:textId="77777777" w:rsidR="009B1DAE" w:rsidRPr="009B1DAE" w:rsidRDefault="009B1DAE" w:rsidP="009B1DAE">
      <w:pPr>
        <w:pStyle w:val="BodyText"/>
      </w:pPr>
    </w:p>
    <w:p w14:paraId="0EC99E4F" w14:textId="77777777" w:rsidR="009B1DAE" w:rsidRPr="001A52FD" w:rsidRDefault="009B1DAE" w:rsidP="00875410">
      <w:pPr>
        <w:pStyle w:val="BodyText"/>
        <w:rPr>
          <w:lang w:val="de-DE"/>
        </w:rPr>
      </w:pPr>
    </w:p>
    <w:sectPr w:rsidR="009B1DAE" w:rsidRPr="001A52FD">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7CF4C" w14:textId="77777777" w:rsidR="004F589C" w:rsidRDefault="004F589C">
      <w:r>
        <w:separator/>
      </w:r>
    </w:p>
  </w:endnote>
  <w:endnote w:type="continuationSeparator" w:id="0">
    <w:p w14:paraId="6C350E72" w14:textId="77777777" w:rsidR="004F589C" w:rsidRDefault="004F589C">
      <w:r>
        <w:continuationSeparator/>
      </w:r>
    </w:p>
  </w:endnote>
  <w:endnote w:type="continuationNotice" w:id="1">
    <w:p w14:paraId="7F95997C" w14:textId="77777777" w:rsidR="004F589C" w:rsidRDefault="004F5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36833090" w14:textId="09C9964F" w:rsidR="00467D63" w:rsidRDefault="00467D6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467D63" w:rsidRDefault="00467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E6882" w14:textId="77777777" w:rsidR="004F589C" w:rsidRDefault="004F589C">
      <w:r>
        <w:separator/>
      </w:r>
    </w:p>
  </w:footnote>
  <w:footnote w:type="continuationSeparator" w:id="0">
    <w:p w14:paraId="5FB98761" w14:textId="77777777" w:rsidR="004F589C" w:rsidRDefault="004F589C">
      <w:r>
        <w:continuationSeparator/>
      </w:r>
    </w:p>
  </w:footnote>
  <w:footnote w:type="continuationNotice" w:id="1">
    <w:p w14:paraId="6271BFC0" w14:textId="77777777" w:rsidR="004F589C" w:rsidRDefault="004F5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5559" w14:textId="77777777" w:rsidR="00467D63" w:rsidRDefault="00467D63"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6107B"/>
    <w:multiLevelType w:val="hybridMultilevel"/>
    <w:tmpl w:val="D30E55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327C8"/>
    <w:multiLevelType w:val="hybridMultilevel"/>
    <w:tmpl w:val="72361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62470"/>
    <w:multiLevelType w:val="hybridMultilevel"/>
    <w:tmpl w:val="23DE5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D2102"/>
    <w:multiLevelType w:val="hybridMultilevel"/>
    <w:tmpl w:val="0B02C416"/>
    <w:lvl w:ilvl="0" w:tplc="517A060A">
      <w:start w:val="1"/>
      <w:numFmt w:val="bullet"/>
      <w:lvlText w:val=""/>
      <w:lvlJc w:val="left"/>
      <w:pPr>
        <w:tabs>
          <w:tab w:val="num" w:pos="720"/>
        </w:tabs>
        <w:ind w:left="720" w:hanging="360"/>
      </w:pPr>
      <w:rPr>
        <w:rFonts w:ascii="Symbol" w:hAnsi="Symbol" w:hint="default"/>
        <w:sz w:val="20"/>
      </w:rPr>
    </w:lvl>
    <w:lvl w:ilvl="1" w:tplc="F6C0CA8A">
      <w:start w:val="1"/>
      <w:numFmt w:val="bullet"/>
      <w:lvlText w:val="o"/>
      <w:lvlJc w:val="left"/>
      <w:pPr>
        <w:tabs>
          <w:tab w:val="num" w:pos="1440"/>
        </w:tabs>
        <w:ind w:left="1440" w:hanging="360"/>
      </w:pPr>
      <w:rPr>
        <w:rFonts w:ascii="Courier New" w:hAnsi="Courier New" w:cs="Times New Roman" w:hint="default"/>
        <w:sz w:val="20"/>
      </w:rPr>
    </w:lvl>
    <w:lvl w:ilvl="2" w:tplc="B01EF6A6">
      <w:start w:val="1"/>
      <w:numFmt w:val="bullet"/>
      <w:lvlText w:val=""/>
      <w:lvlJc w:val="left"/>
      <w:pPr>
        <w:tabs>
          <w:tab w:val="num" w:pos="2160"/>
        </w:tabs>
        <w:ind w:left="2160" w:hanging="360"/>
      </w:pPr>
      <w:rPr>
        <w:rFonts w:ascii="Wingdings" w:hAnsi="Wingdings" w:hint="default"/>
        <w:sz w:val="20"/>
      </w:rPr>
    </w:lvl>
    <w:lvl w:ilvl="3" w:tplc="C9AC8370">
      <w:start w:val="1"/>
      <w:numFmt w:val="bullet"/>
      <w:lvlText w:val="o"/>
      <w:lvlJc w:val="left"/>
      <w:pPr>
        <w:tabs>
          <w:tab w:val="num" w:pos="2880"/>
        </w:tabs>
        <w:ind w:left="2880" w:hanging="360"/>
      </w:pPr>
      <w:rPr>
        <w:rFonts w:ascii="Courier New" w:hAnsi="Courier New" w:cs="Courier New" w:hint="default"/>
      </w:rPr>
    </w:lvl>
    <w:lvl w:ilvl="4" w:tplc="C9E29986">
      <w:start w:val="1"/>
      <w:numFmt w:val="decimal"/>
      <w:lvlText w:val="%5."/>
      <w:lvlJc w:val="left"/>
      <w:pPr>
        <w:tabs>
          <w:tab w:val="num" w:pos="3600"/>
        </w:tabs>
        <w:ind w:left="3600" w:hanging="360"/>
      </w:pPr>
    </w:lvl>
    <w:lvl w:ilvl="5" w:tplc="4C4A0B6A">
      <w:start w:val="1"/>
      <w:numFmt w:val="decimal"/>
      <w:lvlText w:val="%6."/>
      <w:lvlJc w:val="left"/>
      <w:pPr>
        <w:tabs>
          <w:tab w:val="num" w:pos="4320"/>
        </w:tabs>
        <w:ind w:left="4320" w:hanging="360"/>
      </w:pPr>
    </w:lvl>
    <w:lvl w:ilvl="6" w:tplc="59EAF516">
      <w:start w:val="1"/>
      <w:numFmt w:val="decimal"/>
      <w:lvlText w:val="%7."/>
      <w:lvlJc w:val="left"/>
      <w:pPr>
        <w:tabs>
          <w:tab w:val="num" w:pos="5040"/>
        </w:tabs>
        <w:ind w:left="5040" w:hanging="360"/>
      </w:pPr>
    </w:lvl>
    <w:lvl w:ilvl="7" w:tplc="E0386666">
      <w:start w:val="1"/>
      <w:numFmt w:val="decimal"/>
      <w:lvlText w:val="%8."/>
      <w:lvlJc w:val="left"/>
      <w:pPr>
        <w:tabs>
          <w:tab w:val="num" w:pos="5760"/>
        </w:tabs>
        <w:ind w:left="5760" w:hanging="360"/>
      </w:pPr>
    </w:lvl>
    <w:lvl w:ilvl="8" w:tplc="E8D615E6">
      <w:start w:val="1"/>
      <w:numFmt w:val="decimal"/>
      <w:lvlText w:val="%9."/>
      <w:lvlJc w:val="left"/>
      <w:pPr>
        <w:tabs>
          <w:tab w:val="num" w:pos="6480"/>
        </w:tabs>
        <w:ind w:left="6480" w:hanging="360"/>
      </w:pPr>
    </w:lvl>
  </w:abstractNum>
  <w:abstractNum w:abstractNumId="5"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27757EA"/>
    <w:multiLevelType w:val="hybridMultilevel"/>
    <w:tmpl w:val="E5A207BE"/>
    <w:lvl w:ilvl="0" w:tplc="04090017">
      <w:start w:val="1"/>
      <w:numFmt w:val="lowerLetter"/>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3F70131"/>
    <w:multiLevelType w:val="hybridMultilevel"/>
    <w:tmpl w:val="A2C6F9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04AD2"/>
    <w:multiLevelType w:val="hybridMultilevel"/>
    <w:tmpl w:val="4172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67821"/>
    <w:multiLevelType w:val="hybridMultilevel"/>
    <w:tmpl w:val="CCFC7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740C2B"/>
    <w:multiLevelType w:val="hybridMultilevel"/>
    <w:tmpl w:val="EDBCD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1D2896"/>
    <w:multiLevelType w:val="hybridMultilevel"/>
    <w:tmpl w:val="7E4EF3F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8153B9"/>
    <w:multiLevelType w:val="hybridMultilevel"/>
    <w:tmpl w:val="3F284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D3DF9"/>
    <w:multiLevelType w:val="hybridMultilevel"/>
    <w:tmpl w:val="742087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C7930"/>
    <w:multiLevelType w:val="hybridMultilevel"/>
    <w:tmpl w:val="01160156"/>
    <w:lvl w:ilvl="0" w:tplc="D56406A2">
      <w:start w:val="1"/>
      <w:numFmt w:val="bullet"/>
      <w:lvlText w:val=""/>
      <w:lvlJc w:val="left"/>
      <w:pPr>
        <w:tabs>
          <w:tab w:val="num" w:pos="720"/>
        </w:tabs>
        <w:ind w:left="720" w:hanging="360"/>
      </w:pPr>
      <w:rPr>
        <w:rFonts w:ascii="Symbol" w:hAnsi="Symbol" w:hint="default"/>
        <w:sz w:val="20"/>
      </w:rPr>
    </w:lvl>
    <w:lvl w:ilvl="1" w:tplc="D16469F0">
      <w:start w:val="1"/>
      <w:numFmt w:val="bullet"/>
      <w:lvlText w:val="o"/>
      <w:lvlJc w:val="left"/>
      <w:pPr>
        <w:tabs>
          <w:tab w:val="num" w:pos="1440"/>
        </w:tabs>
        <w:ind w:left="1440" w:hanging="360"/>
      </w:pPr>
      <w:rPr>
        <w:rFonts w:ascii="Courier New" w:hAnsi="Courier New" w:cs="Times New Roman" w:hint="default"/>
        <w:sz w:val="20"/>
      </w:rPr>
    </w:lvl>
    <w:lvl w:ilvl="2" w:tplc="721C05A4">
      <w:start w:val="1"/>
      <w:numFmt w:val="bullet"/>
      <w:lvlText w:val=""/>
      <w:lvlJc w:val="left"/>
      <w:pPr>
        <w:tabs>
          <w:tab w:val="num" w:pos="2160"/>
        </w:tabs>
        <w:ind w:left="2160" w:hanging="360"/>
      </w:pPr>
      <w:rPr>
        <w:rFonts w:ascii="Wingdings" w:hAnsi="Wingdings" w:hint="default"/>
        <w:sz w:val="20"/>
      </w:rPr>
    </w:lvl>
    <w:lvl w:ilvl="3" w:tplc="AC328A5E">
      <w:start w:val="1"/>
      <w:numFmt w:val="decimal"/>
      <w:lvlText w:val="%4."/>
      <w:lvlJc w:val="left"/>
      <w:pPr>
        <w:tabs>
          <w:tab w:val="num" w:pos="2880"/>
        </w:tabs>
        <w:ind w:left="2880" w:hanging="360"/>
      </w:pPr>
    </w:lvl>
    <w:lvl w:ilvl="4" w:tplc="D9FC41BC">
      <w:start w:val="1"/>
      <w:numFmt w:val="decimal"/>
      <w:lvlText w:val="%5."/>
      <w:lvlJc w:val="left"/>
      <w:pPr>
        <w:tabs>
          <w:tab w:val="num" w:pos="3600"/>
        </w:tabs>
        <w:ind w:left="3600" w:hanging="360"/>
      </w:pPr>
    </w:lvl>
    <w:lvl w:ilvl="5" w:tplc="1FE4B6BC">
      <w:start w:val="1"/>
      <w:numFmt w:val="decimal"/>
      <w:lvlText w:val="%6."/>
      <w:lvlJc w:val="left"/>
      <w:pPr>
        <w:tabs>
          <w:tab w:val="num" w:pos="4320"/>
        </w:tabs>
        <w:ind w:left="4320" w:hanging="360"/>
      </w:pPr>
    </w:lvl>
    <w:lvl w:ilvl="6" w:tplc="E23A52FA">
      <w:start w:val="1"/>
      <w:numFmt w:val="decimal"/>
      <w:lvlText w:val="%7."/>
      <w:lvlJc w:val="left"/>
      <w:pPr>
        <w:tabs>
          <w:tab w:val="num" w:pos="5040"/>
        </w:tabs>
        <w:ind w:left="5040" w:hanging="360"/>
      </w:pPr>
    </w:lvl>
    <w:lvl w:ilvl="7" w:tplc="CC021F76">
      <w:start w:val="1"/>
      <w:numFmt w:val="decimal"/>
      <w:lvlText w:val="%8."/>
      <w:lvlJc w:val="left"/>
      <w:pPr>
        <w:tabs>
          <w:tab w:val="num" w:pos="5760"/>
        </w:tabs>
        <w:ind w:left="5760" w:hanging="360"/>
      </w:pPr>
    </w:lvl>
    <w:lvl w:ilvl="8" w:tplc="6D54BEF6">
      <w:start w:val="1"/>
      <w:numFmt w:val="decimal"/>
      <w:lvlText w:val="%9."/>
      <w:lvlJc w:val="left"/>
      <w:pPr>
        <w:tabs>
          <w:tab w:val="num" w:pos="6480"/>
        </w:tabs>
        <w:ind w:left="6480" w:hanging="360"/>
      </w:pPr>
    </w:lvl>
  </w:abstractNum>
  <w:abstractNum w:abstractNumId="21"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D15664"/>
    <w:multiLevelType w:val="hybridMultilevel"/>
    <w:tmpl w:val="2468EF9C"/>
    <w:lvl w:ilvl="0" w:tplc="906878F0">
      <w:start w:val="1"/>
      <w:numFmt w:val="bullet"/>
      <w:lvlText w:val=""/>
      <w:lvlJc w:val="left"/>
      <w:pPr>
        <w:tabs>
          <w:tab w:val="num" w:pos="720"/>
        </w:tabs>
        <w:ind w:left="720" w:hanging="360"/>
      </w:pPr>
      <w:rPr>
        <w:rFonts w:ascii="Symbol" w:hAnsi="Symbol" w:hint="default"/>
        <w:sz w:val="20"/>
      </w:rPr>
    </w:lvl>
    <w:lvl w:ilvl="1" w:tplc="1BF26C2A">
      <w:start w:val="1"/>
      <w:numFmt w:val="bullet"/>
      <w:lvlText w:val="o"/>
      <w:lvlJc w:val="left"/>
      <w:pPr>
        <w:tabs>
          <w:tab w:val="num" w:pos="1440"/>
        </w:tabs>
        <w:ind w:left="1440" w:hanging="360"/>
      </w:pPr>
      <w:rPr>
        <w:rFonts w:ascii="Courier New" w:hAnsi="Courier New" w:cs="Times New Roman" w:hint="default"/>
        <w:sz w:val="20"/>
      </w:rPr>
    </w:lvl>
    <w:lvl w:ilvl="2" w:tplc="238C2FC6">
      <w:start w:val="1"/>
      <w:numFmt w:val="bullet"/>
      <w:lvlText w:val=""/>
      <w:lvlJc w:val="left"/>
      <w:pPr>
        <w:tabs>
          <w:tab w:val="num" w:pos="2160"/>
        </w:tabs>
        <w:ind w:left="2160" w:hanging="360"/>
      </w:pPr>
      <w:rPr>
        <w:rFonts w:ascii="Wingdings" w:hAnsi="Wingdings" w:hint="default"/>
        <w:sz w:val="20"/>
      </w:rPr>
    </w:lvl>
    <w:lvl w:ilvl="3" w:tplc="401AB79C">
      <w:start w:val="1"/>
      <w:numFmt w:val="bullet"/>
      <w:lvlText w:val="o"/>
      <w:lvlJc w:val="left"/>
      <w:pPr>
        <w:tabs>
          <w:tab w:val="num" w:pos="2880"/>
        </w:tabs>
        <w:ind w:left="2880" w:hanging="360"/>
      </w:pPr>
      <w:rPr>
        <w:rFonts w:ascii="Courier New" w:hAnsi="Courier New" w:cs="Courier New" w:hint="default"/>
      </w:rPr>
    </w:lvl>
    <w:lvl w:ilvl="4" w:tplc="6E0C348C">
      <w:start w:val="1"/>
      <w:numFmt w:val="decimal"/>
      <w:lvlText w:val="%5."/>
      <w:lvlJc w:val="left"/>
      <w:pPr>
        <w:tabs>
          <w:tab w:val="num" w:pos="3600"/>
        </w:tabs>
        <w:ind w:left="3600" w:hanging="360"/>
      </w:pPr>
    </w:lvl>
    <w:lvl w:ilvl="5" w:tplc="64023CD4">
      <w:start w:val="1"/>
      <w:numFmt w:val="decimal"/>
      <w:lvlText w:val="%6."/>
      <w:lvlJc w:val="left"/>
      <w:pPr>
        <w:tabs>
          <w:tab w:val="num" w:pos="4320"/>
        </w:tabs>
        <w:ind w:left="4320" w:hanging="360"/>
      </w:pPr>
    </w:lvl>
    <w:lvl w:ilvl="6" w:tplc="0FD23524">
      <w:start w:val="1"/>
      <w:numFmt w:val="decimal"/>
      <w:lvlText w:val="%7."/>
      <w:lvlJc w:val="left"/>
      <w:pPr>
        <w:tabs>
          <w:tab w:val="num" w:pos="5040"/>
        </w:tabs>
        <w:ind w:left="5040" w:hanging="360"/>
      </w:pPr>
    </w:lvl>
    <w:lvl w:ilvl="7" w:tplc="2D326196">
      <w:start w:val="1"/>
      <w:numFmt w:val="decimal"/>
      <w:lvlText w:val="%8."/>
      <w:lvlJc w:val="left"/>
      <w:pPr>
        <w:tabs>
          <w:tab w:val="num" w:pos="5760"/>
        </w:tabs>
        <w:ind w:left="5760" w:hanging="360"/>
      </w:pPr>
    </w:lvl>
    <w:lvl w:ilvl="8" w:tplc="32380006">
      <w:start w:val="1"/>
      <w:numFmt w:val="decimal"/>
      <w:lvlText w:val="%9."/>
      <w:lvlJc w:val="left"/>
      <w:pPr>
        <w:tabs>
          <w:tab w:val="num" w:pos="6480"/>
        </w:tabs>
        <w:ind w:left="6480" w:hanging="360"/>
      </w:pPr>
    </w:lvl>
  </w:abstractNum>
  <w:abstractNum w:abstractNumId="2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21723"/>
    <w:multiLevelType w:val="hybridMultilevel"/>
    <w:tmpl w:val="C200F3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C76AF"/>
    <w:multiLevelType w:val="hybridMultilevel"/>
    <w:tmpl w:val="341C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7"/>
  </w:num>
  <w:num w:numId="3">
    <w:abstractNumId w:val="25"/>
  </w:num>
  <w:num w:numId="4">
    <w:abstractNumId w:val="8"/>
  </w:num>
  <w:num w:numId="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9"/>
  </w:num>
  <w:num w:numId="10">
    <w:abstractNumId w:val="10"/>
  </w:num>
  <w:num w:numId="11">
    <w:abstractNumId w:val="21"/>
  </w:num>
  <w:num w:numId="12">
    <w:abstractNumId w:val="18"/>
  </w:num>
  <w:num w:numId="13">
    <w:abstractNumId w:val="13"/>
  </w:num>
  <w:num w:numId="14">
    <w:abstractNumId w:val="7"/>
  </w:num>
  <w:num w:numId="15">
    <w:abstractNumId w:val="6"/>
  </w:num>
  <w:num w:numId="16">
    <w:abstractNumId w:val="15"/>
  </w:num>
  <w:num w:numId="17">
    <w:abstractNumId w:val="5"/>
  </w:num>
  <w:num w:numId="18">
    <w:abstractNumId w:val="24"/>
  </w:num>
  <w:num w:numId="19">
    <w:abstractNumId w:val="26"/>
  </w:num>
  <w:num w:numId="20">
    <w:abstractNumId w:val="16"/>
  </w:num>
  <w:num w:numId="21">
    <w:abstractNumId w:val="12"/>
  </w:num>
  <w:num w:numId="22">
    <w:abstractNumId w:val="9"/>
  </w:num>
  <w:num w:numId="23">
    <w:abstractNumId w:val="1"/>
  </w:num>
  <w:num w:numId="24">
    <w:abstractNumId w:val="14"/>
  </w:num>
  <w:num w:numId="25">
    <w:abstractNumId w:val="23"/>
  </w:num>
  <w:num w:numId="26">
    <w:abstractNumId w:val="3"/>
  </w:num>
  <w:num w:numId="27">
    <w:abstractNumId w:val="11"/>
  </w:num>
  <w:num w:numId="28">
    <w:abstractNumId w:val="2"/>
  </w:num>
  <w:num w:numId="29">
    <w:abstractNumId w:val="27"/>
  </w:num>
  <w:num w:numId="30">
    <w:abstractNumId w:val="0"/>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01ADD"/>
    <w:rsid w:val="00010C57"/>
    <w:rsid w:val="0001241E"/>
    <w:rsid w:val="00015E57"/>
    <w:rsid w:val="00016150"/>
    <w:rsid w:val="00020D25"/>
    <w:rsid w:val="0002159E"/>
    <w:rsid w:val="00023494"/>
    <w:rsid w:val="00024700"/>
    <w:rsid w:val="00027510"/>
    <w:rsid w:val="000327E0"/>
    <w:rsid w:val="00036A26"/>
    <w:rsid w:val="00046F99"/>
    <w:rsid w:val="00051196"/>
    <w:rsid w:val="00051842"/>
    <w:rsid w:val="00052317"/>
    <w:rsid w:val="000559EB"/>
    <w:rsid w:val="0005603D"/>
    <w:rsid w:val="00061200"/>
    <w:rsid w:val="00063A10"/>
    <w:rsid w:val="00064EC6"/>
    <w:rsid w:val="00072676"/>
    <w:rsid w:val="000737DE"/>
    <w:rsid w:val="00073B5E"/>
    <w:rsid w:val="00077A55"/>
    <w:rsid w:val="0008101D"/>
    <w:rsid w:val="0008138D"/>
    <w:rsid w:val="00081CD0"/>
    <w:rsid w:val="0008221D"/>
    <w:rsid w:val="0008252D"/>
    <w:rsid w:val="00082EE7"/>
    <w:rsid w:val="000837A5"/>
    <w:rsid w:val="00083D17"/>
    <w:rsid w:val="00090AD0"/>
    <w:rsid w:val="00093A2C"/>
    <w:rsid w:val="00094B85"/>
    <w:rsid w:val="000A0C10"/>
    <w:rsid w:val="000A3160"/>
    <w:rsid w:val="000A38FD"/>
    <w:rsid w:val="000B03F8"/>
    <w:rsid w:val="000B522F"/>
    <w:rsid w:val="000B5A9E"/>
    <w:rsid w:val="000B666C"/>
    <w:rsid w:val="000C4F19"/>
    <w:rsid w:val="000C7DE2"/>
    <w:rsid w:val="000D018B"/>
    <w:rsid w:val="000D5B50"/>
    <w:rsid w:val="000D7E6E"/>
    <w:rsid w:val="000E09E0"/>
    <w:rsid w:val="000E2535"/>
    <w:rsid w:val="000E324D"/>
    <w:rsid w:val="000E3CCE"/>
    <w:rsid w:val="000E4FE4"/>
    <w:rsid w:val="000E7A4A"/>
    <w:rsid w:val="000F10A0"/>
    <w:rsid w:val="000F14DF"/>
    <w:rsid w:val="000F2D0F"/>
    <w:rsid w:val="000F2D92"/>
    <w:rsid w:val="000F3F71"/>
    <w:rsid w:val="000F4425"/>
    <w:rsid w:val="000F4A5B"/>
    <w:rsid w:val="000F71D8"/>
    <w:rsid w:val="00102B2B"/>
    <w:rsid w:val="001043D9"/>
    <w:rsid w:val="00106C45"/>
    <w:rsid w:val="001108E3"/>
    <w:rsid w:val="00115F53"/>
    <w:rsid w:val="001161C3"/>
    <w:rsid w:val="00120DD5"/>
    <w:rsid w:val="00120E82"/>
    <w:rsid w:val="00127CCA"/>
    <w:rsid w:val="001303E8"/>
    <w:rsid w:val="00131BC2"/>
    <w:rsid w:val="001325EC"/>
    <w:rsid w:val="001337AD"/>
    <w:rsid w:val="00136086"/>
    <w:rsid w:val="0013767B"/>
    <w:rsid w:val="00140744"/>
    <w:rsid w:val="00141433"/>
    <w:rsid w:val="00145657"/>
    <w:rsid w:val="001475FF"/>
    <w:rsid w:val="001544FE"/>
    <w:rsid w:val="00154C7A"/>
    <w:rsid w:val="00156C7A"/>
    <w:rsid w:val="00167C21"/>
    <w:rsid w:val="00175AB4"/>
    <w:rsid w:val="001769EE"/>
    <w:rsid w:val="00180F31"/>
    <w:rsid w:val="0018342A"/>
    <w:rsid w:val="00184496"/>
    <w:rsid w:val="00187230"/>
    <w:rsid w:val="0019059E"/>
    <w:rsid w:val="001908C8"/>
    <w:rsid w:val="00190C1E"/>
    <w:rsid w:val="0019535C"/>
    <w:rsid w:val="0019555F"/>
    <w:rsid w:val="001967F3"/>
    <w:rsid w:val="001A10D5"/>
    <w:rsid w:val="001A2D6D"/>
    <w:rsid w:val="001A52FD"/>
    <w:rsid w:val="001A6078"/>
    <w:rsid w:val="001A6276"/>
    <w:rsid w:val="001B0E82"/>
    <w:rsid w:val="001B3C57"/>
    <w:rsid w:val="001B4063"/>
    <w:rsid w:val="001C1C66"/>
    <w:rsid w:val="001D00C3"/>
    <w:rsid w:val="001D3B44"/>
    <w:rsid w:val="001D6A97"/>
    <w:rsid w:val="001D7273"/>
    <w:rsid w:val="001E05AC"/>
    <w:rsid w:val="001E075A"/>
    <w:rsid w:val="001E58D1"/>
    <w:rsid w:val="001F41A7"/>
    <w:rsid w:val="001F4FF4"/>
    <w:rsid w:val="001F509B"/>
    <w:rsid w:val="001F5C70"/>
    <w:rsid w:val="001F6A50"/>
    <w:rsid w:val="001F7948"/>
    <w:rsid w:val="0020180D"/>
    <w:rsid w:val="0020626A"/>
    <w:rsid w:val="00207ABF"/>
    <w:rsid w:val="00207F92"/>
    <w:rsid w:val="00211938"/>
    <w:rsid w:val="00212D8E"/>
    <w:rsid w:val="00215BB3"/>
    <w:rsid w:val="00217332"/>
    <w:rsid w:val="0022542D"/>
    <w:rsid w:val="0022600C"/>
    <w:rsid w:val="0023089B"/>
    <w:rsid w:val="0023093B"/>
    <w:rsid w:val="00235CB6"/>
    <w:rsid w:val="00235FA3"/>
    <w:rsid w:val="00235FEA"/>
    <w:rsid w:val="00237486"/>
    <w:rsid w:val="00241034"/>
    <w:rsid w:val="002421E0"/>
    <w:rsid w:val="002517F8"/>
    <w:rsid w:val="00251F01"/>
    <w:rsid w:val="002544C6"/>
    <w:rsid w:val="0025694B"/>
    <w:rsid w:val="00263055"/>
    <w:rsid w:val="00263EBB"/>
    <w:rsid w:val="00266ABE"/>
    <w:rsid w:val="002738CC"/>
    <w:rsid w:val="00276DD8"/>
    <w:rsid w:val="00281F44"/>
    <w:rsid w:val="00282684"/>
    <w:rsid w:val="002854B8"/>
    <w:rsid w:val="00285C74"/>
    <w:rsid w:val="00286494"/>
    <w:rsid w:val="00291ACE"/>
    <w:rsid w:val="00295192"/>
    <w:rsid w:val="002A0708"/>
    <w:rsid w:val="002A2B86"/>
    <w:rsid w:val="002B2067"/>
    <w:rsid w:val="002B2A60"/>
    <w:rsid w:val="002B3491"/>
    <w:rsid w:val="002B3B75"/>
    <w:rsid w:val="002C46BE"/>
    <w:rsid w:val="002C4E58"/>
    <w:rsid w:val="002D70B3"/>
    <w:rsid w:val="002E138F"/>
    <w:rsid w:val="002E2ED5"/>
    <w:rsid w:val="002E2EFF"/>
    <w:rsid w:val="002E3CE3"/>
    <w:rsid w:val="002E4FB7"/>
    <w:rsid w:val="002F2CB2"/>
    <w:rsid w:val="002F3F00"/>
    <w:rsid w:val="002F57B3"/>
    <w:rsid w:val="002F7AF7"/>
    <w:rsid w:val="00302E3F"/>
    <w:rsid w:val="00305716"/>
    <w:rsid w:val="0030652D"/>
    <w:rsid w:val="00307EF7"/>
    <w:rsid w:val="0031005B"/>
    <w:rsid w:val="003145E9"/>
    <w:rsid w:val="003155DA"/>
    <w:rsid w:val="00324876"/>
    <w:rsid w:val="00324BAE"/>
    <w:rsid w:val="00325DE9"/>
    <w:rsid w:val="003300C3"/>
    <w:rsid w:val="0033345F"/>
    <w:rsid w:val="00334517"/>
    <w:rsid w:val="0033492C"/>
    <w:rsid w:val="00334C90"/>
    <w:rsid w:val="00335959"/>
    <w:rsid w:val="00340144"/>
    <w:rsid w:val="00342945"/>
    <w:rsid w:val="00342C7C"/>
    <w:rsid w:val="00351483"/>
    <w:rsid w:val="003564F1"/>
    <w:rsid w:val="003600D4"/>
    <w:rsid w:val="003611A8"/>
    <w:rsid w:val="0036242B"/>
    <w:rsid w:val="0036247C"/>
    <w:rsid w:val="00362E82"/>
    <w:rsid w:val="00364EA1"/>
    <w:rsid w:val="00371645"/>
    <w:rsid w:val="003736DD"/>
    <w:rsid w:val="0037786F"/>
    <w:rsid w:val="00377C49"/>
    <w:rsid w:val="00381D36"/>
    <w:rsid w:val="0038522D"/>
    <w:rsid w:val="00385D4C"/>
    <w:rsid w:val="0039533E"/>
    <w:rsid w:val="00395869"/>
    <w:rsid w:val="003970C1"/>
    <w:rsid w:val="003A0B2C"/>
    <w:rsid w:val="003A21F3"/>
    <w:rsid w:val="003A3145"/>
    <w:rsid w:val="003A38AF"/>
    <w:rsid w:val="003A438C"/>
    <w:rsid w:val="003A5DC6"/>
    <w:rsid w:val="003B2B72"/>
    <w:rsid w:val="003C0D2F"/>
    <w:rsid w:val="003C13A9"/>
    <w:rsid w:val="003C15DD"/>
    <w:rsid w:val="003C354C"/>
    <w:rsid w:val="003C77FE"/>
    <w:rsid w:val="003D1570"/>
    <w:rsid w:val="003D3C17"/>
    <w:rsid w:val="003D7CA5"/>
    <w:rsid w:val="003D7E0E"/>
    <w:rsid w:val="003E066E"/>
    <w:rsid w:val="003E32E0"/>
    <w:rsid w:val="003E3514"/>
    <w:rsid w:val="003E59B9"/>
    <w:rsid w:val="003E62B2"/>
    <w:rsid w:val="003F1DD5"/>
    <w:rsid w:val="003F44F1"/>
    <w:rsid w:val="003F4B6A"/>
    <w:rsid w:val="003F6CF1"/>
    <w:rsid w:val="003F7487"/>
    <w:rsid w:val="003F74FA"/>
    <w:rsid w:val="00407067"/>
    <w:rsid w:val="0041138D"/>
    <w:rsid w:val="00411937"/>
    <w:rsid w:val="00414168"/>
    <w:rsid w:val="0041590D"/>
    <w:rsid w:val="004168B2"/>
    <w:rsid w:val="00416929"/>
    <w:rsid w:val="0042002D"/>
    <w:rsid w:val="00420C5A"/>
    <w:rsid w:val="004226B9"/>
    <w:rsid w:val="00422A8A"/>
    <w:rsid w:val="004241C9"/>
    <w:rsid w:val="00425ADE"/>
    <w:rsid w:val="0043094A"/>
    <w:rsid w:val="004324D4"/>
    <w:rsid w:val="004331D2"/>
    <w:rsid w:val="004336AD"/>
    <w:rsid w:val="00434CA7"/>
    <w:rsid w:val="004353B4"/>
    <w:rsid w:val="00436517"/>
    <w:rsid w:val="00437317"/>
    <w:rsid w:val="00437638"/>
    <w:rsid w:val="004377CC"/>
    <w:rsid w:val="0044059F"/>
    <w:rsid w:val="00441653"/>
    <w:rsid w:val="00442E27"/>
    <w:rsid w:val="0044643E"/>
    <w:rsid w:val="0044785B"/>
    <w:rsid w:val="00451AF0"/>
    <w:rsid w:val="00453124"/>
    <w:rsid w:val="00456D3D"/>
    <w:rsid w:val="00461F7B"/>
    <w:rsid w:val="004629D5"/>
    <w:rsid w:val="004663E5"/>
    <w:rsid w:val="00467D63"/>
    <w:rsid w:val="00471312"/>
    <w:rsid w:val="00474BB9"/>
    <w:rsid w:val="004803B3"/>
    <w:rsid w:val="00486383"/>
    <w:rsid w:val="00492614"/>
    <w:rsid w:val="00494027"/>
    <w:rsid w:val="00495E7F"/>
    <w:rsid w:val="004962F7"/>
    <w:rsid w:val="0049755B"/>
    <w:rsid w:val="004A1C4F"/>
    <w:rsid w:val="004A54AF"/>
    <w:rsid w:val="004A6C42"/>
    <w:rsid w:val="004B10B2"/>
    <w:rsid w:val="004B4587"/>
    <w:rsid w:val="004C259B"/>
    <w:rsid w:val="004C26E8"/>
    <w:rsid w:val="004C46C5"/>
    <w:rsid w:val="004C7325"/>
    <w:rsid w:val="004C7F11"/>
    <w:rsid w:val="004D00EC"/>
    <w:rsid w:val="004D196B"/>
    <w:rsid w:val="004D4D07"/>
    <w:rsid w:val="004D4E2A"/>
    <w:rsid w:val="004D52F8"/>
    <w:rsid w:val="004D750C"/>
    <w:rsid w:val="004E4F9F"/>
    <w:rsid w:val="004F03A6"/>
    <w:rsid w:val="004F0DEA"/>
    <w:rsid w:val="004F589C"/>
    <w:rsid w:val="005005F4"/>
    <w:rsid w:val="00500C07"/>
    <w:rsid w:val="00501552"/>
    <w:rsid w:val="00501C71"/>
    <w:rsid w:val="00504A2E"/>
    <w:rsid w:val="00504CC9"/>
    <w:rsid w:val="00504F4A"/>
    <w:rsid w:val="0051324C"/>
    <w:rsid w:val="005145AC"/>
    <w:rsid w:val="00515140"/>
    <w:rsid w:val="0051562B"/>
    <w:rsid w:val="0051638B"/>
    <w:rsid w:val="00516926"/>
    <w:rsid w:val="0052342C"/>
    <w:rsid w:val="00524CB0"/>
    <w:rsid w:val="00534EB7"/>
    <w:rsid w:val="0053674D"/>
    <w:rsid w:val="005414B0"/>
    <w:rsid w:val="005450DC"/>
    <w:rsid w:val="00546493"/>
    <w:rsid w:val="00550C2A"/>
    <w:rsid w:val="00557460"/>
    <w:rsid w:val="00560C8E"/>
    <w:rsid w:val="00563504"/>
    <w:rsid w:val="00565F92"/>
    <w:rsid w:val="005702FC"/>
    <w:rsid w:val="00572C08"/>
    <w:rsid w:val="00573E1D"/>
    <w:rsid w:val="00574209"/>
    <w:rsid w:val="0057434A"/>
    <w:rsid w:val="00574DE4"/>
    <w:rsid w:val="00582D43"/>
    <w:rsid w:val="00586871"/>
    <w:rsid w:val="00595988"/>
    <w:rsid w:val="00596464"/>
    <w:rsid w:val="005A0677"/>
    <w:rsid w:val="005B159D"/>
    <w:rsid w:val="005B29A0"/>
    <w:rsid w:val="005B3D19"/>
    <w:rsid w:val="005B5478"/>
    <w:rsid w:val="005B7316"/>
    <w:rsid w:val="005C0905"/>
    <w:rsid w:val="005C32F2"/>
    <w:rsid w:val="005C3DE7"/>
    <w:rsid w:val="005C5D37"/>
    <w:rsid w:val="005C76A7"/>
    <w:rsid w:val="005D0487"/>
    <w:rsid w:val="005D0E9A"/>
    <w:rsid w:val="005D17E1"/>
    <w:rsid w:val="005D5E0E"/>
    <w:rsid w:val="005D5F2E"/>
    <w:rsid w:val="005D60DD"/>
    <w:rsid w:val="005E4200"/>
    <w:rsid w:val="005E5872"/>
    <w:rsid w:val="005F10C4"/>
    <w:rsid w:val="005F545F"/>
    <w:rsid w:val="0060597C"/>
    <w:rsid w:val="0061080D"/>
    <w:rsid w:val="00610DEE"/>
    <w:rsid w:val="00612944"/>
    <w:rsid w:val="006132DF"/>
    <w:rsid w:val="00615CD9"/>
    <w:rsid w:val="00615F68"/>
    <w:rsid w:val="00621EA9"/>
    <w:rsid w:val="006230FD"/>
    <w:rsid w:val="00625BC0"/>
    <w:rsid w:val="006263F7"/>
    <w:rsid w:val="00632475"/>
    <w:rsid w:val="006328B9"/>
    <w:rsid w:val="00634DF2"/>
    <w:rsid w:val="006374C9"/>
    <w:rsid w:val="00640F17"/>
    <w:rsid w:val="00640FE3"/>
    <w:rsid w:val="006425AF"/>
    <w:rsid w:val="006435D9"/>
    <w:rsid w:val="00644F75"/>
    <w:rsid w:val="00645BA6"/>
    <w:rsid w:val="00645BA8"/>
    <w:rsid w:val="00646BF1"/>
    <w:rsid w:val="0064728D"/>
    <w:rsid w:val="006516B6"/>
    <w:rsid w:val="00651D01"/>
    <w:rsid w:val="00654C66"/>
    <w:rsid w:val="00656BAD"/>
    <w:rsid w:val="00665106"/>
    <w:rsid w:val="00665B16"/>
    <w:rsid w:val="0066779C"/>
    <w:rsid w:val="0067552F"/>
    <w:rsid w:val="00675726"/>
    <w:rsid w:val="00675A7D"/>
    <w:rsid w:val="006839B8"/>
    <w:rsid w:val="00686546"/>
    <w:rsid w:val="00691230"/>
    <w:rsid w:val="00693AE2"/>
    <w:rsid w:val="00693AFD"/>
    <w:rsid w:val="00694497"/>
    <w:rsid w:val="006A09B9"/>
    <w:rsid w:val="006A1788"/>
    <w:rsid w:val="006A1FCE"/>
    <w:rsid w:val="006A374A"/>
    <w:rsid w:val="006A4168"/>
    <w:rsid w:val="006A4262"/>
    <w:rsid w:val="006A77A1"/>
    <w:rsid w:val="006B197A"/>
    <w:rsid w:val="006B29D6"/>
    <w:rsid w:val="006B3488"/>
    <w:rsid w:val="006B34CF"/>
    <w:rsid w:val="006B43EF"/>
    <w:rsid w:val="006B4C06"/>
    <w:rsid w:val="006B763D"/>
    <w:rsid w:val="006C4556"/>
    <w:rsid w:val="006D4577"/>
    <w:rsid w:val="006D7C88"/>
    <w:rsid w:val="006E7403"/>
    <w:rsid w:val="006F5EA0"/>
    <w:rsid w:val="00700FC4"/>
    <w:rsid w:val="00701F5C"/>
    <w:rsid w:val="00703666"/>
    <w:rsid w:val="007046AD"/>
    <w:rsid w:val="007048CB"/>
    <w:rsid w:val="007064E9"/>
    <w:rsid w:val="00710873"/>
    <w:rsid w:val="00711FF2"/>
    <w:rsid w:val="00712274"/>
    <w:rsid w:val="00712565"/>
    <w:rsid w:val="00712F97"/>
    <w:rsid w:val="007139E4"/>
    <w:rsid w:val="00715866"/>
    <w:rsid w:val="00723460"/>
    <w:rsid w:val="00723DD9"/>
    <w:rsid w:val="00724A53"/>
    <w:rsid w:val="007258AB"/>
    <w:rsid w:val="00734D2A"/>
    <w:rsid w:val="007358C7"/>
    <w:rsid w:val="007437A3"/>
    <w:rsid w:val="00746EF3"/>
    <w:rsid w:val="00747451"/>
    <w:rsid w:val="007476A7"/>
    <w:rsid w:val="007524E9"/>
    <w:rsid w:val="00753DCF"/>
    <w:rsid w:val="007549E8"/>
    <w:rsid w:val="00756F1E"/>
    <w:rsid w:val="00761057"/>
    <w:rsid w:val="00761AF0"/>
    <w:rsid w:val="007752BD"/>
    <w:rsid w:val="007753E7"/>
    <w:rsid w:val="0077559C"/>
    <w:rsid w:val="007762BC"/>
    <w:rsid w:val="00776A46"/>
    <w:rsid w:val="007775F6"/>
    <w:rsid w:val="00784DA7"/>
    <w:rsid w:val="00785004"/>
    <w:rsid w:val="00790A6C"/>
    <w:rsid w:val="00792051"/>
    <w:rsid w:val="0079332C"/>
    <w:rsid w:val="007966CD"/>
    <w:rsid w:val="00796716"/>
    <w:rsid w:val="007A714B"/>
    <w:rsid w:val="007B079E"/>
    <w:rsid w:val="007B0F49"/>
    <w:rsid w:val="007B188C"/>
    <w:rsid w:val="007B1F32"/>
    <w:rsid w:val="007B56B3"/>
    <w:rsid w:val="007B79CF"/>
    <w:rsid w:val="007C39B2"/>
    <w:rsid w:val="007D04AE"/>
    <w:rsid w:val="007D1267"/>
    <w:rsid w:val="007D149D"/>
    <w:rsid w:val="007D18A5"/>
    <w:rsid w:val="007D2A8E"/>
    <w:rsid w:val="007D33DC"/>
    <w:rsid w:val="007D663F"/>
    <w:rsid w:val="007D7B07"/>
    <w:rsid w:val="007E0EE1"/>
    <w:rsid w:val="007E193F"/>
    <w:rsid w:val="007E293D"/>
    <w:rsid w:val="007E7307"/>
    <w:rsid w:val="007F3E10"/>
    <w:rsid w:val="007F42AE"/>
    <w:rsid w:val="007F6D5A"/>
    <w:rsid w:val="008042CE"/>
    <w:rsid w:val="00805DE1"/>
    <w:rsid w:val="0080779E"/>
    <w:rsid w:val="00807979"/>
    <w:rsid w:val="008079B6"/>
    <w:rsid w:val="00812241"/>
    <w:rsid w:val="008153BA"/>
    <w:rsid w:val="00817201"/>
    <w:rsid w:val="0082258A"/>
    <w:rsid w:val="00826CA1"/>
    <w:rsid w:val="0083521B"/>
    <w:rsid w:val="008367D3"/>
    <w:rsid w:val="008459B6"/>
    <w:rsid w:val="00845F3D"/>
    <w:rsid w:val="008461B2"/>
    <w:rsid w:val="00851834"/>
    <w:rsid w:val="008566E0"/>
    <w:rsid w:val="008569AF"/>
    <w:rsid w:val="008569EF"/>
    <w:rsid w:val="0086469F"/>
    <w:rsid w:val="008654CB"/>
    <w:rsid w:val="00865A1E"/>
    <w:rsid w:val="00866D6C"/>
    <w:rsid w:val="00866FB9"/>
    <w:rsid w:val="008671B7"/>
    <w:rsid w:val="008679C7"/>
    <w:rsid w:val="0087396C"/>
    <w:rsid w:val="00875410"/>
    <w:rsid w:val="00886D68"/>
    <w:rsid w:val="008950EF"/>
    <w:rsid w:val="00895871"/>
    <w:rsid w:val="00897321"/>
    <w:rsid w:val="008A31AF"/>
    <w:rsid w:val="008A3EDE"/>
    <w:rsid w:val="008A5E4A"/>
    <w:rsid w:val="008B3609"/>
    <w:rsid w:val="008B6C5D"/>
    <w:rsid w:val="008C0CAD"/>
    <w:rsid w:val="008C173A"/>
    <w:rsid w:val="008C2CEE"/>
    <w:rsid w:val="008C7AFA"/>
    <w:rsid w:val="008D01E5"/>
    <w:rsid w:val="008D2982"/>
    <w:rsid w:val="008D2B59"/>
    <w:rsid w:val="008D328C"/>
    <w:rsid w:val="008D3DCC"/>
    <w:rsid w:val="008E32DE"/>
    <w:rsid w:val="008E49C6"/>
    <w:rsid w:val="008E5DFE"/>
    <w:rsid w:val="008F0F12"/>
    <w:rsid w:val="008F3BE6"/>
    <w:rsid w:val="008F432B"/>
    <w:rsid w:val="00903CF7"/>
    <w:rsid w:val="00905C2B"/>
    <w:rsid w:val="0091268B"/>
    <w:rsid w:val="00916D7D"/>
    <w:rsid w:val="009217C7"/>
    <w:rsid w:val="00921DBE"/>
    <w:rsid w:val="00923456"/>
    <w:rsid w:val="00926862"/>
    <w:rsid w:val="0093150A"/>
    <w:rsid w:val="00933022"/>
    <w:rsid w:val="00933927"/>
    <w:rsid w:val="00934D2F"/>
    <w:rsid w:val="009350E2"/>
    <w:rsid w:val="00941489"/>
    <w:rsid w:val="00942632"/>
    <w:rsid w:val="00950250"/>
    <w:rsid w:val="00950E11"/>
    <w:rsid w:val="0095355A"/>
    <w:rsid w:val="009565A2"/>
    <w:rsid w:val="00957CCD"/>
    <w:rsid w:val="009627F8"/>
    <w:rsid w:val="00962869"/>
    <w:rsid w:val="00962CF0"/>
    <w:rsid w:val="009637DA"/>
    <w:rsid w:val="00963F86"/>
    <w:rsid w:val="00965EFC"/>
    <w:rsid w:val="00970487"/>
    <w:rsid w:val="00972C70"/>
    <w:rsid w:val="009736FB"/>
    <w:rsid w:val="00975562"/>
    <w:rsid w:val="0098186A"/>
    <w:rsid w:val="009846A5"/>
    <w:rsid w:val="00987C6C"/>
    <w:rsid w:val="00991748"/>
    <w:rsid w:val="009938B0"/>
    <w:rsid w:val="0099522D"/>
    <w:rsid w:val="009A0C3C"/>
    <w:rsid w:val="009A24CA"/>
    <w:rsid w:val="009A732E"/>
    <w:rsid w:val="009B1DAE"/>
    <w:rsid w:val="009C12FB"/>
    <w:rsid w:val="009C341F"/>
    <w:rsid w:val="009C4441"/>
    <w:rsid w:val="009C4BAC"/>
    <w:rsid w:val="009C6877"/>
    <w:rsid w:val="009E11C7"/>
    <w:rsid w:val="009E5C2B"/>
    <w:rsid w:val="009F1149"/>
    <w:rsid w:val="009F3577"/>
    <w:rsid w:val="009F378F"/>
    <w:rsid w:val="009F3D5C"/>
    <w:rsid w:val="009F3DB7"/>
    <w:rsid w:val="009F6A87"/>
    <w:rsid w:val="00A04297"/>
    <w:rsid w:val="00A059F9"/>
    <w:rsid w:val="00A06368"/>
    <w:rsid w:val="00A06C15"/>
    <w:rsid w:val="00A07CB3"/>
    <w:rsid w:val="00A10482"/>
    <w:rsid w:val="00A14894"/>
    <w:rsid w:val="00A17372"/>
    <w:rsid w:val="00A2267B"/>
    <w:rsid w:val="00A260F7"/>
    <w:rsid w:val="00A269A7"/>
    <w:rsid w:val="00A275FB"/>
    <w:rsid w:val="00A27B8B"/>
    <w:rsid w:val="00A30A40"/>
    <w:rsid w:val="00A31EEC"/>
    <w:rsid w:val="00A41633"/>
    <w:rsid w:val="00A41977"/>
    <w:rsid w:val="00A44425"/>
    <w:rsid w:val="00A46C86"/>
    <w:rsid w:val="00A46CE1"/>
    <w:rsid w:val="00A474DF"/>
    <w:rsid w:val="00A50987"/>
    <w:rsid w:val="00A5717B"/>
    <w:rsid w:val="00A61042"/>
    <w:rsid w:val="00A615E7"/>
    <w:rsid w:val="00A64822"/>
    <w:rsid w:val="00A66D65"/>
    <w:rsid w:val="00A67CAA"/>
    <w:rsid w:val="00A71E20"/>
    <w:rsid w:val="00A72D87"/>
    <w:rsid w:val="00A751E8"/>
    <w:rsid w:val="00A7590F"/>
    <w:rsid w:val="00A76376"/>
    <w:rsid w:val="00A77E3D"/>
    <w:rsid w:val="00A84421"/>
    <w:rsid w:val="00A87382"/>
    <w:rsid w:val="00A971C5"/>
    <w:rsid w:val="00A978CA"/>
    <w:rsid w:val="00AA29C2"/>
    <w:rsid w:val="00AA29DE"/>
    <w:rsid w:val="00AA5C31"/>
    <w:rsid w:val="00AA6892"/>
    <w:rsid w:val="00AA73AF"/>
    <w:rsid w:val="00AA76A2"/>
    <w:rsid w:val="00AB5101"/>
    <w:rsid w:val="00AC006A"/>
    <w:rsid w:val="00AC0764"/>
    <w:rsid w:val="00AC0A0B"/>
    <w:rsid w:val="00AC2AA2"/>
    <w:rsid w:val="00AC40AF"/>
    <w:rsid w:val="00AC4B6B"/>
    <w:rsid w:val="00AC5A4C"/>
    <w:rsid w:val="00AC7A63"/>
    <w:rsid w:val="00AD2C53"/>
    <w:rsid w:val="00AD4587"/>
    <w:rsid w:val="00AD4F62"/>
    <w:rsid w:val="00AD7C39"/>
    <w:rsid w:val="00AE2D80"/>
    <w:rsid w:val="00AE3798"/>
    <w:rsid w:val="00AE428C"/>
    <w:rsid w:val="00AE6C58"/>
    <w:rsid w:val="00AE7952"/>
    <w:rsid w:val="00AF48DD"/>
    <w:rsid w:val="00AF53F4"/>
    <w:rsid w:val="00AF5B87"/>
    <w:rsid w:val="00AF6AAB"/>
    <w:rsid w:val="00AF6CDE"/>
    <w:rsid w:val="00B03535"/>
    <w:rsid w:val="00B1181E"/>
    <w:rsid w:val="00B12166"/>
    <w:rsid w:val="00B16862"/>
    <w:rsid w:val="00B171C9"/>
    <w:rsid w:val="00B17913"/>
    <w:rsid w:val="00B23886"/>
    <w:rsid w:val="00B24D9A"/>
    <w:rsid w:val="00B24DC0"/>
    <w:rsid w:val="00B263A1"/>
    <w:rsid w:val="00B266B2"/>
    <w:rsid w:val="00B27964"/>
    <w:rsid w:val="00B311A6"/>
    <w:rsid w:val="00B3136E"/>
    <w:rsid w:val="00B42EE4"/>
    <w:rsid w:val="00B43DD6"/>
    <w:rsid w:val="00B44469"/>
    <w:rsid w:val="00B53210"/>
    <w:rsid w:val="00B60051"/>
    <w:rsid w:val="00B61227"/>
    <w:rsid w:val="00B62625"/>
    <w:rsid w:val="00B62AFE"/>
    <w:rsid w:val="00B65287"/>
    <w:rsid w:val="00B67848"/>
    <w:rsid w:val="00B7027D"/>
    <w:rsid w:val="00B7134F"/>
    <w:rsid w:val="00B72574"/>
    <w:rsid w:val="00B7630C"/>
    <w:rsid w:val="00B80467"/>
    <w:rsid w:val="00B80642"/>
    <w:rsid w:val="00B8069D"/>
    <w:rsid w:val="00B83AF6"/>
    <w:rsid w:val="00B84D08"/>
    <w:rsid w:val="00B85EBD"/>
    <w:rsid w:val="00B871C9"/>
    <w:rsid w:val="00B90C01"/>
    <w:rsid w:val="00B91DB8"/>
    <w:rsid w:val="00B94706"/>
    <w:rsid w:val="00BA5D5D"/>
    <w:rsid w:val="00BB1EE2"/>
    <w:rsid w:val="00BB3536"/>
    <w:rsid w:val="00BB5966"/>
    <w:rsid w:val="00BC0801"/>
    <w:rsid w:val="00BC4B99"/>
    <w:rsid w:val="00BC7D5C"/>
    <w:rsid w:val="00BD1822"/>
    <w:rsid w:val="00BD1B90"/>
    <w:rsid w:val="00BE00EB"/>
    <w:rsid w:val="00BE0D47"/>
    <w:rsid w:val="00BE3675"/>
    <w:rsid w:val="00BE6645"/>
    <w:rsid w:val="00BE66CA"/>
    <w:rsid w:val="00BE717A"/>
    <w:rsid w:val="00BF0E22"/>
    <w:rsid w:val="00BF271D"/>
    <w:rsid w:val="00BF2835"/>
    <w:rsid w:val="00BF3A27"/>
    <w:rsid w:val="00BF3BA3"/>
    <w:rsid w:val="00C010A6"/>
    <w:rsid w:val="00C02855"/>
    <w:rsid w:val="00C02E7C"/>
    <w:rsid w:val="00C02EFE"/>
    <w:rsid w:val="00C03E7B"/>
    <w:rsid w:val="00C04259"/>
    <w:rsid w:val="00C061CD"/>
    <w:rsid w:val="00C12644"/>
    <w:rsid w:val="00C1366B"/>
    <w:rsid w:val="00C13CF7"/>
    <w:rsid w:val="00C147D0"/>
    <w:rsid w:val="00C24650"/>
    <w:rsid w:val="00C25D75"/>
    <w:rsid w:val="00C2796E"/>
    <w:rsid w:val="00C3552D"/>
    <w:rsid w:val="00C45372"/>
    <w:rsid w:val="00C45445"/>
    <w:rsid w:val="00C50813"/>
    <w:rsid w:val="00C50987"/>
    <w:rsid w:val="00C52589"/>
    <w:rsid w:val="00C55939"/>
    <w:rsid w:val="00C55E7D"/>
    <w:rsid w:val="00C56F6F"/>
    <w:rsid w:val="00C577A1"/>
    <w:rsid w:val="00C60195"/>
    <w:rsid w:val="00C65695"/>
    <w:rsid w:val="00C66D39"/>
    <w:rsid w:val="00C66DD5"/>
    <w:rsid w:val="00C70369"/>
    <w:rsid w:val="00C713C6"/>
    <w:rsid w:val="00C73677"/>
    <w:rsid w:val="00C746D4"/>
    <w:rsid w:val="00C75109"/>
    <w:rsid w:val="00C7647D"/>
    <w:rsid w:val="00C80B29"/>
    <w:rsid w:val="00C815D0"/>
    <w:rsid w:val="00C81BF1"/>
    <w:rsid w:val="00C82374"/>
    <w:rsid w:val="00C823BD"/>
    <w:rsid w:val="00C9635F"/>
    <w:rsid w:val="00CA011B"/>
    <w:rsid w:val="00CA0D9F"/>
    <w:rsid w:val="00CA2489"/>
    <w:rsid w:val="00CA6342"/>
    <w:rsid w:val="00CB3163"/>
    <w:rsid w:val="00CB3E93"/>
    <w:rsid w:val="00CB57FF"/>
    <w:rsid w:val="00CB7197"/>
    <w:rsid w:val="00CC1102"/>
    <w:rsid w:val="00CC15B3"/>
    <w:rsid w:val="00CC733E"/>
    <w:rsid w:val="00CC73C2"/>
    <w:rsid w:val="00CD03B0"/>
    <w:rsid w:val="00CD0A73"/>
    <w:rsid w:val="00CD2D08"/>
    <w:rsid w:val="00CD5A43"/>
    <w:rsid w:val="00CD5DC7"/>
    <w:rsid w:val="00CD6F7D"/>
    <w:rsid w:val="00CD73E8"/>
    <w:rsid w:val="00CE0B15"/>
    <w:rsid w:val="00CE0DE5"/>
    <w:rsid w:val="00CE1121"/>
    <w:rsid w:val="00CE5E26"/>
    <w:rsid w:val="00CE7A53"/>
    <w:rsid w:val="00CF045A"/>
    <w:rsid w:val="00CF07C4"/>
    <w:rsid w:val="00CF1BCB"/>
    <w:rsid w:val="00CF5D05"/>
    <w:rsid w:val="00D0416A"/>
    <w:rsid w:val="00D048CB"/>
    <w:rsid w:val="00D0689D"/>
    <w:rsid w:val="00D0755E"/>
    <w:rsid w:val="00D11885"/>
    <w:rsid w:val="00D22210"/>
    <w:rsid w:val="00D22B67"/>
    <w:rsid w:val="00D25F3A"/>
    <w:rsid w:val="00D26A26"/>
    <w:rsid w:val="00D27374"/>
    <w:rsid w:val="00D30957"/>
    <w:rsid w:val="00D3175D"/>
    <w:rsid w:val="00D31839"/>
    <w:rsid w:val="00D34CA8"/>
    <w:rsid w:val="00D35295"/>
    <w:rsid w:val="00D35EF7"/>
    <w:rsid w:val="00D3634D"/>
    <w:rsid w:val="00D36474"/>
    <w:rsid w:val="00D3716C"/>
    <w:rsid w:val="00D41780"/>
    <w:rsid w:val="00D44D16"/>
    <w:rsid w:val="00D47D5F"/>
    <w:rsid w:val="00D53325"/>
    <w:rsid w:val="00D5484A"/>
    <w:rsid w:val="00D63345"/>
    <w:rsid w:val="00D635BF"/>
    <w:rsid w:val="00D64909"/>
    <w:rsid w:val="00D71C3E"/>
    <w:rsid w:val="00D720DF"/>
    <w:rsid w:val="00D73295"/>
    <w:rsid w:val="00D74000"/>
    <w:rsid w:val="00D75ADD"/>
    <w:rsid w:val="00D83596"/>
    <w:rsid w:val="00D84C2C"/>
    <w:rsid w:val="00D84E76"/>
    <w:rsid w:val="00D8747A"/>
    <w:rsid w:val="00D875BE"/>
    <w:rsid w:val="00D926AA"/>
    <w:rsid w:val="00D93CD9"/>
    <w:rsid w:val="00D95C02"/>
    <w:rsid w:val="00D95C4D"/>
    <w:rsid w:val="00D972EA"/>
    <w:rsid w:val="00DA22D3"/>
    <w:rsid w:val="00DA4216"/>
    <w:rsid w:val="00DA50F8"/>
    <w:rsid w:val="00DA6C25"/>
    <w:rsid w:val="00DB0421"/>
    <w:rsid w:val="00DB4D98"/>
    <w:rsid w:val="00DB5467"/>
    <w:rsid w:val="00DC43C7"/>
    <w:rsid w:val="00DC4D54"/>
    <w:rsid w:val="00DC5631"/>
    <w:rsid w:val="00DC5CDC"/>
    <w:rsid w:val="00DD111B"/>
    <w:rsid w:val="00DD2BE6"/>
    <w:rsid w:val="00DD6DFE"/>
    <w:rsid w:val="00DE0B63"/>
    <w:rsid w:val="00DE2110"/>
    <w:rsid w:val="00DE2AE7"/>
    <w:rsid w:val="00DE4742"/>
    <w:rsid w:val="00DE67F7"/>
    <w:rsid w:val="00DF0018"/>
    <w:rsid w:val="00DF0B4C"/>
    <w:rsid w:val="00DF2E04"/>
    <w:rsid w:val="00DF3D70"/>
    <w:rsid w:val="00DF630C"/>
    <w:rsid w:val="00DF685E"/>
    <w:rsid w:val="00DF7141"/>
    <w:rsid w:val="00E00428"/>
    <w:rsid w:val="00E03202"/>
    <w:rsid w:val="00E07BEF"/>
    <w:rsid w:val="00E131DB"/>
    <w:rsid w:val="00E22E2D"/>
    <w:rsid w:val="00E25416"/>
    <w:rsid w:val="00E264B0"/>
    <w:rsid w:val="00E27ECC"/>
    <w:rsid w:val="00E37F05"/>
    <w:rsid w:val="00E40C4F"/>
    <w:rsid w:val="00E43B12"/>
    <w:rsid w:val="00E44824"/>
    <w:rsid w:val="00E46100"/>
    <w:rsid w:val="00E46A4C"/>
    <w:rsid w:val="00E53241"/>
    <w:rsid w:val="00E53650"/>
    <w:rsid w:val="00E55CAB"/>
    <w:rsid w:val="00E574AD"/>
    <w:rsid w:val="00E60F0F"/>
    <w:rsid w:val="00E616CE"/>
    <w:rsid w:val="00E62F71"/>
    <w:rsid w:val="00E634AE"/>
    <w:rsid w:val="00E63624"/>
    <w:rsid w:val="00E70EA6"/>
    <w:rsid w:val="00E72895"/>
    <w:rsid w:val="00E731F9"/>
    <w:rsid w:val="00E7356E"/>
    <w:rsid w:val="00E74A06"/>
    <w:rsid w:val="00E750B0"/>
    <w:rsid w:val="00E77FD2"/>
    <w:rsid w:val="00E802D2"/>
    <w:rsid w:val="00E83087"/>
    <w:rsid w:val="00E83744"/>
    <w:rsid w:val="00E84053"/>
    <w:rsid w:val="00E847E1"/>
    <w:rsid w:val="00E90756"/>
    <w:rsid w:val="00E965A6"/>
    <w:rsid w:val="00E96CF9"/>
    <w:rsid w:val="00EA02B9"/>
    <w:rsid w:val="00EA07AD"/>
    <w:rsid w:val="00EA13CA"/>
    <w:rsid w:val="00EA17C2"/>
    <w:rsid w:val="00EA28A3"/>
    <w:rsid w:val="00EB0A3E"/>
    <w:rsid w:val="00EB0C61"/>
    <w:rsid w:val="00EB26E0"/>
    <w:rsid w:val="00EB394C"/>
    <w:rsid w:val="00EB72FE"/>
    <w:rsid w:val="00EC055B"/>
    <w:rsid w:val="00EC28B9"/>
    <w:rsid w:val="00EC4C7B"/>
    <w:rsid w:val="00EC5FC9"/>
    <w:rsid w:val="00EC64A2"/>
    <w:rsid w:val="00EC669C"/>
    <w:rsid w:val="00ED5383"/>
    <w:rsid w:val="00ED5551"/>
    <w:rsid w:val="00ED5A14"/>
    <w:rsid w:val="00EE2167"/>
    <w:rsid w:val="00EE4817"/>
    <w:rsid w:val="00EE7B95"/>
    <w:rsid w:val="00EF1696"/>
    <w:rsid w:val="00EF7410"/>
    <w:rsid w:val="00F0078A"/>
    <w:rsid w:val="00F02DF5"/>
    <w:rsid w:val="00F04574"/>
    <w:rsid w:val="00F04EEF"/>
    <w:rsid w:val="00F0540D"/>
    <w:rsid w:val="00F10868"/>
    <w:rsid w:val="00F12CDC"/>
    <w:rsid w:val="00F1329F"/>
    <w:rsid w:val="00F25E3A"/>
    <w:rsid w:val="00F25E82"/>
    <w:rsid w:val="00F27DF0"/>
    <w:rsid w:val="00F27FAA"/>
    <w:rsid w:val="00F33B46"/>
    <w:rsid w:val="00F36885"/>
    <w:rsid w:val="00F42742"/>
    <w:rsid w:val="00F44CDB"/>
    <w:rsid w:val="00F52E2F"/>
    <w:rsid w:val="00F53C94"/>
    <w:rsid w:val="00F543C2"/>
    <w:rsid w:val="00F54C3F"/>
    <w:rsid w:val="00F55AF4"/>
    <w:rsid w:val="00F60113"/>
    <w:rsid w:val="00F61521"/>
    <w:rsid w:val="00F62EB0"/>
    <w:rsid w:val="00F63F46"/>
    <w:rsid w:val="00F67F33"/>
    <w:rsid w:val="00F76A04"/>
    <w:rsid w:val="00F777B4"/>
    <w:rsid w:val="00F8381B"/>
    <w:rsid w:val="00F849B7"/>
    <w:rsid w:val="00F85071"/>
    <w:rsid w:val="00F87838"/>
    <w:rsid w:val="00F90612"/>
    <w:rsid w:val="00F90B4E"/>
    <w:rsid w:val="00F93E1A"/>
    <w:rsid w:val="00F93EA0"/>
    <w:rsid w:val="00F9584C"/>
    <w:rsid w:val="00FA1A92"/>
    <w:rsid w:val="00FA378E"/>
    <w:rsid w:val="00FA3DAA"/>
    <w:rsid w:val="00FA7299"/>
    <w:rsid w:val="00FB093F"/>
    <w:rsid w:val="00FB1564"/>
    <w:rsid w:val="00FB2C2C"/>
    <w:rsid w:val="00FB4978"/>
    <w:rsid w:val="00FB540A"/>
    <w:rsid w:val="00FB63AC"/>
    <w:rsid w:val="00FB64AE"/>
    <w:rsid w:val="00FB7117"/>
    <w:rsid w:val="00FB7E35"/>
    <w:rsid w:val="00FC08D0"/>
    <w:rsid w:val="00FC335C"/>
    <w:rsid w:val="00FC3933"/>
    <w:rsid w:val="00FC5FE3"/>
    <w:rsid w:val="00FD16F2"/>
    <w:rsid w:val="00FD1A7F"/>
    <w:rsid w:val="00FD3FB6"/>
    <w:rsid w:val="00FD4953"/>
    <w:rsid w:val="00FD6BDA"/>
    <w:rsid w:val="00FE1067"/>
    <w:rsid w:val="00FE21A0"/>
    <w:rsid w:val="00FE55D6"/>
    <w:rsid w:val="00FE668C"/>
    <w:rsid w:val="00FE6E52"/>
    <w:rsid w:val="00FE72F3"/>
    <w:rsid w:val="00FE755D"/>
    <w:rsid w:val="00FE7B7B"/>
    <w:rsid w:val="00FF006B"/>
    <w:rsid w:val="00FF18D4"/>
    <w:rsid w:val="00FF74C6"/>
    <w:rsid w:val="159382A1"/>
    <w:rsid w:val="3CAE6A8B"/>
    <w:rsid w:val="4329B2DE"/>
    <w:rsid w:val="7F5C6E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15:docId w15:val="{BAFCC2FE-B45E-43F3-9867-4D9758B2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569AF"/>
    <w:pPr>
      <w:keepNext/>
      <w:numPr>
        <w:ilvl w:val="2"/>
        <w:numId w:val="1"/>
      </w:numPr>
      <w:spacing w:before="240" w:after="60"/>
      <w:ind w:left="0" w:firstLine="0"/>
      <w:outlineLvl w:val="2"/>
    </w:pPr>
    <w:rPr>
      <w:rFonts w:ascii="Arial" w:eastAsia="MS Mincho" w:hAnsi="Arial" w:cs="Arial"/>
      <w:bCs/>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569AF"/>
    <w:rPr>
      <w:rFonts w:ascii="Arial" w:eastAsia="MS Mincho" w:hAnsi="Arial" w:cs="Arial"/>
      <w:bCs/>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 w:type="paragraph" w:customStyle="1" w:styleId="3GPPHeader">
    <w:name w:val="3GPP_Header"/>
    <w:basedOn w:val="BodyText"/>
    <w:rsid w:val="00FF006B"/>
    <w:pPr>
      <w:tabs>
        <w:tab w:val="left" w:pos="1701"/>
        <w:tab w:val="right" w:pos="9639"/>
      </w:tabs>
      <w:spacing w:after="240" w:line="259" w:lineRule="auto"/>
    </w:pPr>
    <w:rPr>
      <w:rFonts w:ascii="Arial" w:eastAsiaTheme="minorHAnsi" w:hAnsi="Arial" w:cstheme="minorBidi"/>
      <w:b/>
      <w:sz w:val="24"/>
      <w:szCs w:val="22"/>
    </w:rPr>
  </w:style>
  <w:style w:type="character" w:customStyle="1" w:styleId="B1Zchn">
    <w:name w:val="B1 Zchn"/>
    <w:link w:val="B1"/>
    <w:qFormat/>
    <w:locked/>
    <w:rsid w:val="00D84E76"/>
    <w:rPr>
      <w:lang w:val="x-none"/>
    </w:rPr>
  </w:style>
  <w:style w:type="paragraph" w:customStyle="1" w:styleId="B1">
    <w:name w:val="B1"/>
    <w:basedOn w:val="Normal"/>
    <w:link w:val="B1Zchn"/>
    <w:qFormat/>
    <w:rsid w:val="00D84E76"/>
    <w:pPr>
      <w:spacing w:after="180"/>
      <w:ind w:left="568" w:hanging="284"/>
    </w:pPr>
    <w:rPr>
      <w:rFonts w:asciiTheme="minorHAnsi" w:eastAsiaTheme="minorHAnsi" w:hAnsiTheme="minorHAnsi" w:cstheme="minorBid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204565">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81965613">
      <w:bodyDiv w:val="1"/>
      <w:marLeft w:val="0"/>
      <w:marRight w:val="0"/>
      <w:marTop w:val="0"/>
      <w:marBottom w:val="0"/>
      <w:divBdr>
        <w:top w:val="none" w:sz="0" w:space="0" w:color="auto"/>
        <w:left w:val="none" w:sz="0" w:space="0" w:color="auto"/>
        <w:bottom w:val="none" w:sz="0" w:space="0" w:color="auto"/>
        <w:right w:val="none" w:sz="0" w:space="0" w:color="auto"/>
      </w:divBdr>
    </w:div>
    <w:div w:id="1349209447">
      <w:bodyDiv w:val="1"/>
      <w:marLeft w:val="0"/>
      <w:marRight w:val="0"/>
      <w:marTop w:val="0"/>
      <w:marBottom w:val="0"/>
      <w:divBdr>
        <w:top w:val="none" w:sz="0" w:space="0" w:color="auto"/>
        <w:left w:val="none" w:sz="0" w:space="0" w:color="auto"/>
        <w:bottom w:val="none" w:sz="0" w:space="0" w:color="auto"/>
        <w:right w:val="none" w:sz="0" w:space="0" w:color="auto"/>
      </w:divBdr>
    </w:div>
    <w:div w:id="1407679392">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695495190">
      <w:bodyDiv w:val="1"/>
      <w:marLeft w:val="0"/>
      <w:marRight w:val="0"/>
      <w:marTop w:val="0"/>
      <w:marBottom w:val="0"/>
      <w:divBdr>
        <w:top w:val="none" w:sz="0" w:space="0" w:color="auto"/>
        <w:left w:val="none" w:sz="0" w:space="0" w:color="auto"/>
        <w:bottom w:val="none" w:sz="0" w:space="0" w:color="auto"/>
        <w:right w:val="none" w:sz="0" w:space="0" w:color="auto"/>
      </w:divBdr>
    </w:div>
    <w:div w:id="20489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63447EE-4783-447A-B897-2EDCFE53B4C9}">
  <ds:schemaRefs>
    <ds:schemaRef ds:uri="http://schemas.microsoft.com/sharepoint/v3/contenttype/forms"/>
  </ds:schemaRefs>
</ds:datastoreItem>
</file>

<file path=customXml/itemProps2.xml><?xml version="1.0" encoding="utf-8"?>
<ds:datastoreItem xmlns:ds="http://schemas.openxmlformats.org/officeDocument/2006/customXml" ds:itemID="{B37A67ED-4432-4561-AABD-C9C7DB4F9261}">
  <ds:schemaRefs>
    <ds:schemaRef ds:uri="http://schemas.openxmlformats.org/officeDocument/2006/bibliography"/>
  </ds:schemaRefs>
</ds:datastoreItem>
</file>

<file path=customXml/itemProps3.xml><?xml version="1.0" encoding="utf-8"?>
<ds:datastoreItem xmlns:ds="http://schemas.openxmlformats.org/officeDocument/2006/customXml" ds:itemID="{03CCC272-CBA1-4A1E-B25A-BB3EFC761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82973-C82B-4F6F-9D45-89EF8C2F74D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2726</Words>
  <Characters>15539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Ravikiran Nory</dc:creator>
  <cp:keywords/>
  <dc:description/>
  <cp:lastModifiedBy>Ravikiran Nory</cp:lastModifiedBy>
  <cp:revision>3</cp:revision>
  <dcterms:created xsi:type="dcterms:W3CDTF">2021-04-07T05:19:00Z</dcterms:created>
  <dcterms:modified xsi:type="dcterms:W3CDTF">2021-04-07T05:19:00Z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