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16E1A6" w14:textId="2BB12D13" w:rsidR="00095B6A" w:rsidRPr="00DA12F7" w:rsidRDefault="00095B6A" w:rsidP="00095B6A">
      <w:pPr>
        <w:tabs>
          <w:tab w:val="right" w:pos="9630"/>
        </w:tabs>
        <w:spacing w:after="0"/>
      </w:pPr>
      <w:r w:rsidRPr="00DA12F7">
        <w:rPr>
          <w:rFonts w:ascii="Arial" w:hAnsi="Arial" w:cs="Arial"/>
          <w:b/>
          <w:sz w:val="24"/>
        </w:rPr>
        <w:t xml:space="preserve">3GPP TSG RAN WG1 </w:t>
      </w:r>
      <w:r>
        <w:rPr>
          <w:rFonts w:ascii="Arial" w:hAnsi="Arial" w:cs="Arial"/>
          <w:b/>
          <w:sz w:val="24"/>
        </w:rPr>
        <w:t>Meeting #104</w:t>
      </w:r>
      <w:r w:rsidR="00713665">
        <w:rPr>
          <w:rFonts w:ascii="Arial" w:hAnsi="Arial" w:cs="Arial"/>
          <w:b/>
          <w:sz w:val="24"/>
        </w:rPr>
        <w:t>-bis</w:t>
      </w:r>
      <w:r>
        <w:rPr>
          <w:rFonts w:ascii="Arial" w:hAnsi="Arial" w:cs="Arial"/>
          <w:b/>
          <w:sz w:val="24"/>
        </w:rPr>
        <w:t>-e</w:t>
      </w:r>
      <w:r w:rsidRPr="00DA12F7">
        <w:rPr>
          <w:rFonts w:ascii="Arial" w:hAnsi="Arial" w:cs="Arial"/>
          <w:b/>
          <w:sz w:val="24"/>
        </w:rPr>
        <w:tab/>
      </w:r>
      <w:r w:rsidR="00BF28C2" w:rsidRPr="00BF28C2">
        <w:rPr>
          <w:rFonts w:ascii="Arial" w:hAnsi="Arial" w:cs="Arial"/>
          <w:b/>
          <w:sz w:val="24"/>
        </w:rPr>
        <w:t>R1-2103608</w:t>
      </w:r>
    </w:p>
    <w:p w14:paraId="1131045E" w14:textId="6F727A77" w:rsidR="00E307C5" w:rsidRPr="00DA12F7" w:rsidRDefault="00095B6A" w:rsidP="00095B6A">
      <w:pPr>
        <w:tabs>
          <w:tab w:val="right" w:pos="9630"/>
        </w:tabs>
        <w:spacing w:after="0"/>
        <w:rPr>
          <w:rFonts w:ascii="Arial" w:hAnsi="Arial" w:cs="Arial"/>
          <w:b/>
          <w:sz w:val="24"/>
          <w:szCs w:val="24"/>
        </w:rPr>
      </w:pPr>
      <w:r>
        <w:rPr>
          <w:rFonts w:ascii="Arial" w:hAnsi="Arial" w:cs="Arial"/>
          <w:b/>
          <w:sz w:val="24"/>
          <w:szCs w:val="24"/>
        </w:rPr>
        <w:t xml:space="preserve">e-Meeting, </w:t>
      </w:r>
      <w:r w:rsidR="00713665">
        <w:rPr>
          <w:rFonts w:ascii="Arial" w:hAnsi="Arial" w:cs="Arial"/>
          <w:b/>
          <w:sz w:val="24"/>
          <w:szCs w:val="24"/>
        </w:rPr>
        <w:t>April</w:t>
      </w:r>
      <w:r>
        <w:rPr>
          <w:rFonts w:ascii="Arial" w:hAnsi="Arial" w:cs="Arial"/>
          <w:b/>
          <w:sz w:val="24"/>
          <w:szCs w:val="24"/>
        </w:rPr>
        <w:t xml:space="preserve"> </w:t>
      </w:r>
      <w:r w:rsidR="00713665">
        <w:rPr>
          <w:rFonts w:ascii="Arial" w:hAnsi="Arial" w:cs="Arial"/>
          <w:b/>
          <w:sz w:val="24"/>
          <w:szCs w:val="24"/>
        </w:rPr>
        <w:t>12</w:t>
      </w:r>
      <w:r w:rsidRPr="00116328">
        <w:rPr>
          <w:rFonts w:ascii="Arial" w:hAnsi="Arial" w:cs="Arial"/>
          <w:b/>
          <w:sz w:val="24"/>
          <w:szCs w:val="24"/>
          <w:vertAlign w:val="superscript"/>
        </w:rPr>
        <w:t>t</w:t>
      </w:r>
      <w:r>
        <w:rPr>
          <w:rFonts w:ascii="Arial" w:hAnsi="Arial" w:cs="Arial"/>
          <w:b/>
          <w:sz w:val="24"/>
          <w:szCs w:val="24"/>
          <w:vertAlign w:val="superscript"/>
        </w:rPr>
        <w:t>h</w:t>
      </w:r>
      <w:r>
        <w:rPr>
          <w:rFonts w:ascii="Arial" w:hAnsi="Arial" w:cs="Arial"/>
          <w:b/>
          <w:sz w:val="24"/>
          <w:szCs w:val="24"/>
        </w:rPr>
        <w:t xml:space="preserve"> – </w:t>
      </w:r>
      <w:r w:rsidR="00713665">
        <w:rPr>
          <w:rFonts w:ascii="Arial" w:hAnsi="Arial" w:cs="Arial"/>
          <w:b/>
          <w:sz w:val="24"/>
          <w:szCs w:val="24"/>
        </w:rPr>
        <w:t>20</w:t>
      </w:r>
      <w:r>
        <w:rPr>
          <w:rFonts w:ascii="Arial" w:hAnsi="Arial" w:cs="Arial"/>
          <w:b/>
          <w:sz w:val="24"/>
          <w:szCs w:val="24"/>
          <w:vertAlign w:val="superscript"/>
        </w:rPr>
        <w:t>th</w:t>
      </w:r>
      <w:r>
        <w:rPr>
          <w:rFonts w:ascii="Arial" w:hAnsi="Arial" w:cs="Arial"/>
          <w:b/>
          <w:sz w:val="24"/>
          <w:szCs w:val="24"/>
        </w:rPr>
        <w:t xml:space="preserve"> 2021</w:t>
      </w:r>
    </w:p>
    <w:p w14:paraId="20814AD0"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1B1FDE0A" w14:textId="77777777"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6E610E">
        <w:rPr>
          <w:rFonts w:ascii="Arial" w:hAnsi="Arial"/>
          <w:sz w:val="24"/>
        </w:rPr>
        <w:t>8.10.</w:t>
      </w:r>
      <w:r w:rsidR="0050242A">
        <w:rPr>
          <w:rFonts w:ascii="Arial" w:hAnsi="Arial"/>
          <w:sz w:val="24"/>
        </w:rPr>
        <w:t>1</w:t>
      </w:r>
    </w:p>
    <w:p w14:paraId="3095DC42" w14:textId="43EBC68A" w:rsidR="0068226B" w:rsidRPr="006E610E" w:rsidRDefault="0068226B" w:rsidP="00382B96">
      <w:pPr>
        <w:tabs>
          <w:tab w:val="left" w:pos="1985"/>
        </w:tabs>
        <w:rPr>
          <w:rFonts w:ascii="Arial" w:hAnsi="Arial"/>
        </w:rPr>
      </w:pPr>
      <w:r w:rsidRPr="00CC27F5">
        <w:rPr>
          <w:rFonts w:ascii="Arial" w:hAnsi="Arial"/>
          <w:b/>
          <w:sz w:val="24"/>
        </w:rPr>
        <w:t xml:space="preserve">Source: </w:t>
      </w:r>
      <w:r w:rsidRPr="00CC27F5">
        <w:rPr>
          <w:rFonts w:ascii="Arial" w:hAnsi="Arial"/>
          <w:b/>
          <w:sz w:val="24"/>
        </w:rPr>
        <w:tab/>
      </w:r>
      <w:r w:rsidR="006E610E" w:rsidRPr="00B92189">
        <w:rPr>
          <w:rFonts w:ascii="Arial" w:hAnsi="Arial"/>
          <w:sz w:val="24"/>
          <w:szCs w:val="24"/>
        </w:rPr>
        <w:t>Lenovo</w:t>
      </w:r>
      <w:r w:rsidR="00DE67B4" w:rsidRPr="00B92189">
        <w:rPr>
          <w:rFonts w:ascii="Arial" w:hAnsi="Arial"/>
          <w:sz w:val="24"/>
          <w:szCs w:val="24"/>
        </w:rPr>
        <w:t>, Motorola Mobility</w:t>
      </w:r>
    </w:p>
    <w:p w14:paraId="002F936B" w14:textId="26A05006"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rPr>
        <w:tab/>
      </w:r>
      <w:r w:rsidR="005412C8">
        <w:rPr>
          <w:rFonts w:ascii="Arial" w:hAnsi="Arial"/>
          <w:sz w:val="24"/>
          <w:szCs w:val="24"/>
        </w:rPr>
        <w:t>Resource multiplexing in enhanced IAB systems</w:t>
      </w:r>
    </w:p>
    <w:p w14:paraId="3C370F44"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275181AB" w14:textId="09ADE34E" w:rsidR="00491EEE" w:rsidRDefault="00FD6A3D" w:rsidP="00491EEE">
      <w:pPr>
        <w:pStyle w:val="Heading1"/>
      </w:pPr>
      <w:r w:rsidRPr="00CC27F5">
        <w:tab/>
      </w:r>
      <w:r w:rsidR="00B209B5" w:rsidRPr="00CC27F5">
        <w:t>Introduction</w:t>
      </w:r>
    </w:p>
    <w:p w14:paraId="2B43573C" w14:textId="47159071" w:rsidR="00164961" w:rsidRPr="00B64FBD" w:rsidRDefault="00384735" w:rsidP="00E801FE">
      <w:r w:rsidRPr="00DD2221">
        <w:t xml:space="preserve">In </w:t>
      </w:r>
      <w:r w:rsidR="00155593" w:rsidRPr="00DD2221">
        <w:t>this paper,</w:t>
      </w:r>
      <w:r w:rsidRPr="00DD2221">
        <w:t xml:space="preserve"> we provide our views on specification of </w:t>
      </w:r>
      <w:r w:rsidR="00286426" w:rsidRPr="00DD2221">
        <w:t xml:space="preserve">resource multiplexing enhancements </w:t>
      </w:r>
      <w:r w:rsidR="00DD2221" w:rsidRPr="00DD2221">
        <w:t xml:space="preserve">for simultaneous IAB-MT/IAB-DU operations </w:t>
      </w:r>
      <w:r w:rsidR="00286426" w:rsidRPr="00DD2221">
        <w:t>in eIAB systems</w:t>
      </w:r>
      <w:r w:rsidR="00155593" w:rsidRPr="00DD2221">
        <w:t>.</w:t>
      </w:r>
    </w:p>
    <w:p w14:paraId="0AB8F4C6" w14:textId="2DCE7F60" w:rsidR="00B1741F" w:rsidRDefault="00B1741F" w:rsidP="003D3577">
      <w:pPr>
        <w:pStyle w:val="Heading1"/>
      </w:pPr>
      <w:bookmarkStart w:id="2" w:name="_Ref30491904"/>
      <w:bookmarkStart w:id="3" w:name="_Ref30492156"/>
      <w:bookmarkStart w:id="4" w:name="_Ref30491838"/>
      <w:r>
        <w:t>Discussion</w:t>
      </w:r>
    </w:p>
    <w:p w14:paraId="65F946C3" w14:textId="1E72E98E" w:rsidR="007842F0" w:rsidRPr="007842F0" w:rsidRDefault="00064E31" w:rsidP="007842F0">
      <w:pPr>
        <w:pStyle w:val="Heading2"/>
      </w:pPr>
      <w:r>
        <w:t>Frequency domain</w:t>
      </w:r>
    </w:p>
    <w:p w14:paraId="1CE4FB37" w14:textId="0B40FB70" w:rsidR="008A23DF" w:rsidRDefault="00D9193D" w:rsidP="008A23DF">
      <w:pPr>
        <w:rPr>
          <w:lang w:val="en-GB"/>
        </w:rPr>
      </w:pPr>
      <w:r>
        <w:rPr>
          <w:lang w:val="en-GB"/>
        </w:rPr>
        <w:t>The following was agreed in RAN1#103-e [</w:t>
      </w:r>
      <w:r w:rsidR="00B455F9">
        <w:rPr>
          <w:lang w:val="en-GB"/>
        </w:rPr>
        <w:t>1</w:t>
      </w:r>
      <w:r>
        <w:rPr>
          <w:lang w:val="en-GB"/>
        </w:rPr>
        <w:t xml:space="preserve">] as the starting point for enhancing resource multiplexing </w:t>
      </w:r>
      <w:r w:rsidR="00BF28C2">
        <w:rPr>
          <w:lang w:val="en-GB"/>
        </w:rPr>
        <w:t xml:space="preserve">in the </w:t>
      </w:r>
      <w:r w:rsidR="00164961">
        <w:rPr>
          <w:lang w:val="en-GB"/>
        </w:rPr>
        <w:t>frequency</w:t>
      </w:r>
      <w:r w:rsidR="00BF28C2">
        <w:rPr>
          <w:lang w:val="en-GB"/>
        </w:rPr>
        <w:t xml:space="preserve"> domain</w:t>
      </w:r>
      <w:r>
        <w:rPr>
          <w:lang w:val="en-GB"/>
        </w:rPr>
        <w:t>:</w:t>
      </w:r>
    </w:p>
    <w:p w14:paraId="09EDA859" w14:textId="5F897BF2" w:rsidR="003C45D9" w:rsidRPr="003C45D9" w:rsidRDefault="003C45D9" w:rsidP="003C45D9">
      <w:pPr>
        <w:rPr>
          <w:rFonts w:eastAsia="Calibri" w:cs="Times"/>
          <w:b/>
          <w:bCs/>
          <w:i/>
          <w:iCs/>
          <w:szCs w:val="20"/>
          <w:highlight w:val="green"/>
        </w:rPr>
      </w:pPr>
      <w:r w:rsidRPr="003C45D9">
        <w:rPr>
          <w:rFonts w:eastAsia="Calibri" w:cs="Times"/>
          <w:b/>
          <w:bCs/>
          <w:i/>
          <w:iCs/>
          <w:szCs w:val="20"/>
          <w:highlight w:val="green"/>
        </w:rPr>
        <w:t>Agreement</w:t>
      </w:r>
    </w:p>
    <w:p w14:paraId="7D600DD5" w14:textId="77777777" w:rsidR="003C45D9" w:rsidRPr="003C45D9" w:rsidRDefault="003C45D9" w:rsidP="003C45D9">
      <w:pPr>
        <w:rPr>
          <w:rFonts w:eastAsia="Batang"/>
          <w:i/>
          <w:iCs/>
          <w:lang w:eastAsia="x-none"/>
        </w:rPr>
      </w:pPr>
      <w:r w:rsidRPr="003C45D9">
        <w:rPr>
          <w:i/>
          <w:iCs/>
          <w:lang w:eastAsia="x-none"/>
        </w:rPr>
        <w:t xml:space="preserve">The Rel-16 IAB-DU resource types (Soft/Hard/NA) are the starting point for supporting resource multiplexing for simultaneous operation cases in Rel-17. </w:t>
      </w:r>
    </w:p>
    <w:p w14:paraId="68FFAAB9" w14:textId="77777777" w:rsidR="003C45D9" w:rsidRPr="003C45D9" w:rsidRDefault="003C45D9" w:rsidP="003C45D9">
      <w:pPr>
        <w:pStyle w:val="ListParagraph"/>
        <w:numPr>
          <w:ilvl w:val="0"/>
          <w:numId w:val="42"/>
        </w:numPr>
        <w:spacing w:before="0" w:after="0" w:line="240" w:lineRule="auto"/>
        <w:textAlignment w:val="baseline"/>
        <w:rPr>
          <w:rFonts w:eastAsia="Calibri" w:cs="Times"/>
          <w:i/>
          <w:iCs/>
          <w:color w:val="000000"/>
        </w:rPr>
      </w:pPr>
      <w:r w:rsidRPr="003C45D9">
        <w:rPr>
          <w:rFonts w:eastAsia="Calibri" w:cs="Times"/>
          <w:i/>
          <w:iCs/>
          <w:color w:val="000000"/>
        </w:rPr>
        <w:t xml:space="preserve">FFS: Whether resource type definitions need to be extended to frequency domain resources </w:t>
      </w:r>
    </w:p>
    <w:p w14:paraId="33456F46" w14:textId="77777777" w:rsidR="003C45D9" w:rsidRPr="003C45D9" w:rsidRDefault="003C45D9" w:rsidP="003C45D9">
      <w:pPr>
        <w:pStyle w:val="ListParagraph"/>
        <w:numPr>
          <w:ilvl w:val="0"/>
          <w:numId w:val="42"/>
        </w:numPr>
        <w:spacing w:before="0" w:after="0" w:line="240" w:lineRule="auto"/>
        <w:textAlignment w:val="baseline"/>
        <w:rPr>
          <w:rFonts w:eastAsia="Calibri" w:cs="Times"/>
          <w:i/>
          <w:iCs/>
          <w:color w:val="000000"/>
        </w:rPr>
      </w:pPr>
      <w:r w:rsidRPr="003C45D9">
        <w:rPr>
          <w:rFonts w:eastAsia="Calibri" w:cs="Times"/>
          <w:i/>
          <w:iCs/>
          <w:color w:val="000000"/>
        </w:rPr>
        <w:t>FFS: Coexistence of simultaneous operation resources and TDM resources</w:t>
      </w:r>
    </w:p>
    <w:p w14:paraId="09CA91C5" w14:textId="4924980C" w:rsidR="003C45D9" w:rsidRDefault="003C45D9" w:rsidP="003C45D9">
      <w:pPr>
        <w:pStyle w:val="ListParagraph"/>
        <w:numPr>
          <w:ilvl w:val="0"/>
          <w:numId w:val="42"/>
        </w:numPr>
        <w:spacing w:before="0" w:after="0" w:line="240" w:lineRule="auto"/>
        <w:textAlignment w:val="baseline"/>
        <w:rPr>
          <w:rFonts w:eastAsia="Calibri" w:cs="Times"/>
          <w:i/>
          <w:iCs/>
          <w:color w:val="000000"/>
        </w:rPr>
      </w:pPr>
      <w:r w:rsidRPr="003C45D9">
        <w:rPr>
          <w:rFonts w:eastAsia="Calibri" w:cs="Times"/>
          <w:i/>
          <w:iCs/>
          <w:color w:val="000000"/>
        </w:rPr>
        <w:t>FFS: Whether new rules governing cell-specific/semi-static signals and channels at the IAB-DU and/or IAB-MT in case of simultaneous operation are necessary</w:t>
      </w:r>
    </w:p>
    <w:p w14:paraId="1BE9E10C" w14:textId="3864E1E2" w:rsidR="000962D1" w:rsidRDefault="000962D1" w:rsidP="00780316"/>
    <w:p w14:paraId="113A7552" w14:textId="497CE152" w:rsidR="00D9193D" w:rsidRDefault="00D9193D" w:rsidP="00780316">
      <w:r>
        <w:t>The discussion continued in RAN1#104-e [</w:t>
      </w:r>
      <w:r w:rsidR="00B455F9">
        <w:t>2</w:t>
      </w:r>
      <w:r>
        <w:t>] and the following was agreed:</w:t>
      </w:r>
    </w:p>
    <w:p w14:paraId="3B46F507" w14:textId="422A8108" w:rsidR="003C45D9" w:rsidRPr="003C45D9" w:rsidRDefault="003C45D9" w:rsidP="003C45D9">
      <w:pPr>
        <w:pStyle w:val="ListParagraph"/>
        <w:ind w:left="0"/>
        <w:jc w:val="both"/>
        <w:rPr>
          <w:rFonts w:eastAsia="Calibri" w:cs="Times"/>
          <w:b/>
          <w:bCs/>
          <w:i/>
          <w:iCs/>
          <w:szCs w:val="20"/>
          <w:highlight w:val="green"/>
        </w:rPr>
      </w:pPr>
      <w:r w:rsidRPr="003C45D9">
        <w:rPr>
          <w:rFonts w:eastAsia="Calibri" w:cs="Times"/>
          <w:b/>
          <w:bCs/>
          <w:i/>
          <w:iCs/>
          <w:szCs w:val="20"/>
          <w:highlight w:val="green"/>
        </w:rPr>
        <w:t>Agreement</w:t>
      </w:r>
    </w:p>
    <w:p w14:paraId="2C32EBCE" w14:textId="77777777" w:rsidR="003C45D9" w:rsidRPr="003C45D9" w:rsidRDefault="003C45D9" w:rsidP="003C45D9">
      <w:pPr>
        <w:rPr>
          <w:rFonts w:eastAsia="Calibri" w:cs="Times"/>
          <w:bCs/>
          <w:i/>
          <w:iCs/>
          <w:szCs w:val="20"/>
        </w:rPr>
      </w:pPr>
      <w:r w:rsidRPr="003C45D9">
        <w:rPr>
          <w:rFonts w:eastAsia="Calibri" w:cs="Times"/>
          <w:bCs/>
          <w:i/>
          <w:iCs/>
          <w:szCs w:val="20"/>
        </w:rPr>
        <w:t>Further consider until RAN1#104bis-e whether to support the extension of the semi-static DU resource type indication to frequency-domain resources within a carrier (in addition to existing Rel-16 per-carrier granularity) for H/[S]/NA resource types, including the following aspects:</w:t>
      </w:r>
    </w:p>
    <w:p w14:paraId="388D04A5" w14:textId="77777777" w:rsidR="003C45D9" w:rsidRPr="003C45D9" w:rsidRDefault="003C45D9" w:rsidP="003C45D9">
      <w:pPr>
        <w:numPr>
          <w:ilvl w:val="0"/>
          <w:numId w:val="49"/>
        </w:numPr>
        <w:spacing w:after="0" w:line="240" w:lineRule="auto"/>
        <w:rPr>
          <w:rFonts w:cs="Times"/>
          <w:i/>
          <w:iCs/>
          <w:szCs w:val="20"/>
          <w:lang w:eastAsia="zh-CN"/>
        </w:rPr>
      </w:pPr>
      <w:r w:rsidRPr="003C45D9">
        <w:rPr>
          <w:rFonts w:cs="Times"/>
          <w:i/>
          <w:iCs/>
          <w:szCs w:val="20"/>
          <w:lang w:eastAsia="zh-CN"/>
        </w:rPr>
        <w:t>Granularity for frequency domain resources within a carrier (starting point is a set of N RBs with FFS: value of N &gt;=1)</w:t>
      </w:r>
    </w:p>
    <w:p w14:paraId="14F7FA5F" w14:textId="77777777" w:rsidR="003C45D9" w:rsidRPr="003C45D9" w:rsidRDefault="003C45D9" w:rsidP="003C45D9">
      <w:pPr>
        <w:numPr>
          <w:ilvl w:val="0"/>
          <w:numId w:val="49"/>
        </w:numPr>
        <w:spacing w:after="0" w:line="240" w:lineRule="auto"/>
        <w:rPr>
          <w:rFonts w:cs="Times"/>
          <w:i/>
          <w:iCs/>
          <w:szCs w:val="20"/>
          <w:lang w:eastAsia="zh-CN"/>
        </w:rPr>
      </w:pPr>
      <w:r w:rsidRPr="003C45D9">
        <w:rPr>
          <w:rFonts w:cs="Times"/>
          <w:i/>
          <w:iCs/>
          <w:szCs w:val="20"/>
          <w:lang w:eastAsia="zh-CN"/>
        </w:rPr>
        <w:t>Relationship with Rel-16 DU resource type indications in case of coexistence between TDM and FDM operation, including time-granularity of switching between multiplexing options to ensure backwards compatibility with Rel-16 IAB nodes and avoid impact on access UEs and their RRC configurations at CU</w:t>
      </w:r>
    </w:p>
    <w:p w14:paraId="084CCC7B" w14:textId="77777777" w:rsidR="003C45D9" w:rsidRPr="003C45D9" w:rsidRDefault="003C45D9" w:rsidP="003C45D9">
      <w:pPr>
        <w:numPr>
          <w:ilvl w:val="0"/>
          <w:numId w:val="49"/>
        </w:numPr>
        <w:spacing w:after="0" w:line="240" w:lineRule="auto"/>
        <w:rPr>
          <w:rFonts w:cs="Times"/>
          <w:i/>
          <w:iCs/>
          <w:szCs w:val="20"/>
          <w:lang w:eastAsia="zh-CN"/>
        </w:rPr>
      </w:pPr>
      <w:r w:rsidRPr="003C45D9">
        <w:rPr>
          <w:rFonts w:cs="Times"/>
          <w:i/>
          <w:iCs/>
          <w:szCs w:val="20"/>
          <w:lang w:eastAsia="zh-CN"/>
        </w:rPr>
        <w:t xml:space="preserve">In case frequency-domain extension is supported for soft resources, enhancements for DCI format 2_5 to support dynamic indication of availability for soft frequency resources. </w:t>
      </w:r>
    </w:p>
    <w:p w14:paraId="054D467B" w14:textId="77777777" w:rsidR="003C45D9" w:rsidRPr="003C45D9" w:rsidRDefault="003C45D9" w:rsidP="003C45D9">
      <w:pPr>
        <w:pStyle w:val="ListParagraph"/>
        <w:numPr>
          <w:ilvl w:val="1"/>
          <w:numId w:val="50"/>
        </w:numPr>
        <w:spacing w:before="0" w:after="0" w:line="240" w:lineRule="auto"/>
        <w:jc w:val="both"/>
        <w:rPr>
          <w:rFonts w:eastAsia="Calibri" w:cs="Times"/>
          <w:bCs/>
          <w:i/>
          <w:iCs/>
          <w:szCs w:val="20"/>
        </w:rPr>
      </w:pPr>
      <w:r w:rsidRPr="003C45D9">
        <w:rPr>
          <w:rFonts w:eastAsia="Calibri" w:cs="Times"/>
          <w:bCs/>
          <w:i/>
          <w:iCs/>
          <w:szCs w:val="20"/>
        </w:rPr>
        <w:t xml:space="preserve">Alt. 1 Separate indication of time and frequency resources </w:t>
      </w:r>
    </w:p>
    <w:p w14:paraId="00958E37" w14:textId="77777777" w:rsidR="003C45D9" w:rsidRPr="003C45D9" w:rsidRDefault="003C45D9" w:rsidP="003C45D9">
      <w:pPr>
        <w:pStyle w:val="ListParagraph"/>
        <w:numPr>
          <w:ilvl w:val="2"/>
          <w:numId w:val="50"/>
        </w:numPr>
        <w:spacing w:before="0" w:after="0" w:line="240" w:lineRule="auto"/>
        <w:jc w:val="both"/>
        <w:rPr>
          <w:rFonts w:eastAsia="Calibri" w:cs="Times"/>
          <w:bCs/>
          <w:i/>
          <w:iCs/>
          <w:szCs w:val="20"/>
        </w:rPr>
      </w:pPr>
      <w:r w:rsidRPr="003C45D9">
        <w:rPr>
          <w:rFonts w:eastAsia="Calibri" w:cs="Times"/>
          <w:bCs/>
          <w:i/>
          <w:iCs/>
          <w:szCs w:val="20"/>
        </w:rPr>
        <w:t>FFS: different field, RNTI or different DCI</w:t>
      </w:r>
    </w:p>
    <w:p w14:paraId="047D89EF" w14:textId="77777777" w:rsidR="003C45D9" w:rsidRPr="003C45D9" w:rsidRDefault="003C45D9" w:rsidP="003C45D9">
      <w:pPr>
        <w:pStyle w:val="ListParagraph"/>
        <w:numPr>
          <w:ilvl w:val="1"/>
          <w:numId w:val="50"/>
        </w:numPr>
        <w:spacing w:before="0" w:after="0" w:line="240" w:lineRule="auto"/>
        <w:jc w:val="both"/>
        <w:rPr>
          <w:rFonts w:eastAsia="Calibri" w:cs="Times"/>
          <w:bCs/>
          <w:i/>
          <w:iCs/>
          <w:szCs w:val="20"/>
        </w:rPr>
      </w:pPr>
      <w:r w:rsidRPr="003C45D9">
        <w:rPr>
          <w:rFonts w:eastAsia="Calibri" w:cs="Times"/>
          <w:bCs/>
          <w:i/>
          <w:iCs/>
          <w:szCs w:val="20"/>
        </w:rPr>
        <w:t xml:space="preserve">Alt. 2 Joint indication of time and frequency resources </w:t>
      </w:r>
    </w:p>
    <w:p w14:paraId="5F2140E8" w14:textId="77777777" w:rsidR="003C45D9" w:rsidRPr="003C45D9" w:rsidRDefault="003C45D9" w:rsidP="003C45D9">
      <w:pPr>
        <w:pStyle w:val="ListParagraph"/>
        <w:numPr>
          <w:ilvl w:val="2"/>
          <w:numId w:val="50"/>
        </w:numPr>
        <w:spacing w:before="0" w:after="0" w:line="240" w:lineRule="auto"/>
        <w:jc w:val="both"/>
        <w:rPr>
          <w:rFonts w:eastAsia="Calibri" w:cs="Times"/>
          <w:bCs/>
          <w:i/>
          <w:iCs/>
          <w:szCs w:val="20"/>
        </w:rPr>
      </w:pPr>
      <w:r w:rsidRPr="003C45D9">
        <w:rPr>
          <w:rFonts w:eastAsia="Calibri" w:cs="Times"/>
          <w:bCs/>
          <w:i/>
          <w:iCs/>
          <w:szCs w:val="20"/>
        </w:rPr>
        <w:t>FFS: backwards compatibility with Rel-16</w:t>
      </w:r>
    </w:p>
    <w:p w14:paraId="19C3FAA1" w14:textId="77777777" w:rsidR="003C45D9" w:rsidRPr="003C45D9" w:rsidRDefault="003C45D9" w:rsidP="003C45D9">
      <w:pPr>
        <w:numPr>
          <w:ilvl w:val="0"/>
          <w:numId w:val="49"/>
        </w:numPr>
        <w:spacing w:after="0" w:line="240" w:lineRule="auto"/>
        <w:rPr>
          <w:rFonts w:cs="Times"/>
          <w:i/>
          <w:iCs/>
          <w:szCs w:val="20"/>
          <w:lang w:eastAsia="zh-CN"/>
        </w:rPr>
      </w:pPr>
      <w:r w:rsidRPr="003C45D9">
        <w:rPr>
          <w:rFonts w:cs="Times"/>
          <w:i/>
          <w:iCs/>
          <w:szCs w:val="20"/>
          <w:lang w:eastAsia="zh-CN"/>
        </w:rPr>
        <w:t>FFS: Extension of FDM across carriers</w:t>
      </w:r>
    </w:p>
    <w:p w14:paraId="78C65613" w14:textId="0E72ADC3" w:rsidR="003C45D9" w:rsidRPr="003C45D9" w:rsidRDefault="003C45D9" w:rsidP="003C45D9">
      <w:pPr>
        <w:numPr>
          <w:ilvl w:val="0"/>
          <w:numId w:val="49"/>
        </w:numPr>
        <w:spacing w:after="0" w:line="240" w:lineRule="auto"/>
        <w:rPr>
          <w:i/>
          <w:iCs/>
          <w:lang w:val="en-GB"/>
        </w:rPr>
      </w:pPr>
      <w:r w:rsidRPr="003C45D9">
        <w:rPr>
          <w:rFonts w:cs="Times"/>
          <w:i/>
          <w:iCs/>
          <w:szCs w:val="20"/>
          <w:lang w:eastAsia="zh-CN"/>
        </w:rPr>
        <w:t>FFS: Restrictions on band/minimum bandwidth for FDM operation (e.g. FR2 100MHz+ etc.)</w:t>
      </w:r>
    </w:p>
    <w:p w14:paraId="32F8B2BC" w14:textId="77777777" w:rsidR="003C45D9" w:rsidRPr="00646C3F" w:rsidRDefault="003C45D9" w:rsidP="008A23DF">
      <w:pPr>
        <w:rPr>
          <w:lang w:val="en-GB"/>
        </w:rPr>
      </w:pPr>
    </w:p>
    <w:p w14:paraId="6BEDCA22" w14:textId="69403F08" w:rsidR="00780316" w:rsidRDefault="001F6935" w:rsidP="00434364">
      <w:pPr>
        <w:rPr>
          <w:lang w:val="en-GB"/>
        </w:rPr>
      </w:pPr>
      <w:r>
        <w:rPr>
          <w:lang w:val="en-GB"/>
        </w:rPr>
        <w:lastRenderedPageBreak/>
        <w:t xml:space="preserve">In the last meeting, </w:t>
      </w:r>
      <w:r w:rsidR="00780316">
        <w:rPr>
          <w:lang w:val="en-GB"/>
        </w:rPr>
        <w:t xml:space="preserve">RAN1 reached a near-consensus </w:t>
      </w:r>
      <w:r>
        <w:rPr>
          <w:lang w:val="en-GB"/>
        </w:rPr>
        <w:t xml:space="preserve">conclusion </w:t>
      </w:r>
      <w:r w:rsidR="00780316">
        <w:rPr>
          <w:lang w:val="en-GB"/>
        </w:rPr>
        <w:t xml:space="preserve">that it was beneficial to extend the semi-static </w:t>
      </w:r>
      <w:r w:rsidR="00A85300">
        <w:rPr>
          <w:lang w:val="en-GB"/>
        </w:rPr>
        <w:t xml:space="preserve">resource type indication </w:t>
      </w:r>
      <w:r w:rsidR="00780316">
        <w:rPr>
          <w:lang w:val="en-GB"/>
        </w:rPr>
        <w:t>and dynamic availability indication from the time domain to the frequency domain within a carrier.</w:t>
      </w:r>
      <w:r>
        <w:rPr>
          <w:lang w:val="en-GB"/>
        </w:rPr>
        <w:t xml:space="preserve"> We agree that such </w:t>
      </w:r>
      <w:r w:rsidR="00164961">
        <w:rPr>
          <w:lang w:val="en-GB"/>
        </w:rPr>
        <w:t>extension</w:t>
      </w:r>
      <w:r w:rsidR="00780316">
        <w:rPr>
          <w:lang w:val="en-GB"/>
        </w:rPr>
        <w:t xml:space="preserve"> will </w:t>
      </w:r>
      <w:r>
        <w:rPr>
          <w:lang w:val="en-GB"/>
        </w:rPr>
        <w:t xml:space="preserve">increase flexibility of </w:t>
      </w:r>
      <w:r w:rsidR="00780316">
        <w:rPr>
          <w:lang w:val="en-GB"/>
        </w:rPr>
        <w:t>resource management</w:t>
      </w:r>
      <w:r w:rsidR="00EE7024">
        <w:rPr>
          <w:lang w:val="en-GB"/>
        </w:rPr>
        <w:t xml:space="preserve"> for simultaneous </w:t>
      </w:r>
      <w:r w:rsidR="00E92D92">
        <w:rPr>
          <w:lang w:val="en-GB"/>
        </w:rPr>
        <w:t xml:space="preserve">MT-DU </w:t>
      </w:r>
      <w:r w:rsidR="00EE7024">
        <w:rPr>
          <w:lang w:val="en-GB"/>
        </w:rPr>
        <w:t>operations</w:t>
      </w:r>
      <w:r>
        <w:rPr>
          <w:lang w:val="en-GB"/>
        </w:rPr>
        <w:t>.</w:t>
      </w:r>
    </w:p>
    <w:p w14:paraId="3286003E" w14:textId="4903C121" w:rsidR="001F6935" w:rsidRDefault="001F6935" w:rsidP="001F6935">
      <w:pPr>
        <w:pStyle w:val="Proposal"/>
        <w:rPr>
          <w:lang w:val="en-GB"/>
        </w:rPr>
      </w:pPr>
      <w:bookmarkStart w:id="5" w:name="_Toc68553150"/>
      <w:bookmarkStart w:id="6" w:name="_Toc68604761"/>
      <w:bookmarkStart w:id="7" w:name="_Toc68608872"/>
      <w:bookmarkStart w:id="8" w:name="_Toc68611504"/>
      <w:bookmarkStart w:id="9" w:name="_Toc68621469"/>
      <w:bookmarkStart w:id="10" w:name="_Toc68645540"/>
      <w:r>
        <w:rPr>
          <w:lang w:val="en-GB"/>
        </w:rPr>
        <w:t xml:space="preserve">Extend the </w:t>
      </w:r>
      <w:r w:rsidRPr="001F6935">
        <w:rPr>
          <w:lang w:val="en-GB"/>
        </w:rPr>
        <w:t xml:space="preserve">semi-static DU resource type indication </w:t>
      </w:r>
      <w:r>
        <w:rPr>
          <w:lang w:val="en-GB"/>
        </w:rPr>
        <w:t xml:space="preserve">and dynamic </w:t>
      </w:r>
      <w:r w:rsidR="00164961">
        <w:rPr>
          <w:lang w:val="en-GB"/>
        </w:rPr>
        <w:t>signalling</w:t>
      </w:r>
      <w:r>
        <w:rPr>
          <w:lang w:val="en-GB"/>
        </w:rPr>
        <w:t xml:space="preserve"> </w:t>
      </w:r>
      <w:r w:rsidRPr="001F6935">
        <w:rPr>
          <w:lang w:val="en-GB"/>
        </w:rPr>
        <w:t>to frequency-domain resources within a carrier</w:t>
      </w:r>
      <w:r>
        <w:rPr>
          <w:lang w:val="en-GB"/>
        </w:rPr>
        <w:t>.</w:t>
      </w:r>
      <w:bookmarkEnd w:id="5"/>
      <w:bookmarkEnd w:id="6"/>
      <w:bookmarkEnd w:id="7"/>
      <w:bookmarkEnd w:id="8"/>
      <w:bookmarkEnd w:id="9"/>
      <w:bookmarkEnd w:id="10"/>
    </w:p>
    <w:p w14:paraId="33859D7E" w14:textId="1CD9F7B3" w:rsidR="00E92D92" w:rsidRDefault="00780316" w:rsidP="00E92D92">
      <w:pPr>
        <w:rPr>
          <w:lang w:val="en-GB"/>
        </w:rPr>
      </w:pPr>
      <w:r>
        <w:rPr>
          <w:lang w:val="en-GB"/>
        </w:rPr>
        <w:t xml:space="preserve">With regards to the </w:t>
      </w:r>
      <w:r w:rsidR="001F6935">
        <w:rPr>
          <w:lang w:val="en-GB"/>
        </w:rPr>
        <w:t xml:space="preserve">details, two related </w:t>
      </w:r>
      <w:r w:rsidR="00E92D92">
        <w:rPr>
          <w:lang w:val="en-GB"/>
        </w:rPr>
        <w:t>issues</w:t>
      </w:r>
      <w:r w:rsidR="001F6935">
        <w:rPr>
          <w:lang w:val="en-GB"/>
        </w:rPr>
        <w:t xml:space="preserve"> were </w:t>
      </w:r>
      <w:r w:rsidR="00406FEA">
        <w:rPr>
          <w:lang w:val="en-GB"/>
        </w:rPr>
        <w:t xml:space="preserve">discussed in the last meeting. One </w:t>
      </w:r>
      <w:r w:rsidR="00E92D92">
        <w:rPr>
          <w:lang w:val="en-GB"/>
        </w:rPr>
        <w:t>issue</w:t>
      </w:r>
      <w:r w:rsidR="00406FEA">
        <w:rPr>
          <w:lang w:val="en-GB"/>
        </w:rPr>
        <w:t xml:space="preserve"> is whether </w:t>
      </w:r>
      <w:r w:rsidR="00164961">
        <w:rPr>
          <w:lang w:val="en-GB"/>
        </w:rPr>
        <w:t>signalling</w:t>
      </w:r>
      <w:r>
        <w:rPr>
          <w:lang w:val="en-GB"/>
        </w:rPr>
        <w:t xml:space="preserve"> for the time domain (e.g., according to Rel-16) and the frequency domain is performed separately or jointly.</w:t>
      </w:r>
      <w:r w:rsidR="00E92D92">
        <w:rPr>
          <w:lang w:val="en-GB"/>
        </w:rPr>
        <w:t xml:space="preserve"> </w:t>
      </w:r>
      <w:r w:rsidR="00406FEA">
        <w:rPr>
          <w:lang w:val="en-GB"/>
        </w:rPr>
        <w:t xml:space="preserve">Another </w:t>
      </w:r>
      <w:r w:rsidR="00E92D92">
        <w:rPr>
          <w:lang w:val="en-GB"/>
        </w:rPr>
        <w:t>issue</w:t>
      </w:r>
      <w:r w:rsidR="00406FEA">
        <w:rPr>
          <w:lang w:val="en-GB"/>
        </w:rPr>
        <w:t xml:space="preserve"> is what resource types should be </w:t>
      </w:r>
      <w:r w:rsidR="00E92D92">
        <w:rPr>
          <w:lang w:val="en-GB"/>
        </w:rPr>
        <w:t>defined. It was proposed by some companies to define hard/soft/NA resource types for the frequency domains. Other companies argued that</w:t>
      </w:r>
      <w:r w:rsidR="00A85300">
        <w:rPr>
          <w:lang w:val="en-GB"/>
        </w:rPr>
        <w:t xml:space="preserve"> three resource types are redundant</w:t>
      </w:r>
      <w:r w:rsidR="00E92D92">
        <w:rPr>
          <w:lang w:val="en-GB"/>
        </w:rPr>
        <w:t>.</w:t>
      </w:r>
    </w:p>
    <w:p w14:paraId="54EF1601" w14:textId="33D7ACC6" w:rsidR="00780316" w:rsidRDefault="00951EA3" w:rsidP="00E92D92">
      <w:pPr>
        <w:rPr>
          <w:lang w:val="en-GB"/>
        </w:rPr>
      </w:pPr>
      <w:r>
        <w:rPr>
          <w:lang w:val="en-GB"/>
        </w:rPr>
        <w:t>W</w:t>
      </w:r>
      <w:r w:rsidR="00E92D92">
        <w:rPr>
          <w:lang w:val="en-GB"/>
        </w:rPr>
        <w:t xml:space="preserve">hether to define two or three resource types at the frequency-domain depends on whether the type of a resource in the time-frequency grid is determined by one joint configuration or two separate configurations. The two approaches are compared in the </w:t>
      </w:r>
      <w:r w:rsidR="00164961">
        <w:rPr>
          <w:lang w:val="en-GB"/>
        </w:rPr>
        <w:t>schematic</w:t>
      </w:r>
      <w:r w:rsidR="00E92D92">
        <w:rPr>
          <w:lang w:val="en-GB"/>
        </w:rPr>
        <w:t xml:space="preserve"> below.</w:t>
      </w:r>
    </w:p>
    <w:p w14:paraId="43B16ABA" w14:textId="588B89CC" w:rsidR="00E92D92" w:rsidRDefault="00E92D92" w:rsidP="00E92D92">
      <w:pPr>
        <w:pStyle w:val="Figure"/>
      </w:pPr>
      <w:r w:rsidRPr="00E92D92">
        <w:rPr>
          <w:noProof/>
        </w:rPr>
        <w:drawing>
          <wp:inline distT="0" distB="0" distL="0" distR="0" wp14:anchorId="2ED9096C" wp14:editId="2CA8888E">
            <wp:extent cx="5212080" cy="195681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12080" cy="1956816"/>
                    </a:xfrm>
                    <a:prstGeom prst="rect">
                      <a:avLst/>
                    </a:prstGeom>
                    <a:noFill/>
                    <a:ln>
                      <a:noFill/>
                    </a:ln>
                  </pic:spPr>
                </pic:pic>
              </a:graphicData>
            </a:graphic>
          </wp:inline>
        </w:drawing>
      </w:r>
    </w:p>
    <w:p w14:paraId="7C324B9F" w14:textId="6FA594E3" w:rsidR="00E92D92" w:rsidRPr="00E92D92" w:rsidRDefault="001E095A" w:rsidP="00E92D92">
      <w:pPr>
        <w:pStyle w:val="Caption"/>
      </w:pPr>
      <w:r>
        <w:t xml:space="preserve">. Joint vs. separate configuration and </w:t>
      </w:r>
      <w:r w:rsidR="00164961">
        <w:t>signalling</w:t>
      </w:r>
    </w:p>
    <w:p w14:paraId="21B88347" w14:textId="4EDE246A" w:rsidR="001E095A" w:rsidRDefault="00951EA3" w:rsidP="00434364">
      <w:pPr>
        <w:rPr>
          <w:lang w:val="en-GB"/>
        </w:rPr>
      </w:pPr>
      <w:r>
        <w:rPr>
          <w:lang w:val="en-GB"/>
        </w:rPr>
        <w:t xml:space="preserve">In our view, if an IAB node is to receive configurations and </w:t>
      </w:r>
      <w:r w:rsidR="00164961">
        <w:rPr>
          <w:lang w:val="en-GB"/>
        </w:rPr>
        <w:t>signalling</w:t>
      </w:r>
      <w:r>
        <w:rPr>
          <w:lang w:val="en-GB"/>
        </w:rPr>
        <w:t xml:space="preserve"> for time and frequency domains separately, RAN1 will have to spend a significant amount of time </w:t>
      </w:r>
      <w:r w:rsidR="00A85300">
        <w:rPr>
          <w:lang w:val="en-GB"/>
        </w:rPr>
        <w:t>specifying</w:t>
      </w:r>
      <w:r>
        <w:rPr>
          <w:lang w:val="en-GB"/>
        </w:rPr>
        <w:t xml:space="preserve"> </w:t>
      </w:r>
      <w:r w:rsidR="00A85300">
        <w:rPr>
          <w:lang w:val="en-GB"/>
        </w:rPr>
        <w:t xml:space="preserve">redundant </w:t>
      </w:r>
      <w:r>
        <w:rPr>
          <w:lang w:val="en-GB"/>
        </w:rPr>
        <w:t xml:space="preserve">rules for handling resource type combinations. Essentially, rules will have to be </w:t>
      </w:r>
      <w:r w:rsidR="00A0196A">
        <w:rPr>
          <w:lang w:val="en-GB"/>
        </w:rPr>
        <w:t>specified for 9 different combinations:</w:t>
      </w:r>
    </w:p>
    <w:tbl>
      <w:tblPr>
        <w:tblStyle w:val="TableGrid"/>
        <w:tblW w:w="0" w:type="auto"/>
        <w:jc w:val="center"/>
        <w:tblLook w:val="04A0" w:firstRow="1" w:lastRow="0" w:firstColumn="1" w:lastColumn="0" w:noHBand="0" w:noVBand="1"/>
      </w:tblPr>
      <w:tblGrid>
        <w:gridCol w:w="1655"/>
        <w:gridCol w:w="1710"/>
        <w:gridCol w:w="1655"/>
        <w:gridCol w:w="1644"/>
      </w:tblGrid>
      <w:tr w:rsidR="00A0196A" w14:paraId="564229B0" w14:textId="77777777" w:rsidTr="00A0196A">
        <w:trPr>
          <w:trHeight w:val="422"/>
          <w:jc w:val="center"/>
        </w:trPr>
        <w:tc>
          <w:tcPr>
            <w:tcW w:w="0" w:type="auto"/>
            <w:vAlign w:val="center"/>
          </w:tcPr>
          <w:p w14:paraId="09D442DB" w14:textId="77777777" w:rsidR="00A0196A" w:rsidRDefault="00A0196A" w:rsidP="00A0196A">
            <w:pPr>
              <w:jc w:val="center"/>
              <w:rPr>
                <w:lang w:val="en-GB"/>
              </w:rPr>
            </w:pPr>
          </w:p>
        </w:tc>
        <w:tc>
          <w:tcPr>
            <w:tcW w:w="0" w:type="auto"/>
            <w:vAlign w:val="center"/>
          </w:tcPr>
          <w:p w14:paraId="2F15773E" w14:textId="36AFB655" w:rsidR="00A0196A" w:rsidRDefault="00A0196A" w:rsidP="00A0196A">
            <w:pPr>
              <w:jc w:val="center"/>
              <w:rPr>
                <w:lang w:val="en-GB"/>
              </w:rPr>
            </w:pPr>
            <w:r>
              <w:rPr>
                <w:lang w:val="en-GB"/>
              </w:rPr>
              <w:t>Time-domain hard</w:t>
            </w:r>
          </w:p>
        </w:tc>
        <w:tc>
          <w:tcPr>
            <w:tcW w:w="0" w:type="auto"/>
            <w:vAlign w:val="center"/>
          </w:tcPr>
          <w:p w14:paraId="658C5B64" w14:textId="698FFA5D" w:rsidR="00A0196A" w:rsidRDefault="00A0196A" w:rsidP="00A0196A">
            <w:pPr>
              <w:jc w:val="center"/>
              <w:rPr>
                <w:lang w:val="en-GB"/>
              </w:rPr>
            </w:pPr>
            <w:r>
              <w:rPr>
                <w:lang w:val="en-GB"/>
              </w:rPr>
              <w:t>Time-domain soft</w:t>
            </w:r>
          </w:p>
        </w:tc>
        <w:tc>
          <w:tcPr>
            <w:tcW w:w="0" w:type="auto"/>
            <w:vAlign w:val="center"/>
          </w:tcPr>
          <w:p w14:paraId="549AEB4F" w14:textId="20C61C90" w:rsidR="00A0196A" w:rsidRDefault="00A0196A" w:rsidP="00A0196A">
            <w:pPr>
              <w:jc w:val="center"/>
              <w:rPr>
                <w:lang w:val="en-GB"/>
              </w:rPr>
            </w:pPr>
            <w:r>
              <w:rPr>
                <w:lang w:val="en-GB"/>
              </w:rPr>
              <w:t>Time-domain NA</w:t>
            </w:r>
          </w:p>
        </w:tc>
      </w:tr>
      <w:tr w:rsidR="00A0196A" w14:paraId="0925C5FC" w14:textId="77777777" w:rsidTr="00A0196A">
        <w:trPr>
          <w:jc w:val="center"/>
        </w:trPr>
        <w:tc>
          <w:tcPr>
            <w:tcW w:w="0" w:type="auto"/>
            <w:vAlign w:val="center"/>
          </w:tcPr>
          <w:p w14:paraId="434625AC" w14:textId="7185E797" w:rsidR="00A0196A" w:rsidRDefault="00A0196A" w:rsidP="00A0196A">
            <w:pPr>
              <w:jc w:val="center"/>
              <w:rPr>
                <w:lang w:val="en-GB"/>
              </w:rPr>
            </w:pPr>
            <w:r>
              <w:rPr>
                <w:lang w:val="en-GB"/>
              </w:rPr>
              <w:t>Freq-domain hard</w:t>
            </w:r>
          </w:p>
        </w:tc>
        <w:tc>
          <w:tcPr>
            <w:tcW w:w="0" w:type="auto"/>
            <w:vAlign w:val="center"/>
          </w:tcPr>
          <w:p w14:paraId="751FFE10" w14:textId="1AE8B1B1" w:rsidR="00A0196A" w:rsidRDefault="00A0196A" w:rsidP="00A0196A">
            <w:pPr>
              <w:jc w:val="center"/>
              <w:rPr>
                <w:lang w:val="en-GB"/>
              </w:rPr>
            </w:pPr>
            <w:r>
              <w:rPr>
                <w:lang w:val="en-GB"/>
              </w:rPr>
              <w:t>X</w:t>
            </w:r>
          </w:p>
        </w:tc>
        <w:tc>
          <w:tcPr>
            <w:tcW w:w="0" w:type="auto"/>
            <w:vAlign w:val="center"/>
          </w:tcPr>
          <w:p w14:paraId="6762B00F" w14:textId="6BF5965C" w:rsidR="00A0196A" w:rsidRDefault="00A0196A" w:rsidP="00A0196A">
            <w:pPr>
              <w:jc w:val="center"/>
              <w:rPr>
                <w:lang w:val="en-GB"/>
              </w:rPr>
            </w:pPr>
            <w:r>
              <w:rPr>
                <w:lang w:val="en-GB"/>
              </w:rPr>
              <w:t>X</w:t>
            </w:r>
          </w:p>
        </w:tc>
        <w:tc>
          <w:tcPr>
            <w:tcW w:w="0" w:type="auto"/>
            <w:vAlign w:val="center"/>
          </w:tcPr>
          <w:p w14:paraId="50092037" w14:textId="47963711" w:rsidR="00A0196A" w:rsidRDefault="00A0196A" w:rsidP="00A0196A">
            <w:pPr>
              <w:jc w:val="center"/>
              <w:rPr>
                <w:lang w:val="en-GB"/>
              </w:rPr>
            </w:pPr>
            <w:r>
              <w:rPr>
                <w:lang w:val="en-GB"/>
              </w:rPr>
              <w:t>X</w:t>
            </w:r>
          </w:p>
        </w:tc>
      </w:tr>
      <w:tr w:rsidR="00A0196A" w14:paraId="3E80BFBD" w14:textId="77777777" w:rsidTr="00A0196A">
        <w:trPr>
          <w:jc w:val="center"/>
        </w:trPr>
        <w:tc>
          <w:tcPr>
            <w:tcW w:w="0" w:type="auto"/>
            <w:vAlign w:val="center"/>
          </w:tcPr>
          <w:p w14:paraId="09290C86" w14:textId="39127E46" w:rsidR="00A0196A" w:rsidRDefault="00A0196A" w:rsidP="00A0196A">
            <w:pPr>
              <w:jc w:val="center"/>
              <w:rPr>
                <w:lang w:val="en-GB"/>
              </w:rPr>
            </w:pPr>
            <w:r>
              <w:rPr>
                <w:lang w:val="en-GB"/>
              </w:rPr>
              <w:t>Freq-domain soft</w:t>
            </w:r>
          </w:p>
        </w:tc>
        <w:tc>
          <w:tcPr>
            <w:tcW w:w="0" w:type="auto"/>
            <w:vAlign w:val="center"/>
          </w:tcPr>
          <w:p w14:paraId="06D21819" w14:textId="4B6A4C5F" w:rsidR="00A0196A" w:rsidRDefault="00A0196A" w:rsidP="00A0196A">
            <w:pPr>
              <w:jc w:val="center"/>
              <w:rPr>
                <w:lang w:val="en-GB"/>
              </w:rPr>
            </w:pPr>
            <w:r>
              <w:rPr>
                <w:lang w:val="en-GB"/>
              </w:rPr>
              <w:t>X</w:t>
            </w:r>
          </w:p>
        </w:tc>
        <w:tc>
          <w:tcPr>
            <w:tcW w:w="0" w:type="auto"/>
            <w:vAlign w:val="center"/>
          </w:tcPr>
          <w:p w14:paraId="44F31906" w14:textId="4800B7D2" w:rsidR="00A0196A" w:rsidRDefault="00A0196A" w:rsidP="00A0196A">
            <w:pPr>
              <w:jc w:val="center"/>
              <w:rPr>
                <w:lang w:val="en-GB"/>
              </w:rPr>
            </w:pPr>
            <w:r>
              <w:rPr>
                <w:lang w:val="en-GB"/>
              </w:rPr>
              <w:t>X</w:t>
            </w:r>
          </w:p>
        </w:tc>
        <w:tc>
          <w:tcPr>
            <w:tcW w:w="0" w:type="auto"/>
            <w:vAlign w:val="center"/>
          </w:tcPr>
          <w:p w14:paraId="3D13DFE2" w14:textId="5E98CEED" w:rsidR="00A0196A" w:rsidRDefault="00A0196A" w:rsidP="00A0196A">
            <w:pPr>
              <w:jc w:val="center"/>
              <w:rPr>
                <w:lang w:val="en-GB"/>
              </w:rPr>
            </w:pPr>
            <w:r>
              <w:rPr>
                <w:lang w:val="en-GB"/>
              </w:rPr>
              <w:t>X</w:t>
            </w:r>
          </w:p>
        </w:tc>
      </w:tr>
      <w:tr w:rsidR="00A0196A" w14:paraId="0C772606" w14:textId="77777777" w:rsidTr="00A0196A">
        <w:trPr>
          <w:trHeight w:val="42"/>
          <w:jc w:val="center"/>
        </w:trPr>
        <w:tc>
          <w:tcPr>
            <w:tcW w:w="0" w:type="auto"/>
            <w:vAlign w:val="center"/>
          </w:tcPr>
          <w:p w14:paraId="6C4878F2" w14:textId="158304FF" w:rsidR="00A0196A" w:rsidRDefault="00A0196A" w:rsidP="00A0196A">
            <w:pPr>
              <w:jc w:val="center"/>
              <w:rPr>
                <w:lang w:val="en-GB"/>
              </w:rPr>
            </w:pPr>
            <w:r>
              <w:rPr>
                <w:lang w:val="en-GB"/>
              </w:rPr>
              <w:t>Freq-domain NA</w:t>
            </w:r>
          </w:p>
        </w:tc>
        <w:tc>
          <w:tcPr>
            <w:tcW w:w="0" w:type="auto"/>
            <w:vAlign w:val="center"/>
          </w:tcPr>
          <w:p w14:paraId="3354BA1A" w14:textId="3E7A5E63" w:rsidR="00A0196A" w:rsidRDefault="00A0196A" w:rsidP="00A0196A">
            <w:pPr>
              <w:jc w:val="center"/>
              <w:rPr>
                <w:lang w:val="en-GB"/>
              </w:rPr>
            </w:pPr>
            <w:r>
              <w:rPr>
                <w:lang w:val="en-GB"/>
              </w:rPr>
              <w:t>X</w:t>
            </w:r>
          </w:p>
        </w:tc>
        <w:tc>
          <w:tcPr>
            <w:tcW w:w="0" w:type="auto"/>
            <w:vAlign w:val="center"/>
          </w:tcPr>
          <w:p w14:paraId="5474375C" w14:textId="7783C40B" w:rsidR="00A0196A" w:rsidRDefault="00A0196A" w:rsidP="00A0196A">
            <w:pPr>
              <w:jc w:val="center"/>
              <w:rPr>
                <w:lang w:val="en-GB"/>
              </w:rPr>
            </w:pPr>
            <w:r>
              <w:rPr>
                <w:lang w:val="en-GB"/>
              </w:rPr>
              <w:t>X</w:t>
            </w:r>
          </w:p>
        </w:tc>
        <w:tc>
          <w:tcPr>
            <w:tcW w:w="0" w:type="auto"/>
            <w:vAlign w:val="center"/>
          </w:tcPr>
          <w:p w14:paraId="097C9BF1" w14:textId="1504D029" w:rsidR="00A0196A" w:rsidRDefault="00A0196A" w:rsidP="00A0196A">
            <w:pPr>
              <w:jc w:val="center"/>
              <w:rPr>
                <w:lang w:val="en-GB"/>
              </w:rPr>
            </w:pPr>
            <w:r>
              <w:rPr>
                <w:lang w:val="en-GB"/>
              </w:rPr>
              <w:t>X</w:t>
            </w:r>
          </w:p>
        </w:tc>
      </w:tr>
    </w:tbl>
    <w:p w14:paraId="798ED4CD" w14:textId="77777777" w:rsidR="00A0196A" w:rsidRDefault="00A0196A" w:rsidP="00434364">
      <w:pPr>
        <w:rPr>
          <w:lang w:val="en-GB"/>
        </w:rPr>
      </w:pPr>
    </w:p>
    <w:p w14:paraId="312CD15A" w14:textId="77DA1CCA" w:rsidR="00C00E26" w:rsidRDefault="00C00E26" w:rsidP="00C00E26">
      <w:pPr>
        <w:pStyle w:val="Observation"/>
      </w:pPr>
      <w:bookmarkStart w:id="11" w:name="_Toc68553146"/>
      <w:bookmarkStart w:id="12" w:name="_Toc68604757"/>
      <w:bookmarkStart w:id="13" w:name="_Toc68608867"/>
      <w:bookmarkStart w:id="14" w:name="_Toc68611501"/>
      <w:bookmarkStart w:id="15" w:name="_Toc68621485"/>
      <w:bookmarkStart w:id="16" w:name="_Toc68645549"/>
      <w:r>
        <w:t xml:space="preserve">It can take a significant amount of time to specify rules and </w:t>
      </w:r>
      <w:r w:rsidR="00164961">
        <w:t>behaviours</w:t>
      </w:r>
      <w:r>
        <w:t xml:space="preserve"> if a resource in the time-frequency grid is to receive separ</w:t>
      </w:r>
      <w:r w:rsidR="007C037A">
        <w:t>a</w:t>
      </w:r>
      <w:r>
        <w:t xml:space="preserve">te configurations and </w:t>
      </w:r>
      <w:r w:rsidR="00164961">
        <w:t>signalling</w:t>
      </w:r>
      <w:r>
        <w:t xml:space="preserve"> for time and frequency domains</w:t>
      </w:r>
      <w:r w:rsidR="00A85300">
        <w:t>, each with three resource types</w:t>
      </w:r>
      <w:r>
        <w:t>.</w:t>
      </w:r>
      <w:bookmarkEnd w:id="11"/>
      <w:bookmarkEnd w:id="12"/>
      <w:bookmarkEnd w:id="13"/>
      <w:bookmarkEnd w:id="14"/>
      <w:bookmarkEnd w:id="15"/>
      <w:bookmarkEnd w:id="16"/>
    </w:p>
    <w:p w14:paraId="548BDF2D" w14:textId="6B86B358" w:rsidR="009C5A49" w:rsidRDefault="00C00E26" w:rsidP="009C5A49">
      <w:pPr>
        <w:rPr>
          <w:lang w:val="en-GB"/>
        </w:rPr>
      </w:pPr>
      <w:r>
        <w:rPr>
          <w:lang w:val="en-GB"/>
        </w:rPr>
        <w:t xml:space="preserve">Therefore, we propose to indicate resource </w:t>
      </w:r>
      <w:r w:rsidR="00164961">
        <w:rPr>
          <w:lang w:val="en-GB"/>
        </w:rPr>
        <w:t>types</w:t>
      </w:r>
      <w:r>
        <w:rPr>
          <w:lang w:val="en-GB"/>
        </w:rPr>
        <w:t xml:space="preserve"> in time and frequency domains jointly. In this case, f</w:t>
      </w:r>
      <w:r w:rsidR="00A0196A">
        <w:rPr>
          <w:lang w:val="en-GB"/>
        </w:rPr>
        <w:t xml:space="preserve">or coexistence with TDM-only operation, it is reasonable to </w:t>
      </w:r>
      <w:r w:rsidR="009C5A49">
        <w:rPr>
          <w:lang w:val="en-GB"/>
        </w:rPr>
        <w:t>specify</w:t>
      </w:r>
      <w:r>
        <w:rPr>
          <w:lang w:val="en-GB"/>
        </w:rPr>
        <w:t xml:space="preserve"> that if a </w:t>
      </w:r>
      <w:r w:rsidR="009C5A49">
        <w:rPr>
          <w:lang w:val="en-GB"/>
        </w:rPr>
        <w:t>resource</w:t>
      </w:r>
      <w:r>
        <w:rPr>
          <w:lang w:val="en-GB"/>
        </w:rPr>
        <w:t xml:space="preserve"> is </w:t>
      </w:r>
      <w:r w:rsidR="009C5A49">
        <w:rPr>
          <w:lang w:val="en-GB"/>
        </w:rPr>
        <w:t xml:space="preserve">NA if </w:t>
      </w:r>
      <w:r>
        <w:rPr>
          <w:lang w:val="en-GB"/>
        </w:rPr>
        <w:t>configured as NA</w:t>
      </w:r>
      <w:r w:rsidR="009C5A49">
        <w:rPr>
          <w:lang w:val="en-GB"/>
        </w:rPr>
        <w:t xml:space="preserve"> in either time or frequency domains</w:t>
      </w:r>
      <w:r>
        <w:rPr>
          <w:lang w:val="en-GB"/>
        </w:rPr>
        <w:t>.</w:t>
      </w:r>
      <w:r w:rsidR="009C5A49">
        <w:rPr>
          <w:lang w:val="en-GB"/>
        </w:rPr>
        <w:t xml:space="preserve"> </w:t>
      </w:r>
      <w:r>
        <w:rPr>
          <w:lang w:val="en-GB"/>
        </w:rPr>
        <w:t xml:space="preserve">PRBs on </w:t>
      </w:r>
      <w:r w:rsidR="009C5A49">
        <w:rPr>
          <w:lang w:val="en-GB"/>
        </w:rPr>
        <w:t>hard/</w:t>
      </w:r>
      <w:r>
        <w:rPr>
          <w:lang w:val="en-GB"/>
        </w:rPr>
        <w:t>soft symbols</w:t>
      </w:r>
      <w:r w:rsidR="009C5A49">
        <w:rPr>
          <w:lang w:val="en-GB"/>
        </w:rPr>
        <w:t>, however,</w:t>
      </w:r>
      <w:r>
        <w:rPr>
          <w:lang w:val="en-GB"/>
        </w:rPr>
        <w:t xml:space="preserve"> may be </w:t>
      </w:r>
      <w:r w:rsidR="0060194F">
        <w:rPr>
          <w:lang w:val="en-GB"/>
        </w:rPr>
        <w:t xml:space="preserve">further </w:t>
      </w:r>
      <w:r>
        <w:rPr>
          <w:lang w:val="en-GB"/>
        </w:rPr>
        <w:t xml:space="preserve">indicated </w:t>
      </w:r>
      <w:r w:rsidR="009C5A49">
        <w:rPr>
          <w:lang w:val="en-GB"/>
        </w:rPr>
        <w:t>hard/soft</w:t>
      </w:r>
      <w:r>
        <w:rPr>
          <w:lang w:val="en-GB"/>
        </w:rPr>
        <w:t xml:space="preserve"> or unavailable</w:t>
      </w:r>
      <w:r w:rsidR="0060194F">
        <w:rPr>
          <w:lang w:val="en-GB"/>
        </w:rPr>
        <w:t xml:space="preserve"> by a frequency-domain attribute such as available/NA</w:t>
      </w:r>
      <w:r>
        <w:rPr>
          <w:lang w:val="en-GB"/>
        </w:rPr>
        <w:t>.</w:t>
      </w:r>
    </w:p>
    <w:p w14:paraId="28542BB8" w14:textId="77777777" w:rsidR="00486543" w:rsidRDefault="009C5A49" w:rsidP="009C5A49">
      <w:pPr>
        <w:rPr>
          <w:lang w:val="en-GB"/>
        </w:rPr>
      </w:pPr>
      <w:r>
        <w:rPr>
          <w:lang w:val="en-GB"/>
        </w:rPr>
        <w:t xml:space="preserve">Therefore, it is sufficient to define two resource types in the frequency domain (rather than three resource types hard/soft/NA), which simplifies the combination table as </w:t>
      </w:r>
      <w:r w:rsidR="0060194F">
        <w:rPr>
          <w:lang w:val="en-GB"/>
        </w:rPr>
        <w:t>shown in table below.</w:t>
      </w:r>
    </w:p>
    <w:tbl>
      <w:tblPr>
        <w:tblStyle w:val="TableGrid"/>
        <w:tblW w:w="0" w:type="auto"/>
        <w:jc w:val="center"/>
        <w:tblLook w:val="04A0" w:firstRow="1" w:lastRow="0" w:firstColumn="1" w:lastColumn="0" w:noHBand="0" w:noVBand="1"/>
      </w:tblPr>
      <w:tblGrid>
        <w:gridCol w:w="2021"/>
        <w:gridCol w:w="1710"/>
        <w:gridCol w:w="1655"/>
        <w:gridCol w:w="1644"/>
      </w:tblGrid>
      <w:tr w:rsidR="00273E2E" w14:paraId="071B91A6" w14:textId="77777777" w:rsidTr="005D02CF">
        <w:trPr>
          <w:trHeight w:val="422"/>
          <w:jc w:val="center"/>
        </w:trPr>
        <w:tc>
          <w:tcPr>
            <w:tcW w:w="0" w:type="auto"/>
            <w:vAlign w:val="center"/>
          </w:tcPr>
          <w:p w14:paraId="75C54EB1" w14:textId="77777777" w:rsidR="00273E2E" w:rsidRDefault="00273E2E" w:rsidP="005D02CF">
            <w:pPr>
              <w:jc w:val="center"/>
              <w:rPr>
                <w:lang w:val="en-GB"/>
              </w:rPr>
            </w:pPr>
          </w:p>
        </w:tc>
        <w:tc>
          <w:tcPr>
            <w:tcW w:w="0" w:type="auto"/>
            <w:vAlign w:val="center"/>
          </w:tcPr>
          <w:p w14:paraId="2D68DAEE" w14:textId="77777777" w:rsidR="00273E2E" w:rsidRDefault="00273E2E" w:rsidP="005D02CF">
            <w:pPr>
              <w:jc w:val="center"/>
              <w:rPr>
                <w:lang w:val="en-GB"/>
              </w:rPr>
            </w:pPr>
            <w:r>
              <w:rPr>
                <w:lang w:val="en-GB"/>
              </w:rPr>
              <w:t>Time-domain hard</w:t>
            </w:r>
          </w:p>
        </w:tc>
        <w:tc>
          <w:tcPr>
            <w:tcW w:w="0" w:type="auto"/>
            <w:vAlign w:val="center"/>
          </w:tcPr>
          <w:p w14:paraId="2AA3B567" w14:textId="77777777" w:rsidR="00273E2E" w:rsidRDefault="00273E2E" w:rsidP="005D02CF">
            <w:pPr>
              <w:jc w:val="center"/>
              <w:rPr>
                <w:lang w:val="en-GB"/>
              </w:rPr>
            </w:pPr>
            <w:r>
              <w:rPr>
                <w:lang w:val="en-GB"/>
              </w:rPr>
              <w:t>Time-domain soft</w:t>
            </w:r>
          </w:p>
        </w:tc>
        <w:tc>
          <w:tcPr>
            <w:tcW w:w="0" w:type="auto"/>
            <w:vAlign w:val="center"/>
          </w:tcPr>
          <w:p w14:paraId="6572FB32" w14:textId="77777777" w:rsidR="00273E2E" w:rsidRDefault="00273E2E" w:rsidP="005D02CF">
            <w:pPr>
              <w:jc w:val="center"/>
              <w:rPr>
                <w:lang w:val="en-GB"/>
              </w:rPr>
            </w:pPr>
            <w:r>
              <w:rPr>
                <w:lang w:val="en-GB"/>
              </w:rPr>
              <w:t>Time-domain NA</w:t>
            </w:r>
          </w:p>
        </w:tc>
      </w:tr>
      <w:tr w:rsidR="00273E2E" w14:paraId="5563C9A5" w14:textId="77777777" w:rsidTr="005D02CF">
        <w:trPr>
          <w:jc w:val="center"/>
        </w:trPr>
        <w:tc>
          <w:tcPr>
            <w:tcW w:w="0" w:type="auto"/>
            <w:vAlign w:val="center"/>
          </w:tcPr>
          <w:p w14:paraId="47AF30AC" w14:textId="6E77F1F1" w:rsidR="00273E2E" w:rsidRDefault="00273E2E" w:rsidP="005D02CF">
            <w:pPr>
              <w:jc w:val="center"/>
              <w:rPr>
                <w:lang w:val="en-GB"/>
              </w:rPr>
            </w:pPr>
            <w:r>
              <w:rPr>
                <w:lang w:val="en-GB"/>
              </w:rPr>
              <w:lastRenderedPageBreak/>
              <w:t xml:space="preserve">Freq-domain </w:t>
            </w:r>
            <w:r w:rsidR="009C5A49">
              <w:rPr>
                <w:lang w:val="en-GB"/>
              </w:rPr>
              <w:t>available</w:t>
            </w:r>
          </w:p>
        </w:tc>
        <w:tc>
          <w:tcPr>
            <w:tcW w:w="0" w:type="auto"/>
            <w:vAlign w:val="center"/>
          </w:tcPr>
          <w:p w14:paraId="26EB0623" w14:textId="13BEBC0E" w:rsidR="00273E2E" w:rsidRDefault="00273E2E" w:rsidP="005D02CF">
            <w:pPr>
              <w:jc w:val="center"/>
              <w:rPr>
                <w:lang w:val="en-GB"/>
              </w:rPr>
            </w:pPr>
            <w:r>
              <w:rPr>
                <w:lang w:val="en-GB"/>
              </w:rPr>
              <w:t>Hard</w:t>
            </w:r>
          </w:p>
        </w:tc>
        <w:tc>
          <w:tcPr>
            <w:tcW w:w="0" w:type="auto"/>
            <w:vAlign w:val="center"/>
          </w:tcPr>
          <w:p w14:paraId="2157236A" w14:textId="1D3B56C6" w:rsidR="00273E2E" w:rsidRDefault="00273E2E" w:rsidP="005D02CF">
            <w:pPr>
              <w:jc w:val="center"/>
              <w:rPr>
                <w:lang w:val="en-GB"/>
              </w:rPr>
            </w:pPr>
            <w:r>
              <w:rPr>
                <w:lang w:val="en-GB"/>
              </w:rPr>
              <w:t>Soft</w:t>
            </w:r>
          </w:p>
        </w:tc>
        <w:tc>
          <w:tcPr>
            <w:tcW w:w="0" w:type="auto"/>
            <w:vAlign w:val="center"/>
          </w:tcPr>
          <w:p w14:paraId="26F663EA" w14:textId="0832F69B" w:rsidR="00273E2E" w:rsidRDefault="00273E2E" w:rsidP="005D02CF">
            <w:pPr>
              <w:jc w:val="center"/>
              <w:rPr>
                <w:lang w:val="en-GB"/>
              </w:rPr>
            </w:pPr>
            <w:r>
              <w:rPr>
                <w:lang w:val="en-GB"/>
              </w:rPr>
              <w:t>NA</w:t>
            </w:r>
          </w:p>
        </w:tc>
      </w:tr>
      <w:tr w:rsidR="00273E2E" w14:paraId="0A29F4B5" w14:textId="77777777" w:rsidTr="005D02CF">
        <w:trPr>
          <w:trHeight w:val="42"/>
          <w:jc w:val="center"/>
        </w:trPr>
        <w:tc>
          <w:tcPr>
            <w:tcW w:w="0" w:type="auto"/>
            <w:vAlign w:val="center"/>
          </w:tcPr>
          <w:p w14:paraId="273B94F4" w14:textId="77777777" w:rsidR="00273E2E" w:rsidRDefault="00273E2E" w:rsidP="005D02CF">
            <w:pPr>
              <w:jc w:val="center"/>
              <w:rPr>
                <w:lang w:val="en-GB"/>
              </w:rPr>
            </w:pPr>
            <w:r>
              <w:rPr>
                <w:lang w:val="en-GB"/>
              </w:rPr>
              <w:t>Freq-domain NA</w:t>
            </w:r>
          </w:p>
        </w:tc>
        <w:tc>
          <w:tcPr>
            <w:tcW w:w="0" w:type="auto"/>
            <w:vAlign w:val="center"/>
          </w:tcPr>
          <w:p w14:paraId="33CE2BC9" w14:textId="49514CEB" w:rsidR="00273E2E" w:rsidRDefault="009C5A49" w:rsidP="005D02CF">
            <w:pPr>
              <w:jc w:val="center"/>
              <w:rPr>
                <w:lang w:val="en-GB"/>
              </w:rPr>
            </w:pPr>
            <w:r>
              <w:rPr>
                <w:lang w:val="en-GB"/>
              </w:rPr>
              <w:t>NA</w:t>
            </w:r>
          </w:p>
        </w:tc>
        <w:tc>
          <w:tcPr>
            <w:tcW w:w="0" w:type="auto"/>
            <w:vAlign w:val="center"/>
          </w:tcPr>
          <w:p w14:paraId="07727B04" w14:textId="746DE930" w:rsidR="00273E2E" w:rsidRDefault="00273E2E" w:rsidP="005D02CF">
            <w:pPr>
              <w:jc w:val="center"/>
              <w:rPr>
                <w:lang w:val="en-GB"/>
              </w:rPr>
            </w:pPr>
            <w:r>
              <w:rPr>
                <w:lang w:val="en-GB"/>
              </w:rPr>
              <w:t>NA</w:t>
            </w:r>
          </w:p>
        </w:tc>
        <w:tc>
          <w:tcPr>
            <w:tcW w:w="0" w:type="auto"/>
            <w:vAlign w:val="center"/>
          </w:tcPr>
          <w:p w14:paraId="4DE5F662" w14:textId="4CAF41D8" w:rsidR="00273E2E" w:rsidRDefault="00273E2E" w:rsidP="005D02CF">
            <w:pPr>
              <w:jc w:val="center"/>
              <w:rPr>
                <w:lang w:val="en-GB"/>
              </w:rPr>
            </w:pPr>
            <w:r>
              <w:rPr>
                <w:lang w:val="en-GB"/>
              </w:rPr>
              <w:t>NA</w:t>
            </w:r>
          </w:p>
        </w:tc>
      </w:tr>
    </w:tbl>
    <w:p w14:paraId="325D3E6C" w14:textId="71EEC987" w:rsidR="00273E2E" w:rsidRDefault="00273E2E" w:rsidP="00C00E26">
      <w:pPr>
        <w:rPr>
          <w:lang w:val="en-GB"/>
        </w:rPr>
      </w:pPr>
    </w:p>
    <w:p w14:paraId="02DCEC96" w14:textId="0A9FF6E9" w:rsidR="009C5A49" w:rsidRDefault="00244E50" w:rsidP="009C5A49">
      <w:pPr>
        <w:rPr>
          <w:lang w:val="en-GB"/>
        </w:rPr>
      </w:pPr>
      <w:r>
        <w:rPr>
          <w:lang w:val="en-GB"/>
        </w:rPr>
        <w:t xml:space="preserve">This can be interpreted essentially as a frequency-domain mask on the hard/soft/NA configuration of symbols as specified in Rel-16. </w:t>
      </w:r>
      <w:r w:rsidR="009C5A49">
        <w:rPr>
          <w:lang w:val="en-GB"/>
        </w:rPr>
        <w:t xml:space="preserve">As mentioned earlier, this definition is compatible </w:t>
      </w:r>
      <w:r>
        <w:rPr>
          <w:lang w:val="en-GB"/>
        </w:rPr>
        <w:t xml:space="preserve">with IAB Rel-16 </w:t>
      </w:r>
      <w:r w:rsidR="009C5A49">
        <w:rPr>
          <w:lang w:val="en-GB"/>
        </w:rPr>
        <w:t xml:space="preserve">and provides simpler </w:t>
      </w:r>
      <w:r>
        <w:rPr>
          <w:lang w:val="en-GB"/>
        </w:rPr>
        <w:t xml:space="preserve">fallback to TDM and </w:t>
      </w:r>
      <w:r w:rsidR="009C5A49">
        <w:rPr>
          <w:lang w:val="en-GB"/>
        </w:rPr>
        <w:t>coexistence with TDM-only operation.</w:t>
      </w:r>
    </w:p>
    <w:p w14:paraId="17DD5B94" w14:textId="192EFF82" w:rsidR="009C5A49" w:rsidRDefault="009C5A49" w:rsidP="009C5A49">
      <w:pPr>
        <w:rPr>
          <w:lang w:val="en-GB"/>
        </w:rPr>
      </w:pPr>
      <w:r>
        <w:rPr>
          <w:lang w:val="en-GB"/>
        </w:rPr>
        <w:t xml:space="preserve">In order to lower the overhead of dynamic frequency-domain availability indication (AI), further higher-layer </w:t>
      </w:r>
      <w:r w:rsidR="00164961">
        <w:rPr>
          <w:lang w:val="en-GB"/>
        </w:rPr>
        <w:t>signalling</w:t>
      </w:r>
      <w:r>
        <w:rPr>
          <w:lang w:val="en-GB"/>
        </w:rPr>
        <w:t xml:space="preserve"> may determine parameters such as a frequency-domain granularity of N PRBs/RBGs, which group of N PRBs/RBGs are available to frequency-domain AI, and so on.</w:t>
      </w:r>
    </w:p>
    <w:p w14:paraId="1321B1B8" w14:textId="35CFF84D" w:rsidR="007C037A" w:rsidRDefault="007C037A" w:rsidP="007C037A">
      <w:pPr>
        <w:pStyle w:val="Proposal"/>
        <w:rPr>
          <w:lang w:val="en-GB"/>
        </w:rPr>
      </w:pPr>
      <w:bookmarkStart w:id="17" w:name="_Toc68553151"/>
      <w:bookmarkStart w:id="18" w:name="_Toc68604762"/>
      <w:bookmarkStart w:id="19" w:name="_Toc68608873"/>
      <w:bookmarkStart w:id="20" w:name="_Toc68611505"/>
      <w:bookmarkStart w:id="21" w:name="_Toc68621470"/>
      <w:bookmarkStart w:id="22" w:name="_Toc68645541"/>
      <w:r>
        <w:rPr>
          <w:lang w:val="en-GB"/>
        </w:rPr>
        <w:t xml:space="preserve">Define two resource types in the frequency domain to enable frequency-domain availability indication on soft </w:t>
      </w:r>
      <w:r w:rsidR="009C5A49">
        <w:rPr>
          <w:lang w:val="en-GB"/>
        </w:rPr>
        <w:t>symbols</w:t>
      </w:r>
      <w:r>
        <w:rPr>
          <w:lang w:val="en-GB"/>
        </w:rPr>
        <w:t>.</w:t>
      </w:r>
      <w:r w:rsidR="005A75BA">
        <w:rPr>
          <w:lang w:val="en-GB"/>
        </w:rPr>
        <w:t xml:space="preserve"> </w:t>
      </w:r>
      <w:r w:rsidR="002F6BD6">
        <w:rPr>
          <w:lang w:val="en-GB"/>
        </w:rPr>
        <w:t xml:space="preserve">The </w:t>
      </w:r>
      <w:r w:rsidR="005A75BA">
        <w:rPr>
          <w:lang w:val="en-GB"/>
        </w:rPr>
        <w:t xml:space="preserve">granularity of N PRBs/RBGs can be </w:t>
      </w:r>
      <w:r w:rsidR="00767DE2">
        <w:rPr>
          <w:lang w:val="en-GB"/>
        </w:rPr>
        <w:t>configurable</w:t>
      </w:r>
      <w:r w:rsidR="005A75BA">
        <w:rPr>
          <w:lang w:val="en-GB"/>
        </w:rPr>
        <w:t>.</w:t>
      </w:r>
      <w:bookmarkEnd w:id="17"/>
      <w:bookmarkEnd w:id="18"/>
      <w:bookmarkEnd w:id="19"/>
      <w:bookmarkEnd w:id="20"/>
      <w:bookmarkEnd w:id="21"/>
      <w:bookmarkEnd w:id="22"/>
    </w:p>
    <w:p w14:paraId="20758501" w14:textId="391C444D" w:rsidR="006120D1" w:rsidRDefault="006120D1" w:rsidP="006120D1">
      <w:pPr>
        <w:rPr>
          <w:lang w:val="en-GB"/>
        </w:rPr>
      </w:pPr>
      <w:r>
        <w:rPr>
          <w:lang w:val="en-GB"/>
        </w:rPr>
        <w:t xml:space="preserve">In IAB Rel-16, it was specified to allow the IAB-DU to use a soft </w:t>
      </w:r>
      <w:r w:rsidR="00552EC0">
        <w:rPr>
          <w:lang w:val="en-GB"/>
        </w:rPr>
        <w:t>symbol</w:t>
      </w:r>
      <w:r>
        <w:rPr>
          <w:lang w:val="en-GB"/>
        </w:rPr>
        <w:t xml:space="preserve"> only if</w:t>
      </w:r>
    </w:p>
    <w:p w14:paraId="577C4BE2" w14:textId="39D2F876" w:rsidR="006120D1" w:rsidRPr="00552EC0" w:rsidRDefault="006120D1" w:rsidP="006120D1">
      <w:pPr>
        <w:pStyle w:val="B1"/>
        <w:numPr>
          <w:ilvl w:val="0"/>
          <w:numId w:val="44"/>
        </w:numPr>
        <w:rPr>
          <w:i/>
          <w:iCs/>
        </w:rPr>
      </w:pPr>
      <w:r w:rsidRPr="00552EC0">
        <w:rPr>
          <w:i/>
          <w:iCs/>
        </w:rPr>
        <w:t>the IAB-MT does not transmit or receive in the symbol, or</w:t>
      </w:r>
    </w:p>
    <w:p w14:paraId="5677F2BE" w14:textId="2A6EB0FC" w:rsidR="006120D1" w:rsidRPr="00552EC0" w:rsidRDefault="006120D1" w:rsidP="006120D1">
      <w:pPr>
        <w:pStyle w:val="B1"/>
        <w:numPr>
          <w:ilvl w:val="0"/>
          <w:numId w:val="44"/>
        </w:numPr>
        <w:rPr>
          <w:i/>
          <w:iCs/>
        </w:rPr>
      </w:pPr>
      <w:r w:rsidRPr="00552EC0">
        <w:rPr>
          <w:i/>
          <w:iCs/>
        </w:rPr>
        <w:t>the IAB-MT would transmit or receive in the symbol, and the transmission or reception in the symbol is not changed due to a use of the symbol by the IAB-DU, or</w:t>
      </w:r>
    </w:p>
    <w:p w14:paraId="52A85477" w14:textId="54101567" w:rsidR="006120D1" w:rsidRPr="00552EC0" w:rsidRDefault="006120D1" w:rsidP="006120D1">
      <w:pPr>
        <w:pStyle w:val="B1"/>
        <w:numPr>
          <w:ilvl w:val="0"/>
          <w:numId w:val="44"/>
        </w:numPr>
        <w:rPr>
          <w:i/>
          <w:iCs/>
        </w:rPr>
      </w:pPr>
      <w:r w:rsidRPr="00552EC0">
        <w:rPr>
          <w:i/>
          <w:iCs/>
        </w:rPr>
        <w:t xml:space="preserve">the IAB-MT detects a DCI format 2_5 with an </w:t>
      </w:r>
      <w:r w:rsidRPr="00552EC0">
        <w:rPr>
          <w:i/>
          <w:iCs/>
          <w:lang w:eastAsia="zh-CN"/>
        </w:rPr>
        <w:t xml:space="preserve">AI index field value </w:t>
      </w:r>
      <w:r w:rsidRPr="00552EC0">
        <w:rPr>
          <w:i/>
          <w:iCs/>
        </w:rPr>
        <w:t>indicating the soft symbol as available.</w:t>
      </w:r>
    </w:p>
    <w:p w14:paraId="1EBD3339" w14:textId="453B30CE" w:rsidR="006120D1" w:rsidRDefault="006120D1" w:rsidP="006120D1">
      <w:pPr>
        <w:rPr>
          <w:lang w:val="en-GB"/>
        </w:rPr>
      </w:pPr>
      <w:r>
        <w:rPr>
          <w:lang w:val="en-GB"/>
        </w:rPr>
        <w:t xml:space="preserve">The first condition is for IAB nodes capable of performing TDM only. The second condition is applicable to enhanced IAB nodes capable of FDM and/or SDM to perform non-TDM multiplexing on a </w:t>
      </w:r>
      <w:r w:rsidR="00377A0F">
        <w:rPr>
          <w:lang w:val="en-GB"/>
        </w:rPr>
        <w:t>‘</w:t>
      </w:r>
      <w:r>
        <w:rPr>
          <w:lang w:val="en-GB"/>
        </w:rPr>
        <w:t>best-effort</w:t>
      </w:r>
      <w:r w:rsidR="00377A0F">
        <w:rPr>
          <w:lang w:val="en-GB"/>
        </w:rPr>
        <w:t>’</w:t>
      </w:r>
      <w:r>
        <w:rPr>
          <w:lang w:val="en-GB"/>
        </w:rPr>
        <w:t xml:space="preserve"> basis. The third condition allows the IAB node to use resources for communication with a child node without a concern for multiplexing constraints.</w:t>
      </w:r>
    </w:p>
    <w:p w14:paraId="5B62CAF3" w14:textId="7B5CB33F" w:rsidR="006120D1" w:rsidRDefault="006120D1" w:rsidP="006120D1">
      <w:pPr>
        <w:rPr>
          <w:lang w:val="en-GB"/>
        </w:rPr>
      </w:pPr>
      <w:r>
        <w:rPr>
          <w:lang w:val="en-GB"/>
        </w:rPr>
        <w:t>The above specification works well for TDM between upstream and downstream communications – the IAB node receives explicit indication of availability of soft resources in a guaranteed manner, while it can still perform non-TDM multiplexing based on a best-effort approach. That, however, is not sufficient for enhanced duplexing. On the one hand, the best-effort approach for non-TDM mode of operation does not guarantee a performance improvement, and on the other hand, relying on the IAB node’s capability to perform non-TDM operations may change frequently and unpredictably in the presence of varying beam, power, and interference and in the presence of timing alignment constraints.</w:t>
      </w:r>
    </w:p>
    <w:p w14:paraId="7810C3C9" w14:textId="77777777" w:rsidR="006120D1" w:rsidRDefault="006120D1" w:rsidP="006120D1">
      <w:pPr>
        <w:pStyle w:val="Observation"/>
      </w:pPr>
      <w:bookmarkStart w:id="23" w:name="_Toc61541141"/>
      <w:bookmarkStart w:id="24" w:name="_Toc61541301"/>
      <w:bookmarkStart w:id="25" w:name="_Toc61544527"/>
      <w:bookmarkStart w:id="26" w:name="_Toc61544619"/>
      <w:bookmarkStart w:id="27" w:name="_Toc61544625"/>
      <w:bookmarkStart w:id="28" w:name="_Toc61544696"/>
      <w:bookmarkStart w:id="29" w:name="_Toc61547537"/>
      <w:bookmarkStart w:id="30" w:name="_Toc61559096"/>
      <w:bookmarkStart w:id="31" w:name="_Toc61559319"/>
      <w:bookmarkStart w:id="32" w:name="_Toc61854477"/>
      <w:bookmarkStart w:id="33" w:name="_Toc61895527"/>
      <w:bookmarkStart w:id="34" w:name="_Toc61895645"/>
      <w:bookmarkStart w:id="35" w:name="_Toc68553147"/>
      <w:bookmarkStart w:id="36" w:name="_Toc68604758"/>
      <w:bookmarkStart w:id="37" w:name="_Toc68608868"/>
      <w:bookmarkStart w:id="38" w:name="_Toc68611502"/>
      <w:bookmarkStart w:id="39" w:name="_Toc68621486"/>
      <w:bookmarkStart w:id="40" w:name="_Toc68645550"/>
      <w:r w:rsidRPr="00F42C2D">
        <w:t>The best-effort approach is insufficient for non-TDM operation in the presence of varying beam, power, interference, and timing alignment constraints.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633EB5C" w14:textId="77777777" w:rsidR="006120D1" w:rsidRDefault="006120D1" w:rsidP="006120D1">
      <w:pPr>
        <w:pStyle w:val="Observation"/>
      </w:pPr>
      <w:bookmarkStart w:id="41" w:name="_Toc61541142"/>
      <w:bookmarkStart w:id="42" w:name="_Toc61541302"/>
      <w:bookmarkStart w:id="43" w:name="_Toc61544528"/>
      <w:bookmarkStart w:id="44" w:name="_Toc61544620"/>
      <w:bookmarkStart w:id="45" w:name="_Toc61544626"/>
      <w:bookmarkStart w:id="46" w:name="_Toc61544697"/>
      <w:bookmarkStart w:id="47" w:name="_Toc61547538"/>
      <w:bookmarkStart w:id="48" w:name="_Toc61559097"/>
      <w:bookmarkStart w:id="49" w:name="_Toc61559320"/>
      <w:bookmarkStart w:id="50" w:name="_Toc61854478"/>
      <w:bookmarkStart w:id="51" w:name="_Toc61895528"/>
      <w:bookmarkStart w:id="52" w:name="_Toc61895646"/>
      <w:bookmarkStart w:id="53" w:name="_Toc68553148"/>
      <w:bookmarkStart w:id="54" w:name="_Toc68604759"/>
      <w:bookmarkStart w:id="55" w:name="_Toc68608869"/>
      <w:bookmarkStart w:id="56" w:name="_Toc68611503"/>
      <w:bookmarkStart w:id="57" w:name="_Toc68621487"/>
      <w:bookmarkStart w:id="58" w:name="_Toc68645551"/>
      <w:r>
        <w:t>When non-TDM multiplexing between upstream and downstream links are intended, sending availability indication for IAB-DU resources solely based on IAB node’s non-TDM capability may result in shortage of resources for IAB-MT due to beamforming, power, interference, or timing alignment constraints at a moment.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1E7ECBE4" w14:textId="7A838C3B" w:rsidR="003D1529" w:rsidRDefault="006120D1" w:rsidP="006120D1">
      <w:pPr>
        <w:rPr>
          <w:lang w:val="en-GB"/>
        </w:rPr>
      </w:pPr>
      <w:r>
        <w:rPr>
          <w:lang w:val="en-GB"/>
        </w:rPr>
        <w:t xml:space="preserve">Therefore, we propose to </w:t>
      </w:r>
      <w:r w:rsidR="005A2219">
        <w:rPr>
          <w:lang w:val="en-GB"/>
        </w:rPr>
        <w:t xml:space="preserve">support availability indication of soft resources </w:t>
      </w:r>
      <w:r>
        <w:rPr>
          <w:lang w:val="en-GB"/>
        </w:rPr>
        <w:t>where</w:t>
      </w:r>
      <w:r w:rsidR="00552EC0">
        <w:rPr>
          <w:lang w:val="en-GB"/>
        </w:rPr>
        <w:t>by</w:t>
      </w:r>
      <w:r>
        <w:rPr>
          <w:lang w:val="en-GB"/>
        </w:rPr>
        <w:t xml:space="preserve"> the IAB node can use </w:t>
      </w:r>
      <w:r w:rsidR="005A2219">
        <w:rPr>
          <w:lang w:val="en-GB"/>
        </w:rPr>
        <w:t xml:space="preserve">the </w:t>
      </w:r>
      <w:r>
        <w:rPr>
          <w:lang w:val="en-GB"/>
        </w:rPr>
        <w:t xml:space="preserve">soft resources only </w:t>
      </w:r>
      <w:r w:rsidR="00552EC0">
        <w:rPr>
          <w:lang w:val="en-GB"/>
        </w:rPr>
        <w:t>when</w:t>
      </w:r>
      <w:r>
        <w:rPr>
          <w:lang w:val="en-GB"/>
        </w:rPr>
        <w:t xml:space="preserve"> it is able to perform non-TDM with an IAB-MT operation.</w:t>
      </w:r>
    </w:p>
    <w:p w14:paraId="4F12D4AB" w14:textId="29C6C8FC" w:rsidR="006120D1" w:rsidRPr="006120D1" w:rsidRDefault="006120D1" w:rsidP="00A51664">
      <w:pPr>
        <w:pStyle w:val="Proposal"/>
      </w:pPr>
      <w:bookmarkStart w:id="59" w:name="_Toc61541285"/>
      <w:bookmarkStart w:id="60" w:name="_Toc61541337"/>
      <w:bookmarkStart w:id="61" w:name="_Toc61544628"/>
      <w:bookmarkStart w:id="62" w:name="_Toc61547545"/>
      <w:bookmarkStart w:id="63" w:name="_Toc61559090"/>
      <w:bookmarkStart w:id="64" w:name="_Toc61559327"/>
      <w:bookmarkStart w:id="65" w:name="_Toc61854473"/>
      <w:bookmarkStart w:id="66" w:name="_Toc61858380"/>
      <w:bookmarkStart w:id="67" w:name="_Toc61858814"/>
      <w:bookmarkStart w:id="68" w:name="_Toc61859145"/>
      <w:bookmarkStart w:id="69" w:name="_Toc61895539"/>
      <w:bookmarkStart w:id="70" w:name="_Toc61895641"/>
      <w:bookmarkStart w:id="71" w:name="_Toc68553152"/>
      <w:bookmarkStart w:id="72" w:name="_Toc68604763"/>
      <w:bookmarkStart w:id="73" w:name="_Toc68608874"/>
      <w:bookmarkStart w:id="74" w:name="_Toc68611506"/>
      <w:bookmarkStart w:id="75" w:name="_Toc68621471"/>
      <w:bookmarkStart w:id="76" w:name="_Toc68645542"/>
      <w:r w:rsidRPr="00A51664">
        <w:rPr>
          <w:lang w:val="en-GB"/>
        </w:rPr>
        <w:t xml:space="preserve">Support conditional availability indication as a </w:t>
      </w:r>
      <w:r w:rsidR="00163EAD" w:rsidRPr="00A51664">
        <w:rPr>
          <w:lang w:val="en-GB"/>
        </w:rPr>
        <w:t xml:space="preserve">balance </w:t>
      </w:r>
      <w:r w:rsidRPr="00A51664">
        <w:rPr>
          <w:lang w:val="en-GB"/>
        </w:rPr>
        <w:t xml:space="preserve">between </w:t>
      </w:r>
      <w:r w:rsidR="003E363C" w:rsidRPr="00A51664">
        <w:rPr>
          <w:lang w:val="en-GB"/>
        </w:rPr>
        <w:t xml:space="preserve">existing </w:t>
      </w:r>
      <w:r w:rsidRPr="00A51664">
        <w:rPr>
          <w:lang w:val="en-GB"/>
        </w:rPr>
        <w:t xml:space="preserve">best-effort non-TDM </w:t>
      </w:r>
      <w:r w:rsidR="003E363C" w:rsidRPr="00A51664">
        <w:rPr>
          <w:lang w:val="en-GB"/>
        </w:rPr>
        <w:t xml:space="preserve">and TDM-only </w:t>
      </w:r>
      <w:r w:rsidRPr="00A51664">
        <w:rPr>
          <w:lang w:val="en-GB"/>
        </w:rPr>
        <w:t>availability indication.</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B2AB82A" w14:textId="77777777" w:rsidR="00DD1C2A" w:rsidRDefault="00DD1C2A" w:rsidP="00DD1C2A">
      <w:pPr>
        <w:pStyle w:val="Heading2"/>
      </w:pPr>
      <w:r>
        <w:t>Spatial domain</w:t>
      </w:r>
    </w:p>
    <w:p w14:paraId="08DDC29F" w14:textId="73D8C431" w:rsidR="00DD1C2A" w:rsidRDefault="00DD1C2A" w:rsidP="00DD1C2A">
      <w:pPr>
        <w:rPr>
          <w:lang w:val="en-GB"/>
        </w:rPr>
      </w:pPr>
      <w:r>
        <w:rPr>
          <w:lang w:val="en-GB"/>
        </w:rPr>
        <w:t xml:space="preserve">Discussion on spatial-domain enhancements in the </w:t>
      </w:r>
      <w:r w:rsidR="00BF28C2">
        <w:rPr>
          <w:lang w:val="en-GB"/>
        </w:rPr>
        <w:t>last</w:t>
      </w:r>
      <w:r>
        <w:rPr>
          <w:lang w:val="en-GB"/>
        </w:rPr>
        <w:t xml:space="preserve"> meeting led to the following agreement [</w:t>
      </w:r>
      <w:r w:rsidR="00B455F9">
        <w:rPr>
          <w:lang w:val="en-GB"/>
        </w:rPr>
        <w:t>2</w:t>
      </w:r>
      <w:r>
        <w:rPr>
          <w:lang w:val="en-GB"/>
        </w:rPr>
        <w:t>]:</w:t>
      </w:r>
    </w:p>
    <w:p w14:paraId="215D59A7" w14:textId="77777777" w:rsidR="00DD1C2A" w:rsidRPr="00DD1C2A" w:rsidRDefault="00DD1C2A" w:rsidP="00DD1C2A">
      <w:pPr>
        <w:rPr>
          <w:rStyle w:val="Strong"/>
          <w:rFonts w:cs="Times"/>
          <w:i/>
          <w:iCs/>
          <w:color w:val="000000"/>
        </w:rPr>
      </w:pPr>
      <w:r w:rsidRPr="00DD1C2A">
        <w:rPr>
          <w:rFonts w:cs="Times"/>
          <w:b/>
          <w:bCs/>
          <w:i/>
          <w:iCs/>
          <w:szCs w:val="20"/>
          <w:highlight w:val="green"/>
          <w:lang w:eastAsia="zh-CN"/>
        </w:rPr>
        <w:t>Agreement</w:t>
      </w:r>
    </w:p>
    <w:p w14:paraId="15450DA6" w14:textId="77777777" w:rsidR="00DD1C2A" w:rsidRPr="00DD1C2A" w:rsidRDefault="00DD1C2A" w:rsidP="00DD1C2A">
      <w:pPr>
        <w:rPr>
          <w:rFonts w:cs="Times"/>
          <w:i/>
          <w:iCs/>
          <w:lang w:eastAsia="zh-CN"/>
        </w:rPr>
      </w:pPr>
      <w:r w:rsidRPr="00DD1C2A">
        <w:rPr>
          <w:rFonts w:cs="Times"/>
          <w:i/>
          <w:iCs/>
          <w:szCs w:val="20"/>
          <w:lang w:eastAsia="zh-CN"/>
        </w:rPr>
        <w:t>Further study whether/how to manage resources in the spatial domain. Candidate solutions are:</w:t>
      </w:r>
    </w:p>
    <w:p w14:paraId="152952B4" w14:textId="77777777" w:rsidR="00DD1C2A" w:rsidRPr="00DD1C2A" w:rsidRDefault="00DD1C2A" w:rsidP="00DD1C2A">
      <w:pPr>
        <w:numPr>
          <w:ilvl w:val="0"/>
          <w:numId w:val="49"/>
        </w:numPr>
        <w:spacing w:after="0" w:line="240" w:lineRule="auto"/>
        <w:rPr>
          <w:rFonts w:cs="Times"/>
          <w:i/>
          <w:iCs/>
          <w:szCs w:val="20"/>
          <w:lang w:eastAsia="zh-CN"/>
        </w:rPr>
      </w:pPr>
      <w:r w:rsidRPr="00DD1C2A">
        <w:rPr>
          <w:rFonts w:cs="Times"/>
          <w:i/>
          <w:iCs/>
          <w:szCs w:val="20"/>
          <w:lang w:eastAsia="zh-CN"/>
        </w:rPr>
        <w:t>Dynamic signaling between parent and child nodes for using/restricting/sharing antenna panels/beams</w:t>
      </w:r>
    </w:p>
    <w:p w14:paraId="6D567C1C" w14:textId="77777777" w:rsidR="00DD1C2A" w:rsidRPr="00DD1C2A" w:rsidRDefault="00DD1C2A" w:rsidP="00DD1C2A">
      <w:pPr>
        <w:numPr>
          <w:ilvl w:val="0"/>
          <w:numId w:val="49"/>
        </w:numPr>
        <w:spacing w:after="0" w:line="240" w:lineRule="auto"/>
        <w:rPr>
          <w:rFonts w:cs="Times"/>
          <w:i/>
          <w:iCs/>
          <w:szCs w:val="20"/>
          <w:lang w:eastAsia="zh-CN"/>
        </w:rPr>
      </w:pPr>
      <w:r w:rsidRPr="00DD1C2A">
        <w:rPr>
          <w:rFonts w:cs="Times"/>
          <w:i/>
          <w:iCs/>
          <w:szCs w:val="20"/>
          <w:lang w:eastAsia="zh-CN"/>
        </w:rPr>
        <w:t>Beam management / multi-panel enhancements for simultaneous operations</w:t>
      </w:r>
    </w:p>
    <w:p w14:paraId="29E42B45" w14:textId="77777777" w:rsidR="00DD1C2A" w:rsidRPr="00DD1C2A" w:rsidRDefault="00DD1C2A" w:rsidP="00DD1C2A">
      <w:pPr>
        <w:numPr>
          <w:ilvl w:val="0"/>
          <w:numId w:val="49"/>
        </w:numPr>
        <w:spacing w:after="0" w:line="240" w:lineRule="auto"/>
        <w:rPr>
          <w:rFonts w:cs="Times"/>
          <w:i/>
          <w:iCs/>
          <w:szCs w:val="20"/>
          <w:lang w:eastAsia="zh-CN"/>
        </w:rPr>
      </w:pPr>
      <w:r w:rsidRPr="00DD1C2A">
        <w:rPr>
          <w:rFonts w:cs="Times"/>
          <w:i/>
          <w:iCs/>
          <w:szCs w:val="20"/>
          <w:lang w:eastAsia="zh-CN"/>
        </w:rPr>
        <w:lastRenderedPageBreak/>
        <w:t>Extension of H/S/NA resource indication to the spatial domain</w:t>
      </w:r>
    </w:p>
    <w:p w14:paraId="34E3C730" w14:textId="4A192D1C" w:rsidR="00DD1C2A" w:rsidRDefault="00DD1C2A" w:rsidP="00DD1C2A">
      <w:pPr>
        <w:rPr>
          <w:lang w:val="en-GB"/>
        </w:rPr>
      </w:pPr>
      <w:r w:rsidRPr="00DD1C2A">
        <w:rPr>
          <w:rFonts w:cs="Times"/>
          <w:i/>
          <w:iCs/>
          <w:szCs w:val="20"/>
          <w:lang w:eastAsia="zh-CN"/>
        </w:rPr>
        <w:t>Other solutions are not precluded.</w:t>
      </w:r>
    </w:p>
    <w:p w14:paraId="3DBBB4E7" w14:textId="65424D88" w:rsidR="00AB3B95" w:rsidRPr="00AB3B95" w:rsidRDefault="00AB3B95" w:rsidP="00A51664">
      <w:pPr>
        <w:spacing w:before="120"/>
        <w:rPr>
          <w:b/>
          <w:bCs/>
          <w:lang w:val="en-GB"/>
        </w:rPr>
      </w:pPr>
      <w:r>
        <w:rPr>
          <w:b/>
          <w:bCs/>
          <w:lang w:val="en-GB"/>
        </w:rPr>
        <w:t>Outstanding i</w:t>
      </w:r>
      <w:r w:rsidRPr="00AB3B95">
        <w:rPr>
          <w:b/>
          <w:bCs/>
          <w:lang w:val="en-GB"/>
        </w:rPr>
        <w:t>ssues:</w:t>
      </w:r>
    </w:p>
    <w:p w14:paraId="6275F52E" w14:textId="774B673F" w:rsidR="0004274B" w:rsidRDefault="0004274B" w:rsidP="0004274B">
      <w:pPr>
        <w:rPr>
          <w:lang w:val="en-GB"/>
        </w:rPr>
      </w:pPr>
      <w:r>
        <w:rPr>
          <w:lang w:val="en-GB"/>
        </w:rPr>
        <w:t>A</w:t>
      </w:r>
      <w:r w:rsidR="0024379E">
        <w:rPr>
          <w:lang w:val="en-GB"/>
        </w:rPr>
        <w:t xml:space="preserve"> main issue discussed</w:t>
      </w:r>
      <w:r w:rsidR="00216B3C">
        <w:rPr>
          <w:lang w:val="en-GB"/>
        </w:rPr>
        <w:t xml:space="preserve"> in the last meeting</w:t>
      </w:r>
      <w:r w:rsidR="0024379E">
        <w:rPr>
          <w:lang w:val="en-GB"/>
        </w:rPr>
        <w:t xml:space="preserve"> without a conclusion is whether the H/S/NA resource indication framework is appropriate for the spatial domain. As proposed earlier in this paper, the framework</w:t>
      </w:r>
      <w:r w:rsidR="00216B3C">
        <w:rPr>
          <w:lang w:val="en-GB"/>
        </w:rPr>
        <w:t xml:space="preserve"> </w:t>
      </w:r>
      <w:r w:rsidR="0024379E">
        <w:rPr>
          <w:lang w:val="en-GB"/>
        </w:rPr>
        <w:t xml:space="preserve">can increase flexibility of resource management </w:t>
      </w:r>
      <w:r w:rsidR="00216B3C">
        <w:rPr>
          <w:lang w:val="en-GB"/>
        </w:rPr>
        <w:t xml:space="preserve">if extended to </w:t>
      </w:r>
      <w:r w:rsidR="0024379E">
        <w:rPr>
          <w:lang w:val="en-GB"/>
        </w:rPr>
        <w:t>the frequency-domain</w:t>
      </w:r>
      <w:r w:rsidR="00216B3C">
        <w:rPr>
          <w:lang w:val="en-GB"/>
        </w:rPr>
        <w:t xml:space="preserve"> (with modifications)</w:t>
      </w:r>
      <w:r w:rsidR="0024379E">
        <w:rPr>
          <w:lang w:val="en-GB"/>
        </w:rPr>
        <w:t>.</w:t>
      </w:r>
      <w:r>
        <w:rPr>
          <w:lang w:val="en-GB"/>
        </w:rPr>
        <w:t xml:space="preserve"> </w:t>
      </w:r>
      <w:r w:rsidR="0024379E">
        <w:rPr>
          <w:lang w:val="en-GB"/>
        </w:rPr>
        <w:t>However, due to fundamental differences</w:t>
      </w:r>
      <w:r w:rsidR="00216B3C">
        <w:rPr>
          <w:lang w:val="en-GB"/>
        </w:rPr>
        <w:t xml:space="preserve"> between how signals are defined in NR in time-frequency domains versus the spatial domain, extension of the H/S/NA framework to the spatial domain does not seem </w:t>
      </w:r>
      <w:r w:rsidR="00164961">
        <w:rPr>
          <w:lang w:val="en-GB"/>
        </w:rPr>
        <w:t>advantageous</w:t>
      </w:r>
      <w:r w:rsidR="00216B3C">
        <w:rPr>
          <w:lang w:val="en-GB"/>
        </w:rPr>
        <w:t xml:space="preserve"> immediately.</w:t>
      </w:r>
    </w:p>
    <w:p w14:paraId="39A78B0F" w14:textId="43CA1BA8" w:rsidR="00216B3C" w:rsidRDefault="00216B3C" w:rsidP="0004274B">
      <w:pPr>
        <w:rPr>
          <w:lang w:val="en-GB"/>
        </w:rPr>
      </w:pPr>
      <w:r>
        <w:rPr>
          <w:lang w:val="en-GB"/>
        </w:rPr>
        <w:t>One main difference is that time-frequency resources are defined at the signal level</w:t>
      </w:r>
      <w:r w:rsidR="0004274B">
        <w:rPr>
          <w:lang w:val="en-GB"/>
        </w:rPr>
        <w:t xml:space="preserve"> in NR</w:t>
      </w:r>
      <w:r>
        <w:rPr>
          <w:lang w:val="en-GB"/>
        </w:rPr>
        <w:t>, while in contrast, spatial</w:t>
      </w:r>
      <w:r w:rsidR="0004274B">
        <w:rPr>
          <w:lang w:val="en-GB"/>
        </w:rPr>
        <w:t>-domain resources (</w:t>
      </w:r>
      <w:r w:rsidR="000B441A">
        <w:rPr>
          <w:lang w:val="en-GB"/>
        </w:rPr>
        <w:t xml:space="preserve">provided by antennas, </w:t>
      </w:r>
      <w:r w:rsidR="0004274B">
        <w:rPr>
          <w:lang w:val="en-GB"/>
        </w:rPr>
        <w:t xml:space="preserve">RF </w:t>
      </w:r>
      <w:r w:rsidR="000B441A">
        <w:rPr>
          <w:lang w:val="en-GB"/>
        </w:rPr>
        <w:t xml:space="preserve">and </w:t>
      </w:r>
      <w:r w:rsidR="00164961">
        <w:rPr>
          <w:lang w:val="en-GB"/>
        </w:rPr>
        <w:t>analog</w:t>
      </w:r>
      <w:r w:rsidR="000B441A">
        <w:rPr>
          <w:lang w:val="en-GB"/>
        </w:rPr>
        <w:t xml:space="preserve"> beamforming </w:t>
      </w:r>
      <w:r w:rsidR="0004274B">
        <w:rPr>
          <w:lang w:val="en-GB"/>
        </w:rPr>
        <w:t>circuitry</w:t>
      </w:r>
      <w:r w:rsidR="000B441A">
        <w:rPr>
          <w:lang w:val="en-GB"/>
        </w:rPr>
        <w:t>,</w:t>
      </w:r>
      <w:r w:rsidR="0004274B">
        <w:rPr>
          <w:lang w:val="en-GB"/>
        </w:rPr>
        <w:t xml:space="preserve"> </w:t>
      </w:r>
      <w:r w:rsidR="000B441A">
        <w:rPr>
          <w:lang w:val="en-GB"/>
        </w:rPr>
        <w:t>etc.</w:t>
      </w:r>
      <w:r w:rsidR="0004274B">
        <w:rPr>
          <w:lang w:val="en-GB"/>
        </w:rPr>
        <w:t>) are handled</w:t>
      </w:r>
      <w:r>
        <w:rPr>
          <w:lang w:val="en-GB"/>
        </w:rPr>
        <w:t xml:space="preserve"> by QCL relationships. Another difference is that time-frequency resources </w:t>
      </w:r>
      <w:r w:rsidR="0004274B">
        <w:rPr>
          <w:lang w:val="en-GB"/>
        </w:rPr>
        <w:t xml:space="preserve">are </w:t>
      </w:r>
      <w:r>
        <w:rPr>
          <w:lang w:val="en-GB"/>
        </w:rPr>
        <w:t>con</w:t>
      </w:r>
      <w:r w:rsidR="0004274B">
        <w:rPr>
          <w:lang w:val="en-GB"/>
        </w:rPr>
        <w:t>figured</w:t>
      </w:r>
      <w:r>
        <w:rPr>
          <w:lang w:val="en-GB"/>
        </w:rPr>
        <w:t xml:space="preserve"> </w:t>
      </w:r>
      <w:r w:rsidR="000B441A">
        <w:rPr>
          <w:lang w:val="en-GB"/>
        </w:rPr>
        <w:t xml:space="preserve">and managed </w:t>
      </w:r>
      <w:r>
        <w:rPr>
          <w:lang w:val="en-GB"/>
        </w:rPr>
        <w:t xml:space="preserve">by </w:t>
      </w:r>
      <w:r w:rsidR="0004274B">
        <w:rPr>
          <w:lang w:val="en-GB"/>
        </w:rPr>
        <w:t>the RRC, while s</w:t>
      </w:r>
      <w:r>
        <w:rPr>
          <w:lang w:val="en-GB"/>
        </w:rPr>
        <w:t>patial</w:t>
      </w:r>
      <w:r w:rsidR="0004274B">
        <w:rPr>
          <w:lang w:val="en-GB"/>
        </w:rPr>
        <w:t xml:space="preserve"> </w:t>
      </w:r>
      <w:r>
        <w:rPr>
          <w:lang w:val="en-GB"/>
        </w:rPr>
        <w:t>resources</w:t>
      </w:r>
      <w:r w:rsidR="0004274B">
        <w:rPr>
          <w:lang w:val="en-GB"/>
        </w:rPr>
        <w:t xml:space="preserve"> are mainly handled by ‘local’ L1/L2 </w:t>
      </w:r>
      <w:r w:rsidR="00164961">
        <w:rPr>
          <w:lang w:val="en-GB"/>
        </w:rPr>
        <w:t>signalling</w:t>
      </w:r>
      <w:r w:rsidR="0004274B">
        <w:rPr>
          <w:lang w:val="en-GB"/>
        </w:rPr>
        <w:t>.</w:t>
      </w:r>
    </w:p>
    <w:p w14:paraId="1C34E1BF" w14:textId="6CFC6FB7" w:rsidR="0004274B" w:rsidRDefault="0004274B" w:rsidP="00DD1C2A">
      <w:pPr>
        <w:rPr>
          <w:lang w:val="en-GB"/>
        </w:rPr>
      </w:pPr>
      <w:r>
        <w:rPr>
          <w:lang w:val="en-GB"/>
        </w:rPr>
        <w:t xml:space="preserve">An H/S/NA resource indication would include a configuration of ‘spatial resources’ as hard, soft, or unavailable/NA by the IAB-CU, </w:t>
      </w:r>
      <w:r w:rsidR="000B441A">
        <w:rPr>
          <w:lang w:val="en-GB"/>
        </w:rPr>
        <w:t>followed by</w:t>
      </w:r>
      <w:r>
        <w:rPr>
          <w:lang w:val="en-GB"/>
        </w:rPr>
        <w:t xml:space="preserve"> availability indication </w:t>
      </w:r>
      <w:r w:rsidR="00164961">
        <w:rPr>
          <w:lang w:val="en-GB"/>
        </w:rPr>
        <w:t>signalling</w:t>
      </w:r>
      <w:r>
        <w:rPr>
          <w:lang w:val="en-GB"/>
        </w:rPr>
        <w:t xml:space="preserve"> by IAB-DUs.</w:t>
      </w:r>
      <w:r w:rsidR="00B93CF1">
        <w:rPr>
          <w:lang w:val="en-GB"/>
        </w:rPr>
        <w:t xml:space="preserve"> Instead, we propose a </w:t>
      </w:r>
      <w:r w:rsidR="00EC4604">
        <w:rPr>
          <w:lang w:val="en-GB"/>
        </w:rPr>
        <w:t>framework with the following main differences.</w:t>
      </w:r>
    </w:p>
    <w:p w14:paraId="401CD9DA" w14:textId="596C3116" w:rsidR="00EC4604" w:rsidRDefault="000B441A" w:rsidP="00DD1C2A">
      <w:pPr>
        <w:rPr>
          <w:lang w:val="en-GB"/>
        </w:rPr>
      </w:pPr>
      <w:r>
        <w:rPr>
          <w:lang w:val="en-GB"/>
        </w:rPr>
        <w:t xml:space="preserve">First, it is not straight-forward to see how hard and unavailable resource types at the spatial domain would be best configured by the IAB-CU, especially in the case of mobile IAB with varying best panels and beams. Instead, configurations may merely enable dynamic </w:t>
      </w:r>
      <w:r w:rsidR="00164961">
        <w:rPr>
          <w:lang w:val="en-GB"/>
        </w:rPr>
        <w:t>signalling</w:t>
      </w:r>
      <w:r>
        <w:rPr>
          <w:lang w:val="en-GB"/>
        </w:rPr>
        <w:t xml:space="preserve"> for managing ‘spatial resources’ in the case that all the IAB nodes involved support the feature.</w:t>
      </w:r>
    </w:p>
    <w:p w14:paraId="62B6EEAA" w14:textId="2C27A0FE" w:rsidR="00AA70B8" w:rsidRDefault="000B441A" w:rsidP="00164961">
      <w:pPr>
        <w:rPr>
          <w:lang w:val="en-GB"/>
        </w:rPr>
      </w:pPr>
      <w:r>
        <w:rPr>
          <w:lang w:val="en-GB"/>
        </w:rPr>
        <w:t xml:space="preserve">Second, </w:t>
      </w:r>
      <w:r w:rsidR="00053AB5">
        <w:rPr>
          <w:lang w:val="en-GB"/>
        </w:rPr>
        <w:t xml:space="preserve">depending on IAB node spatial-domain capability, applicability of enhanced multiplexing (see Section 2.3), and/or configurations, the dynamic </w:t>
      </w:r>
      <w:r w:rsidR="00164961">
        <w:rPr>
          <w:lang w:val="en-GB"/>
        </w:rPr>
        <w:t>signalling</w:t>
      </w:r>
      <w:r w:rsidR="00053AB5">
        <w:rPr>
          <w:lang w:val="en-GB"/>
        </w:rPr>
        <w:t xml:space="preserve"> can deviate from the availability indication principles specified for TDM operation in Rel-16.</w:t>
      </w:r>
    </w:p>
    <w:p w14:paraId="3191E7DB" w14:textId="63F9EEAC" w:rsidR="00AB3B95" w:rsidRPr="00AB3B95" w:rsidRDefault="00AB3B95" w:rsidP="00DD1C2A">
      <w:pPr>
        <w:rPr>
          <w:b/>
          <w:bCs/>
          <w:lang w:val="en-GB"/>
        </w:rPr>
      </w:pPr>
      <w:r>
        <w:rPr>
          <w:b/>
          <w:bCs/>
          <w:lang w:val="en-GB"/>
        </w:rPr>
        <w:t>Discussion and s</w:t>
      </w:r>
      <w:r w:rsidRPr="00AB3B95">
        <w:rPr>
          <w:b/>
          <w:bCs/>
          <w:lang w:val="en-GB"/>
        </w:rPr>
        <w:t>olutions:</w:t>
      </w:r>
    </w:p>
    <w:p w14:paraId="41E7EF7C" w14:textId="0241CE3F" w:rsidR="00DD1C2A" w:rsidRPr="007E43A4" w:rsidRDefault="00790BD5" w:rsidP="00DD1C2A">
      <w:pPr>
        <w:rPr>
          <w:lang w:val="en-GB"/>
        </w:rPr>
      </w:pPr>
      <w:r>
        <w:rPr>
          <w:lang w:val="en-GB"/>
        </w:rPr>
        <w:t>W</w:t>
      </w:r>
      <w:r w:rsidR="00DD1C2A">
        <w:rPr>
          <w:lang w:val="en-GB"/>
        </w:rPr>
        <w:t>hen operating at FR2</w:t>
      </w:r>
      <w:r>
        <w:rPr>
          <w:lang w:val="en-GB"/>
        </w:rPr>
        <w:t>, c</w:t>
      </w:r>
      <w:r w:rsidR="00DD1C2A" w:rsidRPr="007E43A4">
        <w:rPr>
          <w:lang w:val="en-GB"/>
        </w:rPr>
        <w:t xml:space="preserve">ommunications of an IAB node with a single antenna panel (connected to a single RF chain) are spatially limited to one beam at a time. That means if two operations are scheduled simultaneously, the signals are constrained to </w:t>
      </w:r>
      <w:r w:rsidR="00DD1C2A">
        <w:rPr>
          <w:lang w:val="en-GB"/>
        </w:rPr>
        <w:t>be transmitted or received</w:t>
      </w:r>
      <w:r w:rsidR="00DD1C2A" w:rsidRPr="007E43A4">
        <w:rPr>
          <w:lang w:val="en-GB"/>
        </w:rPr>
        <w:t xml:space="preserve"> through </w:t>
      </w:r>
      <w:r w:rsidR="00DD1C2A">
        <w:rPr>
          <w:lang w:val="en-GB"/>
        </w:rPr>
        <w:t>a</w:t>
      </w:r>
      <w:r w:rsidR="00DD1C2A" w:rsidRPr="007E43A4">
        <w:rPr>
          <w:lang w:val="en-GB"/>
        </w:rPr>
        <w:t xml:space="preserve"> same beam.</w:t>
      </w:r>
    </w:p>
    <w:p w14:paraId="79DB3405" w14:textId="27778747" w:rsidR="00DD1C2A" w:rsidRDefault="00DD1C2A" w:rsidP="00DD1C2A">
      <w:bookmarkStart w:id="77" w:name="_Ref30690270"/>
      <w:bookmarkStart w:id="78" w:name="_Ref30690541"/>
      <w:r w:rsidRPr="007E43A4">
        <w:t xml:space="preserve">Communications of an IAB node with multiple antenna panels (each connected to a separate RF chain) are not limited to one beam, but </w:t>
      </w:r>
      <w:r w:rsidR="00790BD5">
        <w:t xml:space="preserve">an enhanced multiplexing case may still put spatial </w:t>
      </w:r>
      <w:r w:rsidRPr="007E43A4">
        <w:t>constraints</w:t>
      </w:r>
      <w:r w:rsidR="00790BD5">
        <w:t xml:space="preserve">, such as the example shown in </w:t>
      </w:r>
      <w:r>
        <w:fldChar w:fldCharType="begin"/>
      </w:r>
      <w:r>
        <w:instrText xml:space="preserve"> REF _Ref30691547 \r \h </w:instrText>
      </w:r>
      <w:r>
        <w:fldChar w:fldCharType="separate"/>
      </w:r>
      <w:r w:rsidR="00790BD5">
        <w:rPr>
          <w:rFonts w:hint="cs"/>
          <w:cs/>
        </w:rPr>
        <w:t>‎</w:t>
      </w:r>
      <w:r w:rsidR="00790BD5">
        <w:t>Figure 2</w:t>
      </w:r>
      <w:r>
        <w:fldChar w:fldCharType="end"/>
      </w:r>
      <w:r>
        <w:t>.</w:t>
      </w:r>
    </w:p>
    <w:p w14:paraId="6967AB0F" w14:textId="1A98CAC5" w:rsidR="00DD1C2A" w:rsidRDefault="006725EA" w:rsidP="00DD1C2A">
      <w:pPr>
        <w:pStyle w:val="Figure"/>
      </w:pPr>
      <w:r w:rsidRPr="006725EA">
        <w:rPr>
          <w:noProof/>
        </w:rPr>
        <w:drawing>
          <wp:inline distT="0" distB="0" distL="0" distR="0" wp14:anchorId="4F635F9D" wp14:editId="63976B12">
            <wp:extent cx="4251960" cy="2468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51960" cy="2468880"/>
                    </a:xfrm>
                    <a:prstGeom prst="rect">
                      <a:avLst/>
                    </a:prstGeom>
                    <a:noFill/>
                    <a:ln>
                      <a:noFill/>
                    </a:ln>
                  </pic:spPr>
                </pic:pic>
              </a:graphicData>
            </a:graphic>
          </wp:inline>
        </w:drawing>
      </w:r>
    </w:p>
    <w:p w14:paraId="491A5968" w14:textId="0F6C85BE" w:rsidR="00DD1C2A" w:rsidRPr="00785381" w:rsidRDefault="00DD1C2A" w:rsidP="00DD1C2A">
      <w:pPr>
        <w:pStyle w:val="Caption"/>
      </w:pPr>
      <w:bookmarkStart w:id="79" w:name="_Ref30691547"/>
      <w:r>
        <w:t xml:space="preserve">. </w:t>
      </w:r>
      <w:r w:rsidR="00AB3B95">
        <w:t>Panel/beam management for s</w:t>
      </w:r>
      <w:r>
        <w:t>imultaneous operation</w:t>
      </w:r>
      <w:r w:rsidR="00AB3B95">
        <w:t>s</w:t>
      </w:r>
      <w:bookmarkEnd w:id="79"/>
    </w:p>
    <w:p w14:paraId="63E7BEB6" w14:textId="409576D5" w:rsidR="00790BD5" w:rsidRDefault="00790BD5" w:rsidP="00DD1C2A">
      <w:r>
        <w:t>In this example, the IAB node has two antenna panels P1 and P2 that are shared for IAB-MT and IAB-DU functionalities. The IAB node is connected to a parent node and a child node that are spatially separated in this example. As a result, an antenna panel performing a TX/RX operation with the parent node may not be used for a simultaneous operation with the child node, and vice versa.</w:t>
      </w:r>
    </w:p>
    <w:p w14:paraId="12E4C765" w14:textId="7FA243BA" w:rsidR="00DD1C2A" w:rsidRDefault="00DD1C2A" w:rsidP="00DD1C2A">
      <w:r>
        <w:lastRenderedPageBreak/>
        <w:t xml:space="preserve">Suppose that the parent schedules a PDSCH to the IAB node. A TCI indication determines which of the two panels of </w:t>
      </w:r>
      <w:r w:rsidR="00790BD5">
        <w:t>the IAB node</w:t>
      </w:r>
      <w:r>
        <w:t xml:space="preserve"> are selected by </w:t>
      </w:r>
      <w:r w:rsidR="00790BD5">
        <w:t>the parent node</w:t>
      </w:r>
      <w:r>
        <w:t xml:space="preserve">. Since the PDSCH takes only one of the </w:t>
      </w:r>
      <w:r w:rsidR="00790BD5">
        <w:t xml:space="preserve">two antenna </w:t>
      </w:r>
      <w:r>
        <w:t xml:space="preserve">panels </w:t>
      </w:r>
      <w:r w:rsidR="00790BD5">
        <w:t>P1 and P2</w:t>
      </w:r>
      <w:r>
        <w:t xml:space="preserve">, the node can schedule a PUSCH from the child node </w:t>
      </w:r>
      <w:r w:rsidRPr="006E3A2D">
        <w:t>simultaneously.</w:t>
      </w:r>
      <w:r>
        <w:t xml:space="preserve"> </w:t>
      </w:r>
      <w:r w:rsidR="00790BD5">
        <w:t>I</w:t>
      </w:r>
      <w:r>
        <w:t xml:space="preserve">f </w:t>
      </w:r>
      <w:r w:rsidR="00790BD5">
        <w:t>the TCI state</w:t>
      </w:r>
      <w:r>
        <w:t xml:space="preserve"> indicates a beam from panel P1, </w:t>
      </w:r>
      <w:r w:rsidR="00790BD5">
        <w:t>the IAB node</w:t>
      </w:r>
      <w:r>
        <w:t xml:space="preserve"> will have panel P2 for communication with</w:t>
      </w:r>
      <w:r w:rsidR="00790BD5">
        <w:t xml:space="preserve"> the child node</w:t>
      </w:r>
      <w:r>
        <w:t>.</w:t>
      </w:r>
    </w:p>
    <w:p w14:paraId="6DC234A5" w14:textId="50A458B0" w:rsidR="00DD1C2A" w:rsidRDefault="00790BD5" w:rsidP="00DD1C2A">
      <w:r>
        <w:t>It can be seen that i</w:t>
      </w:r>
      <w:r w:rsidR="00DD1C2A">
        <w:t xml:space="preserve">f </w:t>
      </w:r>
      <w:r>
        <w:t>the IAB node</w:t>
      </w:r>
      <w:r w:rsidR="00DD1C2A">
        <w:t xml:space="preserve"> </w:t>
      </w:r>
      <w:r w:rsidR="00335C8D">
        <w:t>receives the TCI state indication i</w:t>
      </w:r>
      <w:r w:rsidR="00DD1C2A">
        <w:t xml:space="preserve">n advance, it can schedule </w:t>
      </w:r>
      <w:r w:rsidR="00335C8D">
        <w:t>the PUSCH</w:t>
      </w:r>
      <w:r w:rsidR="00DD1C2A">
        <w:t xml:space="preserve"> </w:t>
      </w:r>
      <w:r w:rsidR="00335C8D">
        <w:t>for the child node</w:t>
      </w:r>
      <w:r w:rsidR="00DD1C2A">
        <w:t xml:space="preserve">. However, if </w:t>
      </w:r>
      <w:r w:rsidR="00335C8D">
        <w:t>the TCI state indication is received</w:t>
      </w:r>
      <w:r w:rsidR="00DD1C2A">
        <w:t xml:space="preserve"> in the same time slot</w:t>
      </w:r>
      <w:r w:rsidR="00335C8D">
        <w:t>,</w:t>
      </w:r>
      <w:r w:rsidR="00DD1C2A">
        <w:t xml:space="preserve"> for example, </w:t>
      </w:r>
      <w:r w:rsidR="00335C8D">
        <w:t>the IAB node</w:t>
      </w:r>
      <w:r w:rsidR="00DD1C2A">
        <w:t xml:space="preserve"> will not have sufficient time to decode the </w:t>
      </w:r>
      <w:r w:rsidR="00335C8D">
        <w:t xml:space="preserve">message in a timely manner and </w:t>
      </w:r>
      <w:r w:rsidR="00DD1C2A">
        <w:t xml:space="preserve">transmit a </w:t>
      </w:r>
      <w:r w:rsidR="00335C8D">
        <w:t xml:space="preserve">scheduling DCI </w:t>
      </w:r>
      <w:r w:rsidR="00DD1C2A">
        <w:t xml:space="preserve">of its own to </w:t>
      </w:r>
      <w:r w:rsidR="00335C8D">
        <w:t>the child node</w:t>
      </w:r>
      <w:r w:rsidR="00DD1C2A">
        <w:t>.</w:t>
      </w:r>
    </w:p>
    <w:p w14:paraId="4BEB4243" w14:textId="53333E20" w:rsidR="005B3946" w:rsidRDefault="005B3946" w:rsidP="00DD1C2A">
      <w:r>
        <w:t xml:space="preserve">Therefore, proper configuration of scheduling parameters such as k0 and k2 can be key to enabling </w:t>
      </w:r>
      <w:r w:rsidR="00164961">
        <w:t>simultaneous</w:t>
      </w:r>
      <w:r>
        <w:t xml:space="preserve"> operations.</w:t>
      </w:r>
    </w:p>
    <w:p w14:paraId="4E6A9EAB" w14:textId="3D71E960" w:rsidR="00DD1C2A" w:rsidRDefault="005B3946" w:rsidP="00DD1C2A">
      <w:pPr>
        <w:pStyle w:val="Proposal"/>
      </w:pPr>
      <w:bookmarkStart w:id="80" w:name="_Toc54311504"/>
      <w:bookmarkStart w:id="81" w:name="_Toc54311604"/>
      <w:bookmarkStart w:id="82" w:name="_Toc54311799"/>
      <w:bookmarkStart w:id="83" w:name="_Toc54332052"/>
      <w:bookmarkStart w:id="84" w:name="_Toc54332730"/>
      <w:bookmarkStart w:id="85" w:name="_Toc54332774"/>
      <w:bookmarkStart w:id="86" w:name="_Toc54332816"/>
      <w:bookmarkStart w:id="87" w:name="_Toc54336716"/>
      <w:bookmarkStart w:id="88" w:name="_Toc54336877"/>
      <w:bookmarkStart w:id="89" w:name="_Toc54341454"/>
      <w:bookmarkStart w:id="90" w:name="_Toc54341512"/>
      <w:bookmarkStart w:id="91" w:name="_Toc54345801"/>
      <w:bookmarkStart w:id="92" w:name="_Toc54393518"/>
      <w:bookmarkStart w:id="93" w:name="_Toc54393579"/>
      <w:bookmarkStart w:id="94" w:name="_Toc54393718"/>
      <w:bookmarkStart w:id="95" w:name="_Toc61520644"/>
      <w:bookmarkStart w:id="96" w:name="_Toc61536510"/>
      <w:bookmarkStart w:id="97" w:name="_Toc61541290"/>
      <w:bookmarkStart w:id="98" w:name="_Toc61541342"/>
      <w:bookmarkStart w:id="99" w:name="_Toc61544633"/>
      <w:bookmarkStart w:id="100" w:name="_Toc61547546"/>
      <w:bookmarkStart w:id="101" w:name="_Toc61559091"/>
      <w:bookmarkStart w:id="102" w:name="_Toc61559328"/>
      <w:bookmarkStart w:id="103" w:name="_Toc61854474"/>
      <w:bookmarkStart w:id="104" w:name="_Toc61858381"/>
      <w:bookmarkStart w:id="105" w:name="_Toc61858815"/>
      <w:bookmarkStart w:id="106" w:name="_Toc61859146"/>
      <w:bookmarkStart w:id="107" w:name="_Toc61895540"/>
      <w:bookmarkStart w:id="108" w:name="_Toc61895642"/>
      <w:bookmarkStart w:id="109" w:name="_Toc68553153"/>
      <w:bookmarkStart w:id="110" w:name="_Toc68604764"/>
      <w:bookmarkStart w:id="111" w:name="_Toc68608875"/>
      <w:bookmarkStart w:id="112" w:name="_Toc68611507"/>
      <w:bookmarkStart w:id="113" w:name="_Toc68621472"/>
      <w:bookmarkStart w:id="114" w:name="_Toc68645543"/>
      <w:r>
        <w:t>Specify</w:t>
      </w:r>
      <w:r w:rsidR="00DD1C2A">
        <w:t xml:space="preserve"> mechanisms </w:t>
      </w:r>
      <w:r w:rsidR="00145EA7">
        <w:t>for early indication of spatial information by the parent node in order to enable simultaneous operations.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497B150F" w14:textId="2DB62882" w:rsidR="00145EA7" w:rsidRDefault="00E24B4A" w:rsidP="0024379E">
      <w:pPr>
        <w:rPr>
          <w:lang w:val="en-GB"/>
        </w:rPr>
      </w:pPr>
      <w:r>
        <w:rPr>
          <w:lang w:val="en-GB"/>
        </w:rPr>
        <w:t>Two additional points are worth mentioning:</w:t>
      </w:r>
    </w:p>
    <w:p w14:paraId="403CD8F2" w14:textId="0FFA8D1D" w:rsidR="00E24B4A" w:rsidRDefault="00E24B4A" w:rsidP="00E24B4A">
      <w:pPr>
        <w:pStyle w:val="ListParagraph"/>
        <w:numPr>
          <w:ilvl w:val="0"/>
          <w:numId w:val="49"/>
        </w:numPr>
        <w:rPr>
          <w:lang w:val="en-GB"/>
        </w:rPr>
      </w:pPr>
      <w:r>
        <w:rPr>
          <w:lang w:val="en-GB"/>
        </w:rPr>
        <w:t xml:space="preserve">The above proposed mechanisms are not only for multi-panel scenarios. A single-panel IAB node may also benefit from early dynamic </w:t>
      </w:r>
      <w:r w:rsidR="00164961">
        <w:rPr>
          <w:lang w:val="en-GB"/>
        </w:rPr>
        <w:t>signalling</w:t>
      </w:r>
      <w:r>
        <w:rPr>
          <w:lang w:val="en-GB"/>
        </w:rPr>
        <w:t xml:space="preserve"> if it can accommodate </w:t>
      </w:r>
      <w:r w:rsidR="00164961">
        <w:rPr>
          <w:lang w:val="en-GB"/>
        </w:rPr>
        <w:t>simultaneous</w:t>
      </w:r>
      <w:r>
        <w:rPr>
          <w:lang w:val="en-GB"/>
        </w:rPr>
        <w:t xml:space="preserve"> operations by one antenna panel.</w:t>
      </w:r>
    </w:p>
    <w:p w14:paraId="0A4BDDF0" w14:textId="0070B0E9" w:rsidR="00DA28A0" w:rsidRDefault="00E24B4A" w:rsidP="00DA28A0">
      <w:pPr>
        <w:pStyle w:val="ListParagraph"/>
        <w:numPr>
          <w:ilvl w:val="0"/>
          <w:numId w:val="49"/>
        </w:numPr>
        <w:rPr>
          <w:lang w:val="en-GB"/>
        </w:rPr>
      </w:pPr>
      <w:r>
        <w:rPr>
          <w:lang w:val="en-GB"/>
        </w:rPr>
        <w:t xml:space="preserve">The proposed dynamic </w:t>
      </w:r>
      <w:r w:rsidR="00164961">
        <w:rPr>
          <w:lang w:val="en-GB"/>
        </w:rPr>
        <w:t>signalling</w:t>
      </w:r>
      <w:r>
        <w:rPr>
          <w:lang w:val="en-GB"/>
        </w:rPr>
        <w:t xml:space="preserve"> allows the parent node to indicate a beam for the upstream link, from which the IAB node can determine spatial </w:t>
      </w:r>
      <w:r w:rsidR="00DA28A0">
        <w:rPr>
          <w:lang w:val="en-GB"/>
        </w:rPr>
        <w:t xml:space="preserve">constraints for a downstream link. An alternative to this dynamic </w:t>
      </w:r>
      <w:r w:rsidR="00164961">
        <w:rPr>
          <w:lang w:val="en-GB"/>
        </w:rPr>
        <w:t>signalling</w:t>
      </w:r>
      <w:r w:rsidR="00DA28A0">
        <w:rPr>
          <w:lang w:val="en-GB"/>
        </w:rPr>
        <w:t xml:space="preserve"> is to follow the availability indication principle, </w:t>
      </w:r>
      <w:r w:rsidR="009F0433">
        <w:rPr>
          <w:lang w:val="en-GB"/>
        </w:rPr>
        <w:t xml:space="preserve">i.e., </w:t>
      </w:r>
      <w:r w:rsidR="00DA28A0">
        <w:rPr>
          <w:lang w:val="en-GB"/>
        </w:rPr>
        <w:t>allow</w:t>
      </w:r>
      <w:r w:rsidR="009F0433">
        <w:rPr>
          <w:lang w:val="en-GB"/>
        </w:rPr>
        <w:t>ing</w:t>
      </w:r>
      <w:r w:rsidR="00DA28A0">
        <w:rPr>
          <w:lang w:val="en-GB"/>
        </w:rPr>
        <w:t xml:space="preserve"> the parent node to determine a spatial constrain for the downstream link directly. The two approaches are compared in the figure</w:t>
      </w:r>
      <w:r w:rsidR="00EB6BC4">
        <w:rPr>
          <w:lang w:val="en-GB"/>
        </w:rPr>
        <w:t xml:space="preserve"> below</w:t>
      </w:r>
      <w:r w:rsidR="00DA28A0">
        <w:rPr>
          <w:lang w:val="en-GB"/>
        </w:rPr>
        <w:t>.</w:t>
      </w:r>
    </w:p>
    <w:p w14:paraId="23683C79" w14:textId="4FC8E20A" w:rsidR="00EB6BC4" w:rsidRDefault="009003A0" w:rsidP="00647054">
      <w:pPr>
        <w:pStyle w:val="Figure"/>
      </w:pPr>
      <w:r w:rsidRPr="009003A0">
        <w:rPr>
          <w:noProof/>
        </w:rPr>
        <w:drawing>
          <wp:inline distT="0" distB="0" distL="0" distR="0" wp14:anchorId="34F9915D" wp14:editId="0DDCEB03">
            <wp:extent cx="3401568" cy="26517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01568" cy="2651760"/>
                    </a:xfrm>
                    <a:prstGeom prst="rect">
                      <a:avLst/>
                    </a:prstGeom>
                    <a:noFill/>
                    <a:ln>
                      <a:noFill/>
                    </a:ln>
                  </pic:spPr>
                </pic:pic>
              </a:graphicData>
            </a:graphic>
          </wp:inline>
        </w:drawing>
      </w:r>
    </w:p>
    <w:p w14:paraId="795C26BF" w14:textId="1BCCE47F" w:rsidR="00647054" w:rsidRPr="00647054" w:rsidRDefault="00647054" w:rsidP="00647054">
      <w:pPr>
        <w:pStyle w:val="Caption"/>
      </w:pPr>
      <w:r>
        <w:t xml:space="preserve">. Dynamic </w:t>
      </w:r>
      <w:r w:rsidR="00164961">
        <w:t>signalling</w:t>
      </w:r>
      <w:r>
        <w:t xml:space="preserve"> for upstream indication vs. downstream indication</w:t>
      </w:r>
    </w:p>
    <w:p w14:paraId="3D04C951" w14:textId="43DA3F0E" w:rsidR="009F0433" w:rsidRDefault="009F0433" w:rsidP="009F0433">
      <w:pPr>
        <w:rPr>
          <w:lang w:val="en-GB"/>
        </w:rPr>
      </w:pPr>
      <w:r>
        <w:rPr>
          <w:lang w:val="en-GB"/>
        </w:rPr>
        <w:t xml:space="preserve">Each of the two approaches has its pros and cons. Advantages of ‘upstream indications’ include simplicity and less effort required for specification, configuration, and capability </w:t>
      </w:r>
      <w:r w:rsidR="00164961">
        <w:rPr>
          <w:lang w:val="en-GB"/>
        </w:rPr>
        <w:t>signalling</w:t>
      </w:r>
      <w:r>
        <w:rPr>
          <w:lang w:val="en-GB"/>
        </w:rPr>
        <w:t xml:space="preserve">. Advantages of ‘downstream </w:t>
      </w:r>
      <w:r w:rsidR="00164961">
        <w:rPr>
          <w:lang w:val="en-GB"/>
        </w:rPr>
        <w:t>indications</w:t>
      </w:r>
      <w:r>
        <w:rPr>
          <w:lang w:val="en-GB"/>
        </w:rPr>
        <w:t>,’ on the other hand, include higher flexibility for spatial resource (panel and beam) management, interference management, and so on.</w:t>
      </w:r>
    </w:p>
    <w:p w14:paraId="40ED677F" w14:textId="56A6BF41" w:rsidR="009F0433" w:rsidRDefault="009F0433" w:rsidP="009F0433">
      <w:pPr>
        <w:rPr>
          <w:lang w:val="en-GB"/>
        </w:rPr>
      </w:pPr>
      <w:r>
        <w:rPr>
          <w:lang w:val="en-GB"/>
        </w:rPr>
        <w:t xml:space="preserve">Since each of the two approaches leads to provisions that are cannot be provided by one approach alone, we find it beneficial to discuss downstream indication solutions (i.e., following an availability-indication type of </w:t>
      </w:r>
      <w:r w:rsidR="00164961">
        <w:rPr>
          <w:lang w:val="en-GB"/>
        </w:rPr>
        <w:t>signalling</w:t>
      </w:r>
      <w:r>
        <w:rPr>
          <w:lang w:val="en-GB"/>
        </w:rPr>
        <w:t xml:space="preserve"> in the spatial domain) in addition to the proposed early upstream indication approach.</w:t>
      </w:r>
    </w:p>
    <w:p w14:paraId="22FD11CF" w14:textId="42E4628A" w:rsidR="009B59A5" w:rsidRPr="00A51664" w:rsidRDefault="009D6245" w:rsidP="00A51664">
      <w:pPr>
        <w:pStyle w:val="Proposal"/>
        <w:rPr>
          <w:lang w:val="en-GB"/>
        </w:rPr>
      </w:pPr>
      <w:bookmarkStart w:id="115" w:name="_Toc68608876"/>
      <w:bookmarkStart w:id="116" w:name="_Toc68611508"/>
      <w:bookmarkStart w:id="117" w:name="_Toc68621473"/>
      <w:bookmarkStart w:id="118" w:name="_Toc68645544"/>
      <w:r w:rsidRPr="00A51664">
        <w:rPr>
          <w:lang w:val="en-GB"/>
        </w:rPr>
        <w:t>Discuss supporting upstream indications (i.e., following an availability indication principle) in addition to early indication of spatial information.</w:t>
      </w:r>
      <w:bookmarkEnd w:id="115"/>
      <w:bookmarkEnd w:id="116"/>
      <w:bookmarkEnd w:id="117"/>
      <w:bookmarkEnd w:id="118"/>
    </w:p>
    <w:bookmarkEnd w:id="77"/>
    <w:bookmarkEnd w:id="78"/>
    <w:p w14:paraId="73DB5A94" w14:textId="052DF9E0" w:rsidR="004E2463" w:rsidRDefault="005840CB" w:rsidP="004E2463">
      <w:pPr>
        <w:pStyle w:val="Heading2"/>
      </w:pPr>
      <w:r>
        <w:t>Applicability</w:t>
      </w:r>
      <w:r w:rsidR="009B468E">
        <w:t xml:space="preserve"> of multiplexing cases</w:t>
      </w:r>
    </w:p>
    <w:p w14:paraId="2DAD9F90" w14:textId="2CE03CB8" w:rsidR="006120D1" w:rsidRDefault="006120D1" w:rsidP="006120D1">
      <w:pPr>
        <w:rPr>
          <w:lang w:val="en-GB"/>
        </w:rPr>
      </w:pPr>
      <w:r>
        <w:rPr>
          <w:lang w:val="en-GB"/>
        </w:rPr>
        <w:t xml:space="preserve">The following was agreed in </w:t>
      </w:r>
      <w:r w:rsidR="00064E31">
        <w:rPr>
          <w:lang w:val="en-GB"/>
        </w:rPr>
        <w:t>RAN1#103-e [</w:t>
      </w:r>
      <w:r w:rsidR="00B455F9">
        <w:rPr>
          <w:lang w:val="en-GB"/>
        </w:rPr>
        <w:t>2</w:t>
      </w:r>
      <w:r w:rsidR="00064E31">
        <w:rPr>
          <w:lang w:val="en-GB"/>
        </w:rPr>
        <w:t>]</w:t>
      </w:r>
      <w:r>
        <w:rPr>
          <w:lang w:val="en-GB"/>
        </w:rPr>
        <w:t>:</w:t>
      </w:r>
    </w:p>
    <w:p w14:paraId="2B216134" w14:textId="77777777" w:rsidR="00064E31" w:rsidRPr="00064E31" w:rsidRDefault="00064E31" w:rsidP="00064E31">
      <w:pPr>
        <w:rPr>
          <w:rFonts w:eastAsia="Calibri" w:cs="Times"/>
          <w:b/>
          <w:bCs/>
          <w:i/>
          <w:iCs/>
          <w:szCs w:val="20"/>
          <w:highlight w:val="green"/>
        </w:rPr>
      </w:pPr>
      <w:r w:rsidRPr="00064E31">
        <w:rPr>
          <w:rFonts w:eastAsia="Calibri" w:cs="Times"/>
          <w:b/>
          <w:bCs/>
          <w:i/>
          <w:iCs/>
          <w:szCs w:val="20"/>
          <w:highlight w:val="green"/>
        </w:rPr>
        <w:t>Agreement</w:t>
      </w:r>
    </w:p>
    <w:p w14:paraId="3A9AE1F5" w14:textId="77777777" w:rsidR="00064E31" w:rsidRPr="00064E31" w:rsidRDefault="00064E31" w:rsidP="00064E31">
      <w:pPr>
        <w:rPr>
          <w:rFonts w:eastAsia="Batang"/>
          <w:i/>
          <w:iCs/>
          <w:lang w:eastAsia="x-none"/>
        </w:rPr>
      </w:pPr>
      <w:r w:rsidRPr="00064E31">
        <w:rPr>
          <w:i/>
          <w:iCs/>
          <w:lang w:eastAsia="x-none"/>
        </w:rPr>
        <w:lastRenderedPageBreak/>
        <w:t>Further consider different applicability restrictions/conditions for simultaneous operation multiplexing cases:</w:t>
      </w:r>
    </w:p>
    <w:p w14:paraId="62DB3437" w14:textId="77777777" w:rsidR="00064E31" w:rsidRPr="00064E31" w:rsidRDefault="00064E31" w:rsidP="00064E31">
      <w:pPr>
        <w:pStyle w:val="ListParagraph"/>
        <w:numPr>
          <w:ilvl w:val="0"/>
          <w:numId w:val="42"/>
        </w:numPr>
        <w:spacing w:before="0" w:after="0" w:line="240" w:lineRule="auto"/>
        <w:textAlignment w:val="baseline"/>
        <w:rPr>
          <w:rFonts w:eastAsia="Calibri" w:cs="Times"/>
          <w:i/>
          <w:iCs/>
          <w:color w:val="000000"/>
        </w:rPr>
      </w:pPr>
      <w:r w:rsidRPr="00064E31">
        <w:rPr>
          <w:rFonts w:eastAsia="Calibri" w:cs="Times"/>
          <w:i/>
          <w:iCs/>
          <w:color w:val="000000"/>
        </w:rPr>
        <w:t>FFS: Whether a given case is only applicable for certain resource types or combinations: e.g. DL access, DL backhaul, UL access, UL backhaul</w:t>
      </w:r>
    </w:p>
    <w:p w14:paraId="0E6F1560" w14:textId="77777777" w:rsidR="00064E31" w:rsidRPr="00064E31" w:rsidRDefault="00064E31" w:rsidP="00064E31">
      <w:pPr>
        <w:pStyle w:val="ListParagraph"/>
        <w:numPr>
          <w:ilvl w:val="0"/>
          <w:numId w:val="42"/>
        </w:numPr>
        <w:spacing w:before="0" w:after="0" w:line="240" w:lineRule="auto"/>
        <w:textAlignment w:val="baseline"/>
        <w:rPr>
          <w:rFonts w:eastAsia="Calibri" w:cs="Times"/>
          <w:i/>
          <w:iCs/>
          <w:color w:val="000000"/>
        </w:rPr>
      </w:pPr>
      <w:r w:rsidRPr="00064E31">
        <w:rPr>
          <w:rFonts w:eastAsia="Calibri" w:cs="Times"/>
          <w:i/>
          <w:iCs/>
          <w:color w:val="000000"/>
        </w:rPr>
        <w:t>FFS: Network (including parent node) awareness of a child IAB node’s ability to support simultaneous operation due to short-term and long-term factors including panel selection, interference, timing, transmit power, capability indication etc.</w:t>
      </w:r>
    </w:p>
    <w:p w14:paraId="5693ACDC" w14:textId="77777777" w:rsidR="00064E31" w:rsidRPr="00064E31" w:rsidRDefault="00064E31" w:rsidP="00064E31">
      <w:pPr>
        <w:pStyle w:val="ListParagraph"/>
        <w:numPr>
          <w:ilvl w:val="0"/>
          <w:numId w:val="42"/>
        </w:numPr>
        <w:spacing w:before="0" w:after="0" w:line="240" w:lineRule="auto"/>
        <w:textAlignment w:val="baseline"/>
        <w:rPr>
          <w:rFonts w:eastAsia="Calibri" w:cs="Times"/>
          <w:i/>
          <w:iCs/>
          <w:color w:val="000000"/>
        </w:rPr>
      </w:pPr>
      <w:r w:rsidRPr="00064E31">
        <w:rPr>
          <w:rFonts w:eastAsia="Calibri" w:cs="Times"/>
          <w:i/>
          <w:iCs/>
          <w:color w:val="000000"/>
        </w:rPr>
        <w:t>FFS: Necessary differentiation for paired spectrum vs. unpaired spectrum</w:t>
      </w:r>
    </w:p>
    <w:p w14:paraId="7A5B5B78" w14:textId="77777777" w:rsidR="00064E31" w:rsidRPr="00064E31" w:rsidRDefault="00064E31" w:rsidP="00064E31">
      <w:pPr>
        <w:pStyle w:val="ListParagraph"/>
        <w:numPr>
          <w:ilvl w:val="0"/>
          <w:numId w:val="42"/>
        </w:numPr>
        <w:spacing w:before="0" w:after="0" w:line="240" w:lineRule="auto"/>
        <w:textAlignment w:val="baseline"/>
        <w:rPr>
          <w:rFonts w:eastAsia="Calibri" w:cs="Times"/>
          <w:i/>
          <w:iCs/>
          <w:color w:val="000000"/>
        </w:rPr>
      </w:pPr>
      <w:r w:rsidRPr="00064E31">
        <w:rPr>
          <w:rFonts w:eastAsia="Calibri" w:cs="Times"/>
          <w:i/>
          <w:iCs/>
          <w:color w:val="000000"/>
        </w:rPr>
        <w:t>FFS: Whether specific enhancements are defined for full-duplex cases vs. being left to implementation (as in Rel-16)</w:t>
      </w:r>
    </w:p>
    <w:p w14:paraId="1E973D8F" w14:textId="4EA51A07" w:rsidR="00064E31" w:rsidRPr="00A51664" w:rsidRDefault="00064E31" w:rsidP="00A51664">
      <w:pPr>
        <w:pStyle w:val="ListParagraph"/>
        <w:numPr>
          <w:ilvl w:val="0"/>
          <w:numId w:val="42"/>
        </w:numPr>
        <w:spacing w:before="0" w:after="0" w:line="240" w:lineRule="auto"/>
        <w:textAlignment w:val="baseline"/>
        <w:rPr>
          <w:lang w:val="en-GB"/>
        </w:rPr>
      </w:pPr>
      <w:r w:rsidRPr="00A51664">
        <w:rPr>
          <w:rFonts w:eastAsia="Calibri" w:cs="Times"/>
          <w:i/>
          <w:iCs/>
          <w:color w:val="000000"/>
        </w:rPr>
        <w:t>Note: There should not be any impact on legacy UE behavior</w:t>
      </w:r>
    </w:p>
    <w:p w14:paraId="3DB8CC46" w14:textId="04A6C9D8" w:rsidR="00064E31" w:rsidRDefault="00064E31" w:rsidP="00A51664">
      <w:pPr>
        <w:spacing w:before="120"/>
      </w:pPr>
      <w:r>
        <w:t>The discussion continued in RAN1#104-e [</w:t>
      </w:r>
      <w:r w:rsidR="00B455F9">
        <w:t>2</w:t>
      </w:r>
      <w:r>
        <w:t>] and the following was agreed:</w:t>
      </w:r>
    </w:p>
    <w:p w14:paraId="336B5F1C" w14:textId="77777777" w:rsidR="00064E31" w:rsidRPr="00064E31" w:rsidRDefault="00064E31" w:rsidP="00064E31">
      <w:pPr>
        <w:pStyle w:val="ListParagraph"/>
        <w:ind w:left="0"/>
        <w:rPr>
          <w:rFonts w:eastAsia="Calibri" w:cs="Times"/>
          <w:b/>
          <w:bCs/>
          <w:i/>
          <w:iCs/>
          <w:szCs w:val="20"/>
          <w:highlight w:val="green"/>
        </w:rPr>
      </w:pPr>
      <w:r w:rsidRPr="00064E31">
        <w:rPr>
          <w:rFonts w:eastAsia="Calibri" w:cs="Times"/>
          <w:b/>
          <w:bCs/>
          <w:i/>
          <w:iCs/>
          <w:szCs w:val="20"/>
          <w:highlight w:val="green"/>
        </w:rPr>
        <w:t>Agreement</w:t>
      </w:r>
    </w:p>
    <w:p w14:paraId="392C7FBA" w14:textId="77777777" w:rsidR="00064E31" w:rsidRPr="00064E31" w:rsidRDefault="00064E31" w:rsidP="00064E31">
      <w:pPr>
        <w:pStyle w:val="ListParagraph"/>
        <w:ind w:left="0"/>
        <w:rPr>
          <w:rFonts w:eastAsia="Calibri" w:cs="Times"/>
          <w:i/>
          <w:iCs/>
          <w:szCs w:val="20"/>
        </w:rPr>
      </w:pPr>
      <w:r w:rsidRPr="00064E31">
        <w:rPr>
          <w:rFonts w:cs="Times"/>
          <w:i/>
          <w:iCs/>
          <w:szCs w:val="20"/>
          <w:lang w:eastAsia="zh-CN"/>
        </w:rPr>
        <w:t>Support indication/reporting of information between an IAB node and its parent node to assist in the determination of</w:t>
      </w:r>
      <w:r w:rsidRPr="00064E31">
        <w:rPr>
          <w:rFonts w:eastAsia="Calibri" w:cs="Times"/>
          <w:i/>
          <w:iCs/>
          <w:szCs w:val="20"/>
        </w:rPr>
        <w:t xml:space="preserve"> the applicability of a given multiplexing capability in case of simultaneous operation. The following solutions are considered (other solutions not precluded):</w:t>
      </w:r>
    </w:p>
    <w:p w14:paraId="7B2CD224" w14:textId="77777777" w:rsidR="00064E31" w:rsidRPr="00064E31" w:rsidRDefault="00064E31" w:rsidP="00064E31">
      <w:pPr>
        <w:numPr>
          <w:ilvl w:val="0"/>
          <w:numId w:val="49"/>
        </w:numPr>
        <w:spacing w:after="0" w:line="240" w:lineRule="auto"/>
        <w:rPr>
          <w:rFonts w:cs="Times"/>
          <w:i/>
          <w:iCs/>
          <w:szCs w:val="20"/>
          <w:lang w:eastAsia="zh-CN"/>
        </w:rPr>
      </w:pPr>
      <w:r w:rsidRPr="00064E31">
        <w:rPr>
          <w:rFonts w:cs="Times"/>
          <w:i/>
          <w:iCs/>
          <w:szCs w:val="20"/>
          <w:lang w:eastAsia="zh-CN"/>
        </w:rPr>
        <w:t xml:space="preserve">Temporal applicability of a given multiplexing capability </w:t>
      </w:r>
    </w:p>
    <w:p w14:paraId="0186AB8A" w14:textId="77777777" w:rsidR="00064E31" w:rsidRPr="00064E31" w:rsidRDefault="00064E31" w:rsidP="00064E31">
      <w:pPr>
        <w:numPr>
          <w:ilvl w:val="0"/>
          <w:numId w:val="49"/>
        </w:numPr>
        <w:spacing w:after="0" w:line="240" w:lineRule="auto"/>
        <w:rPr>
          <w:rFonts w:cs="Times"/>
          <w:i/>
          <w:iCs/>
          <w:szCs w:val="20"/>
          <w:lang w:eastAsia="zh-CN"/>
        </w:rPr>
      </w:pPr>
      <w:r w:rsidRPr="00064E31">
        <w:rPr>
          <w:rFonts w:cs="Times"/>
          <w:i/>
          <w:iCs/>
          <w:szCs w:val="20"/>
          <w:lang w:eastAsia="zh-CN"/>
        </w:rPr>
        <w:t>Time/frequency resource restrictions (e.g. access vs. backhaul links, DL vs. UL resources)</w:t>
      </w:r>
    </w:p>
    <w:p w14:paraId="266F755F" w14:textId="77777777" w:rsidR="00064E31" w:rsidRPr="00064E31" w:rsidRDefault="00064E31" w:rsidP="00064E31">
      <w:pPr>
        <w:numPr>
          <w:ilvl w:val="0"/>
          <w:numId w:val="49"/>
        </w:numPr>
        <w:spacing w:after="0" w:line="240" w:lineRule="auto"/>
        <w:rPr>
          <w:rFonts w:cs="Times"/>
          <w:i/>
          <w:iCs/>
          <w:szCs w:val="20"/>
          <w:lang w:eastAsia="zh-CN"/>
        </w:rPr>
      </w:pPr>
      <w:r w:rsidRPr="00064E31">
        <w:rPr>
          <w:rFonts w:cs="Times"/>
          <w:i/>
          <w:iCs/>
          <w:szCs w:val="20"/>
          <w:lang w:eastAsia="zh-CN"/>
        </w:rPr>
        <w:t>Indications of conditions/reporting information required to realize the given multiplexing capability, (e.g. timing mode, power control, guard symbols, etc.)</w:t>
      </w:r>
    </w:p>
    <w:p w14:paraId="7EF81444" w14:textId="2EE46CD7" w:rsidR="004E2463" w:rsidRDefault="00064E31" w:rsidP="00A51664">
      <w:pPr>
        <w:pStyle w:val="ListParagraph"/>
        <w:ind w:left="0"/>
        <w:jc w:val="both"/>
        <w:rPr>
          <w:lang w:val="en-GB"/>
        </w:rPr>
      </w:pPr>
      <w:r w:rsidRPr="00064E31">
        <w:rPr>
          <w:rFonts w:eastAsia="Calibri" w:cs="Times"/>
          <w:i/>
          <w:iCs/>
          <w:szCs w:val="20"/>
        </w:rPr>
        <w:t>FFS: channels/signals used for indicating/reporting information</w:t>
      </w:r>
    </w:p>
    <w:p w14:paraId="139915B9" w14:textId="77777777" w:rsidR="009B59A5" w:rsidRDefault="00164961" w:rsidP="00A51664">
      <w:pPr>
        <w:spacing w:before="120"/>
        <w:rPr>
          <w:lang w:val="en-GB"/>
        </w:rPr>
      </w:pPr>
      <w:r>
        <w:rPr>
          <w:lang w:val="en-GB"/>
        </w:rPr>
        <w:t xml:space="preserve">The main point of this discussion is that an IAB node’s capability to perform simultaneous operations </w:t>
      </w:r>
      <w:r w:rsidR="009B59A5">
        <w:rPr>
          <w:lang w:val="en-GB"/>
        </w:rPr>
        <w:t xml:space="preserve">depend on </w:t>
      </w:r>
      <w:r>
        <w:rPr>
          <w:lang w:val="en-GB"/>
        </w:rPr>
        <w:t>two main type</w:t>
      </w:r>
      <w:r w:rsidR="009B59A5">
        <w:rPr>
          <w:lang w:val="en-GB"/>
        </w:rPr>
        <w:t xml:space="preserve"> of constraints</w:t>
      </w:r>
      <w:r>
        <w:rPr>
          <w:lang w:val="en-GB"/>
        </w:rPr>
        <w:t>:</w:t>
      </w:r>
    </w:p>
    <w:p w14:paraId="6082065A" w14:textId="3A3A836E" w:rsidR="009B59A5" w:rsidRDefault="00164961" w:rsidP="009B59A5">
      <w:pPr>
        <w:pStyle w:val="ListParagraph"/>
        <w:numPr>
          <w:ilvl w:val="0"/>
          <w:numId w:val="49"/>
        </w:numPr>
        <w:rPr>
          <w:lang w:val="en-GB"/>
        </w:rPr>
      </w:pPr>
      <w:r w:rsidRPr="009B59A5">
        <w:rPr>
          <w:lang w:val="en-GB"/>
        </w:rPr>
        <w:t xml:space="preserve">hardware </w:t>
      </w:r>
      <w:r w:rsidR="009B59A5" w:rsidRPr="009B59A5">
        <w:rPr>
          <w:lang w:val="en-GB"/>
        </w:rPr>
        <w:t>constraints</w:t>
      </w:r>
      <w:r w:rsidR="009B59A5">
        <w:rPr>
          <w:lang w:val="en-GB"/>
        </w:rPr>
        <w:t xml:space="preserve">, e.g., </w:t>
      </w:r>
      <w:r w:rsidR="009B59A5" w:rsidRPr="009B59A5">
        <w:rPr>
          <w:lang w:val="en-GB"/>
        </w:rPr>
        <w:t>the number of antenna panels</w:t>
      </w:r>
      <w:r w:rsidR="009B59A5">
        <w:rPr>
          <w:lang w:val="en-GB"/>
        </w:rPr>
        <w:t>,</w:t>
      </w:r>
    </w:p>
    <w:p w14:paraId="3A135A3A" w14:textId="66801578" w:rsidR="00164961" w:rsidRDefault="009B59A5" w:rsidP="009B59A5">
      <w:pPr>
        <w:pStyle w:val="ListParagraph"/>
        <w:numPr>
          <w:ilvl w:val="0"/>
          <w:numId w:val="49"/>
        </w:numPr>
        <w:rPr>
          <w:lang w:val="en-GB"/>
        </w:rPr>
      </w:pPr>
      <w:r w:rsidRPr="009B59A5">
        <w:rPr>
          <w:lang w:val="en-GB"/>
        </w:rPr>
        <w:t>operation constraints</w:t>
      </w:r>
      <w:r>
        <w:rPr>
          <w:lang w:val="en-GB"/>
        </w:rPr>
        <w:t>, e.g., beam, power, interference, and timing alignment constraints.</w:t>
      </w:r>
    </w:p>
    <w:p w14:paraId="1FB32AB3" w14:textId="11B44C6F" w:rsidR="009B59A5" w:rsidRDefault="003159C8" w:rsidP="009B59A5">
      <w:pPr>
        <w:rPr>
          <w:lang w:val="en-GB"/>
        </w:rPr>
      </w:pPr>
      <w:r>
        <w:rPr>
          <w:lang w:val="en-GB"/>
        </w:rPr>
        <w:t>With regards to hardware constraints</w:t>
      </w:r>
      <w:r w:rsidR="009B59A5">
        <w:rPr>
          <w:lang w:val="en-GB"/>
        </w:rPr>
        <w:t>, it was agreed in the previous meetings that Case A (simultaneous transmission) and Case B (simultaneous reception) are considered for both single-panel and multi-panel IAB nodes. For these two cases, multi-panel IAB nodes are expected to impose less stringent requirements on baseband timing alignment. If the goal is to avoid any overlap between a transmission on one panel and a reception on another panel, even at symbol boundaries, the matter can be handled by allocating guard symbols between DL and UL resources.</w:t>
      </w:r>
    </w:p>
    <w:p w14:paraId="3779D5B1" w14:textId="77777777" w:rsidR="009B59A5" w:rsidRDefault="009B59A5" w:rsidP="009B59A5">
      <w:pPr>
        <w:rPr>
          <w:lang w:val="en-GB"/>
        </w:rPr>
      </w:pPr>
      <w:r>
        <w:rPr>
          <w:lang w:val="en-GB"/>
        </w:rPr>
        <w:t>However, an IAB node with a single panel/RF frontend, shared between IAB-MT and IAB-DU, may require a perfect alignment between FDM’ed operations. Enhanced timing alignment cases being discussed under agenda item 8.10.2 can be employed to satisfy the timing alignment constraint for simultaneous transmissions (Case-6) or simultaneous receptions (Case-7). Nevertheless, such a requirement can be relaxed if multiple baseband units are available or the baseband unit is equipped with multiple IFFT/FFT windows. Whether the IAB node supports multiple baseband processing can be specified as an IAB node capability.</w:t>
      </w:r>
    </w:p>
    <w:p w14:paraId="5807B7C6" w14:textId="6770653C" w:rsidR="009B59A5" w:rsidRPr="006055A3" w:rsidRDefault="009B59A5" w:rsidP="009B59A5">
      <w:pPr>
        <w:pStyle w:val="Proposal"/>
      </w:pPr>
      <w:bookmarkStart w:id="119" w:name="_Toc54393517"/>
      <w:bookmarkStart w:id="120" w:name="_Toc54393578"/>
      <w:bookmarkStart w:id="121" w:name="_Toc54393717"/>
      <w:bookmarkStart w:id="122" w:name="_Toc61520643"/>
      <w:bookmarkStart w:id="123" w:name="_Toc61536509"/>
      <w:bookmarkStart w:id="124" w:name="_Toc61541289"/>
      <w:bookmarkStart w:id="125" w:name="_Toc61541341"/>
      <w:bookmarkStart w:id="126" w:name="_Toc61544632"/>
      <w:bookmarkStart w:id="127" w:name="_Toc61547539"/>
      <w:bookmarkStart w:id="128" w:name="_Toc61559098"/>
      <w:bookmarkStart w:id="129" w:name="_Toc61559321"/>
      <w:bookmarkStart w:id="130" w:name="_Toc61854479"/>
      <w:bookmarkStart w:id="131" w:name="_Toc61895529"/>
      <w:bookmarkStart w:id="132" w:name="_Toc61895647"/>
      <w:bookmarkStart w:id="133" w:name="_Toc68553149"/>
      <w:bookmarkStart w:id="134" w:name="_Toc54311503"/>
      <w:bookmarkStart w:id="135" w:name="_Toc54311603"/>
      <w:bookmarkStart w:id="136" w:name="_Toc54311798"/>
      <w:bookmarkStart w:id="137" w:name="_Toc54332051"/>
      <w:bookmarkStart w:id="138" w:name="_Toc54332729"/>
      <w:bookmarkStart w:id="139" w:name="_Toc54332773"/>
      <w:bookmarkStart w:id="140" w:name="_Toc54332815"/>
      <w:bookmarkStart w:id="141" w:name="_Toc54336715"/>
      <w:bookmarkStart w:id="142" w:name="_Toc54336876"/>
      <w:bookmarkStart w:id="143" w:name="_Toc54341453"/>
      <w:bookmarkStart w:id="144" w:name="_Toc54341511"/>
      <w:bookmarkStart w:id="145" w:name="_Toc54345800"/>
      <w:bookmarkStart w:id="146" w:name="_Toc68604760"/>
      <w:bookmarkStart w:id="147" w:name="_Toc68608877"/>
      <w:bookmarkStart w:id="148" w:name="_Toc68611509"/>
      <w:bookmarkStart w:id="149" w:name="_Toc68621474"/>
      <w:bookmarkStart w:id="150" w:name="_Toc68645545"/>
      <w:r>
        <w:t xml:space="preserve">Support </w:t>
      </w:r>
      <w:r w:rsidR="0094468A">
        <w:t>signaling</w:t>
      </w:r>
      <w:r>
        <w:t xml:space="preserve"> IAB node capabilities </w:t>
      </w:r>
      <w:r w:rsidR="00175989">
        <w:t xml:space="preserve">for </w:t>
      </w:r>
      <w:r>
        <w:t>timing alignment and multi-panel and baseband characteristics.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24969750" w14:textId="4030E4F1" w:rsidR="00164961" w:rsidRDefault="005D02CF" w:rsidP="004E2463">
      <w:pPr>
        <w:rPr>
          <w:lang w:val="en-GB"/>
        </w:rPr>
      </w:pPr>
      <w:r>
        <w:rPr>
          <w:lang w:val="en-GB"/>
        </w:rPr>
        <w:t>Next</w:t>
      </w:r>
      <w:r w:rsidR="003159C8">
        <w:rPr>
          <w:lang w:val="en-GB"/>
        </w:rPr>
        <w:t xml:space="preserve">, </w:t>
      </w:r>
      <w:r>
        <w:rPr>
          <w:lang w:val="en-GB"/>
        </w:rPr>
        <w:t>regarding operation constraints, dynamic signalling can be introduced by which an IAB node indicates to its parent node</w:t>
      </w:r>
      <w:r w:rsidR="00E40D87">
        <w:rPr>
          <w:lang w:val="en-GB"/>
        </w:rPr>
        <w:t xml:space="preserve"> whether </w:t>
      </w:r>
      <w:r>
        <w:rPr>
          <w:lang w:val="en-GB"/>
        </w:rPr>
        <w:t xml:space="preserve">a multiplexing </w:t>
      </w:r>
      <w:r w:rsidR="00E40D87">
        <w:rPr>
          <w:lang w:val="en-GB"/>
        </w:rPr>
        <w:t>(simultaneous operation) case is currently possible with the current operation (beam, power, interference, etc.) constraints. The indication message may be specified as an L1/L2 control message that includes the following additional information:</w:t>
      </w:r>
    </w:p>
    <w:p w14:paraId="2ECBC58C" w14:textId="3BDD92A8" w:rsidR="00E40D87" w:rsidRDefault="00E40D87" w:rsidP="00E40D87">
      <w:pPr>
        <w:pStyle w:val="ListParagraph"/>
        <w:numPr>
          <w:ilvl w:val="0"/>
          <w:numId w:val="49"/>
        </w:numPr>
        <w:rPr>
          <w:lang w:val="en-GB"/>
        </w:rPr>
      </w:pPr>
      <w:r>
        <w:rPr>
          <w:lang w:val="en-GB"/>
        </w:rPr>
        <w:t>time-frequency domain resources, including a temporal parameter such as a number of slots or subframes,</w:t>
      </w:r>
    </w:p>
    <w:p w14:paraId="41F843B4" w14:textId="22813738" w:rsidR="00E40D87" w:rsidRDefault="00E40D87" w:rsidP="00E40D87">
      <w:pPr>
        <w:pStyle w:val="ListParagraph"/>
        <w:numPr>
          <w:ilvl w:val="0"/>
          <w:numId w:val="49"/>
        </w:numPr>
        <w:rPr>
          <w:lang w:val="en-GB"/>
        </w:rPr>
      </w:pPr>
      <w:r>
        <w:rPr>
          <w:lang w:val="en-GB"/>
        </w:rPr>
        <w:t>spatial constraints, e.g., beams that cause excessive interference, hence not allowing a certain multiplexing case,</w:t>
      </w:r>
    </w:p>
    <w:p w14:paraId="523018D0" w14:textId="78FAAC72" w:rsidR="00E40D87" w:rsidRDefault="00E40D87" w:rsidP="00E40D87">
      <w:pPr>
        <w:pStyle w:val="ListParagraph"/>
        <w:numPr>
          <w:ilvl w:val="0"/>
          <w:numId w:val="49"/>
        </w:numPr>
        <w:rPr>
          <w:lang w:val="en-GB"/>
        </w:rPr>
      </w:pPr>
      <w:r>
        <w:rPr>
          <w:lang w:val="en-GB"/>
        </w:rPr>
        <w:t>TX power range or maximum TX power offset based on the TX/RX power for a downstream operation,</w:t>
      </w:r>
    </w:p>
    <w:p w14:paraId="43B69729" w14:textId="22427629" w:rsidR="00E40D87" w:rsidRDefault="00E40D87" w:rsidP="00E40D87">
      <w:pPr>
        <w:pStyle w:val="ListParagraph"/>
        <w:numPr>
          <w:ilvl w:val="0"/>
          <w:numId w:val="49"/>
        </w:numPr>
        <w:rPr>
          <w:lang w:val="en-GB"/>
        </w:rPr>
      </w:pPr>
      <w:r>
        <w:rPr>
          <w:lang w:val="en-GB"/>
        </w:rPr>
        <w:t>guard times, guard bands, etc.</w:t>
      </w:r>
    </w:p>
    <w:p w14:paraId="6ABBCB46" w14:textId="20BA2E07" w:rsidR="00E40D87" w:rsidRDefault="00E40D87" w:rsidP="00E40D87">
      <w:pPr>
        <w:rPr>
          <w:lang w:val="en-GB"/>
        </w:rPr>
      </w:pPr>
      <w:r>
        <w:rPr>
          <w:lang w:val="en-GB"/>
        </w:rPr>
        <w:t xml:space="preserve">Given hardware constraints and operation constraints at the IAB node, the parent node can then respond by applying the information for signalling </w:t>
      </w:r>
      <w:r w:rsidR="00175989">
        <w:rPr>
          <w:lang w:val="en-GB"/>
        </w:rPr>
        <w:t xml:space="preserve">of </w:t>
      </w:r>
      <w:r>
        <w:rPr>
          <w:lang w:val="en-GB"/>
        </w:rPr>
        <w:t xml:space="preserve">scheduling, beam indication, link adaptation, </w:t>
      </w:r>
      <w:r w:rsidR="00175989">
        <w:rPr>
          <w:lang w:val="en-GB"/>
        </w:rPr>
        <w:t>power control, timing alignment control, availability indication in time/frequency/spatial domains, and so on.</w:t>
      </w:r>
    </w:p>
    <w:p w14:paraId="21848CB9" w14:textId="2B18D012" w:rsidR="00175989" w:rsidRPr="00E40D87" w:rsidRDefault="00175989" w:rsidP="00175989">
      <w:pPr>
        <w:pStyle w:val="Proposal"/>
        <w:rPr>
          <w:lang w:val="en-GB"/>
        </w:rPr>
      </w:pPr>
      <w:bookmarkStart w:id="151" w:name="_Toc68611510"/>
      <w:bookmarkStart w:id="152" w:name="_Toc68621475"/>
      <w:bookmarkStart w:id="153" w:name="_Toc68645546"/>
      <w:r>
        <w:rPr>
          <w:lang w:val="en-GB"/>
        </w:rPr>
        <w:lastRenderedPageBreak/>
        <w:t>Support dynamic signalling for communicating operation constraints such as beam, power, interference, and timing alignment constraints along with information of time, frequency, and spatial resources.</w:t>
      </w:r>
      <w:bookmarkEnd w:id="151"/>
      <w:bookmarkEnd w:id="152"/>
      <w:bookmarkEnd w:id="153"/>
    </w:p>
    <w:p w14:paraId="7DB322CF" w14:textId="26A555E7" w:rsidR="00EA1EE4" w:rsidRDefault="00ED1FB7" w:rsidP="00ED1FB7">
      <w:pPr>
        <w:pStyle w:val="Heading2"/>
      </w:pPr>
      <w:r>
        <w:t>Dual-connectivity</w:t>
      </w:r>
    </w:p>
    <w:p w14:paraId="101C6225" w14:textId="0354244E" w:rsidR="00C4248E" w:rsidRDefault="00DD1C2A" w:rsidP="00887C39">
      <w:pPr>
        <w:rPr>
          <w:lang w:val="en-GB"/>
        </w:rPr>
      </w:pPr>
      <w:r>
        <w:rPr>
          <w:lang w:val="en-GB"/>
        </w:rPr>
        <w:t xml:space="preserve">Discussion on dual-connectivity enhancements continued in RAN1#104-e. </w:t>
      </w:r>
      <w:r w:rsidR="00C4248E">
        <w:rPr>
          <w:lang w:val="en-GB"/>
        </w:rPr>
        <w:t>The fol</w:t>
      </w:r>
      <w:r>
        <w:rPr>
          <w:lang w:val="en-GB"/>
        </w:rPr>
        <w:t>lowing is a list of DC-related agreement in the previous meetings</w:t>
      </w:r>
      <w:r w:rsidR="00C4248E">
        <w:rPr>
          <w:lang w:val="en-GB"/>
        </w:rPr>
        <w:t>:</w:t>
      </w:r>
    </w:p>
    <w:p w14:paraId="73425BE6" w14:textId="4EE6F349" w:rsidR="00DD1C2A" w:rsidRPr="00DD1C2A" w:rsidRDefault="00DD1C2A" w:rsidP="00DD1C2A">
      <w:pPr>
        <w:rPr>
          <w:b/>
          <w:bCs/>
          <w:i/>
          <w:iCs/>
          <w:lang w:eastAsia="x-none"/>
        </w:rPr>
      </w:pPr>
      <w:r w:rsidRPr="00DD1C2A">
        <w:rPr>
          <w:b/>
          <w:bCs/>
          <w:i/>
          <w:iCs/>
          <w:lang w:eastAsia="x-none"/>
        </w:rPr>
        <w:t>Conclusion</w:t>
      </w:r>
      <w:r w:rsidR="00E87DBE" w:rsidRPr="00DD1C2A">
        <w:rPr>
          <w:rFonts w:eastAsia="Calibri" w:cs="Times"/>
          <w:b/>
          <w:bCs/>
          <w:i/>
          <w:iCs/>
          <w:szCs w:val="20"/>
        </w:rPr>
        <w:t xml:space="preserve"> (RAN1#102-e)</w:t>
      </w:r>
    </w:p>
    <w:p w14:paraId="53CC6C9B" w14:textId="77777777" w:rsidR="00DD1C2A" w:rsidRPr="00DD1C2A" w:rsidRDefault="00DD1C2A" w:rsidP="00DD1C2A">
      <w:pPr>
        <w:rPr>
          <w:i/>
          <w:iCs/>
          <w:lang w:eastAsia="x-none"/>
        </w:rPr>
      </w:pPr>
      <w:r w:rsidRPr="00DD1C2A">
        <w:rPr>
          <w:i/>
          <w:iCs/>
          <w:lang w:eastAsia="x-none"/>
        </w:rPr>
        <w:t>At least the inter-carrier DC scenario can be considered in Rel-17. Further discussion in RAN3/RAN Plenary may be necessary for the intra-carrier DC scenario.</w:t>
      </w:r>
    </w:p>
    <w:p w14:paraId="646F5F6E" w14:textId="77777777" w:rsidR="00DD1C2A" w:rsidRPr="00DD1C2A" w:rsidRDefault="00DD1C2A" w:rsidP="00DD1C2A">
      <w:pPr>
        <w:rPr>
          <w:rFonts w:eastAsia="Calibri" w:cs="Times"/>
          <w:b/>
          <w:bCs/>
          <w:i/>
          <w:iCs/>
          <w:szCs w:val="20"/>
        </w:rPr>
      </w:pPr>
      <w:r w:rsidRPr="00DD1C2A">
        <w:rPr>
          <w:rFonts w:eastAsia="Calibri" w:cs="Times"/>
          <w:b/>
          <w:bCs/>
          <w:i/>
          <w:iCs/>
          <w:szCs w:val="20"/>
          <w:highlight w:val="green"/>
        </w:rPr>
        <w:t>Agreement</w:t>
      </w:r>
      <w:r w:rsidRPr="00DD1C2A">
        <w:rPr>
          <w:rFonts w:eastAsia="Calibri" w:cs="Times"/>
          <w:b/>
          <w:bCs/>
          <w:i/>
          <w:iCs/>
          <w:szCs w:val="20"/>
        </w:rPr>
        <w:t xml:space="preserve"> (RAN1#102-e)</w:t>
      </w:r>
    </w:p>
    <w:p w14:paraId="1FACF919" w14:textId="77777777" w:rsidR="00DD1C2A" w:rsidRPr="00DD1C2A" w:rsidRDefault="00DD1C2A" w:rsidP="00DD1C2A">
      <w:pPr>
        <w:rPr>
          <w:rFonts w:eastAsia="Calibri" w:cs="Times"/>
          <w:i/>
          <w:iCs/>
          <w:szCs w:val="20"/>
        </w:rPr>
      </w:pPr>
      <w:r w:rsidRPr="00DD1C2A">
        <w:rPr>
          <w:rFonts w:eastAsia="Calibri" w:cs="Times"/>
          <w:i/>
          <w:iCs/>
          <w:szCs w:val="20"/>
        </w:rPr>
        <w:t xml:space="preserve">Reuse by IAB-MT of existing Inter-frequency DC is considered as a starting point to support concurrent BH links to two parents. </w:t>
      </w:r>
    </w:p>
    <w:p w14:paraId="49DCEA68" w14:textId="77777777" w:rsidR="00DD1C2A" w:rsidRPr="00DD1C2A" w:rsidRDefault="00DD1C2A" w:rsidP="00DD1C2A">
      <w:pPr>
        <w:pStyle w:val="ListParagraph"/>
        <w:numPr>
          <w:ilvl w:val="0"/>
          <w:numId w:val="35"/>
        </w:numPr>
        <w:spacing w:before="0" w:after="0" w:line="240" w:lineRule="auto"/>
        <w:rPr>
          <w:rFonts w:eastAsia="Calibri" w:cs="Times"/>
          <w:i/>
          <w:iCs/>
          <w:szCs w:val="20"/>
        </w:rPr>
      </w:pPr>
      <w:r w:rsidRPr="00DD1C2A">
        <w:rPr>
          <w:rFonts w:eastAsia="Calibri" w:cs="Times"/>
          <w:i/>
          <w:iCs/>
          <w:szCs w:val="20"/>
        </w:rPr>
        <w:t>FFS: Reuse of multi-TRP transmission resource allocation features (if intra-freq DC scenario is supported for IAB)</w:t>
      </w:r>
    </w:p>
    <w:p w14:paraId="3B1965B5" w14:textId="1C0D3CBB" w:rsidR="00DD1C2A" w:rsidRDefault="00DD1C2A" w:rsidP="00DD1C2A">
      <w:pPr>
        <w:pStyle w:val="ListParagraph"/>
        <w:numPr>
          <w:ilvl w:val="0"/>
          <w:numId w:val="35"/>
        </w:numPr>
        <w:spacing w:before="0" w:after="0" w:line="240" w:lineRule="auto"/>
        <w:rPr>
          <w:rFonts w:eastAsia="Calibri" w:cs="Times"/>
          <w:i/>
          <w:iCs/>
          <w:szCs w:val="20"/>
        </w:rPr>
      </w:pPr>
      <w:r w:rsidRPr="00DD1C2A">
        <w:rPr>
          <w:rFonts w:eastAsia="Calibri" w:cs="Times"/>
          <w:i/>
          <w:iCs/>
          <w:szCs w:val="20"/>
        </w:rPr>
        <w:t>FFS: Additional specification effort to support IAB</w:t>
      </w:r>
    </w:p>
    <w:p w14:paraId="42DF991E" w14:textId="77777777" w:rsidR="0094468A" w:rsidRPr="00460C5F" w:rsidRDefault="0094468A" w:rsidP="00460C5F">
      <w:pPr>
        <w:spacing w:after="0" w:line="240" w:lineRule="auto"/>
        <w:rPr>
          <w:rFonts w:eastAsia="Calibri" w:cs="Times"/>
          <w:i/>
          <w:iCs/>
          <w:szCs w:val="20"/>
        </w:rPr>
      </w:pPr>
    </w:p>
    <w:p w14:paraId="585FA6FF" w14:textId="77777777" w:rsidR="00DD1C2A" w:rsidRPr="00DD1C2A" w:rsidRDefault="00DD1C2A" w:rsidP="00DD1C2A">
      <w:pPr>
        <w:rPr>
          <w:rFonts w:cs="Times"/>
          <w:b/>
          <w:bCs/>
          <w:i/>
          <w:iCs/>
          <w:szCs w:val="20"/>
          <w:lang w:eastAsia="x-none"/>
        </w:rPr>
      </w:pPr>
      <w:r w:rsidRPr="00DD1C2A">
        <w:rPr>
          <w:rFonts w:cs="Times"/>
          <w:b/>
          <w:bCs/>
          <w:i/>
          <w:iCs/>
          <w:szCs w:val="20"/>
          <w:lang w:eastAsia="x-none"/>
        </w:rPr>
        <w:t>For companies to further consider:</w:t>
      </w:r>
    </w:p>
    <w:p w14:paraId="68966119" w14:textId="77777777" w:rsidR="00DD1C2A" w:rsidRPr="00DD1C2A" w:rsidRDefault="00DD1C2A" w:rsidP="00DD1C2A">
      <w:pPr>
        <w:rPr>
          <w:rFonts w:eastAsia="Calibri" w:cs="Times"/>
          <w:i/>
          <w:iCs/>
          <w:szCs w:val="20"/>
        </w:rPr>
      </w:pPr>
      <w:r w:rsidRPr="00DD1C2A">
        <w:rPr>
          <w:rFonts w:eastAsia="Calibri" w:cs="Times"/>
          <w:i/>
          <w:iCs/>
          <w:szCs w:val="20"/>
        </w:rPr>
        <w:t>The following categories of enhancements have been proposed to support DC scenarios (not an exhaustive list):</w:t>
      </w:r>
    </w:p>
    <w:p w14:paraId="6C17DB77" w14:textId="77777777" w:rsidR="00DD1C2A" w:rsidRPr="00DD1C2A" w:rsidRDefault="00DD1C2A" w:rsidP="00DD1C2A">
      <w:pPr>
        <w:pStyle w:val="ListParagraph"/>
        <w:numPr>
          <w:ilvl w:val="0"/>
          <w:numId w:val="36"/>
        </w:numPr>
        <w:spacing w:before="0" w:after="0" w:line="240" w:lineRule="auto"/>
        <w:rPr>
          <w:rFonts w:eastAsia="Calibri" w:cs="Times"/>
          <w:i/>
          <w:iCs/>
          <w:szCs w:val="20"/>
        </w:rPr>
      </w:pPr>
      <w:r w:rsidRPr="00DD1C2A">
        <w:rPr>
          <w:rFonts w:eastAsia="Calibri" w:cs="Times"/>
          <w:i/>
          <w:iCs/>
          <w:szCs w:val="20"/>
        </w:rPr>
        <w:t>Inter-parent DU resource coordination mechanisms and signaling</w:t>
      </w:r>
    </w:p>
    <w:p w14:paraId="6A4B46D5" w14:textId="77777777" w:rsidR="00DD1C2A" w:rsidRPr="00DD1C2A" w:rsidRDefault="00DD1C2A" w:rsidP="00DD1C2A">
      <w:pPr>
        <w:pStyle w:val="ListParagraph"/>
        <w:numPr>
          <w:ilvl w:val="0"/>
          <w:numId w:val="36"/>
        </w:numPr>
        <w:spacing w:before="0" w:after="0" w:line="240" w:lineRule="auto"/>
        <w:rPr>
          <w:rFonts w:eastAsia="Calibri" w:cs="Times"/>
          <w:i/>
          <w:iCs/>
          <w:szCs w:val="20"/>
        </w:rPr>
      </w:pPr>
      <w:r w:rsidRPr="00DD1C2A">
        <w:rPr>
          <w:rFonts w:eastAsia="Calibri" w:cs="Times"/>
          <w:i/>
          <w:iCs/>
          <w:szCs w:val="20"/>
        </w:rPr>
        <w:t>Resource allocation/scheduling conflict resolution rules at the parent or child node</w:t>
      </w:r>
    </w:p>
    <w:p w14:paraId="64E95B14" w14:textId="3DEAC81F" w:rsidR="00DD1C2A" w:rsidRDefault="00DD1C2A" w:rsidP="00DD1C2A">
      <w:pPr>
        <w:pStyle w:val="ListParagraph"/>
        <w:numPr>
          <w:ilvl w:val="0"/>
          <w:numId w:val="36"/>
        </w:numPr>
        <w:spacing w:before="0" w:after="0" w:line="240" w:lineRule="auto"/>
        <w:rPr>
          <w:rFonts w:eastAsia="Calibri" w:cs="Times"/>
          <w:i/>
          <w:iCs/>
          <w:szCs w:val="20"/>
        </w:rPr>
      </w:pPr>
      <w:r w:rsidRPr="00DD1C2A">
        <w:rPr>
          <w:rFonts w:eastAsia="Calibri" w:cs="Times"/>
          <w:i/>
          <w:iCs/>
          <w:szCs w:val="20"/>
        </w:rPr>
        <w:t>Per-link IAB-DU resource configurations at the parent node</w:t>
      </w:r>
    </w:p>
    <w:p w14:paraId="730C2CCB" w14:textId="77777777" w:rsidR="0094468A" w:rsidRPr="00460C5F" w:rsidRDefault="0094468A" w:rsidP="00460C5F">
      <w:pPr>
        <w:spacing w:after="0" w:line="240" w:lineRule="auto"/>
        <w:rPr>
          <w:rFonts w:eastAsia="Calibri" w:cs="Times"/>
          <w:i/>
          <w:iCs/>
          <w:szCs w:val="20"/>
        </w:rPr>
      </w:pPr>
    </w:p>
    <w:p w14:paraId="6757F836" w14:textId="77777777" w:rsidR="00DD1C2A" w:rsidRPr="00DD1C2A" w:rsidRDefault="00DD1C2A" w:rsidP="00DD1C2A">
      <w:pPr>
        <w:rPr>
          <w:rFonts w:eastAsia="Calibri" w:cs="Times"/>
          <w:b/>
          <w:bCs/>
          <w:i/>
          <w:iCs/>
          <w:szCs w:val="20"/>
          <w:highlight w:val="green"/>
        </w:rPr>
      </w:pPr>
      <w:r w:rsidRPr="00DD1C2A">
        <w:rPr>
          <w:rFonts w:eastAsia="Calibri" w:cs="Times"/>
          <w:b/>
          <w:bCs/>
          <w:i/>
          <w:iCs/>
          <w:szCs w:val="20"/>
          <w:highlight w:val="green"/>
        </w:rPr>
        <w:t>Agreement</w:t>
      </w:r>
      <w:r w:rsidRPr="00DD1C2A">
        <w:rPr>
          <w:rFonts w:eastAsia="Calibri" w:cs="Times"/>
          <w:b/>
          <w:bCs/>
          <w:i/>
          <w:iCs/>
          <w:szCs w:val="20"/>
        </w:rPr>
        <w:t xml:space="preserve"> (RAN1#103-e)</w:t>
      </w:r>
    </w:p>
    <w:p w14:paraId="34DA29AD" w14:textId="77777777" w:rsidR="00DD1C2A" w:rsidRPr="00DD1C2A" w:rsidRDefault="00DD1C2A" w:rsidP="00DD1C2A">
      <w:pPr>
        <w:rPr>
          <w:rFonts w:eastAsia="Batang"/>
          <w:i/>
          <w:iCs/>
          <w:lang w:eastAsia="x-none"/>
        </w:rPr>
      </w:pPr>
      <w:r w:rsidRPr="00DD1C2A">
        <w:rPr>
          <w:i/>
          <w:iCs/>
          <w:lang w:eastAsia="x-none"/>
        </w:rPr>
        <w:t xml:space="preserve">From a RAN1 perspective, at least intra-donor multi-parent operation is supported in Rel-17 </w:t>
      </w:r>
    </w:p>
    <w:p w14:paraId="307DA791" w14:textId="67B4BFC3" w:rsidR="00DD1C2A" w:rsidRDefault="00DD1C2A" w:rsidP="00DD1C2A">
      <w:pPr>
        <w:pStyle w:val="ListParagraph"/>
        <w:numPr>
          <w:ilvl w:val="0"/>
          <w:numId w:val="42"/>
        </w:numPr>
        <w:spacing w:before="0" w:after="0" w:line="240" w:lineRule="auto"/>
        <w:textAlignment w:val="baseline"/>
        <w:rPr>
          <w:rFonts w:eastAsia="Calibri" w:cs="Times"/>
          <w:i/>
          <w:iCs/>
          <w:color w:val="000000"/>
        </w:rPr>
      </w:pPr>
      <w:r w:rsidRPr="00DD1C2A">
        <w:rPr>
          <w:rFonts w:eastAsia="Calibri" w:cs="Times"/>
          <w:i/>
          <w:iCs/>
          <w:color w:val="000000"/>
        </w:rPr>
        <w:t>FFS: Inter-donor operation pending additional input from RAN2/RAN3</w:t>
      </w:r>
    </w:p>
    <w:p w14:paraId="1C2D80C5" w14:textId="77777777" w:rsidR="0094468A" w:rsidRPr="00460C5F" w:rsidRDefault="0094468A" w:rsidP="00460C5F">
      <w:pPr>
        <w:spacing w:after="0" w:line="240" w:lineRule="auto"/>
        <w:textAlignment w:val="baseline"/>
        <w:rPr>
          <w:rFonts w:eastAsia="Calibri" w:cs="Times"/>
          <w:i/>
          <w:iCs/>
          <w:color w:val="000000"/>
        </w:rPr>
      </w:pPr>
    </w:p>
    <w:p w14:paraId="5F9237B8" w14:textId="77777777" w:rsidR="00DD1C2A" w:rsidRPr="00DD1C2A" w:rsidRDefault="00DD1C2A" w:rsidP="00DD1C2A">
      <w:pPr>
        <w:rPr>
          <w:rFonts w:eastAsia="Calibri" w:cs="Times"/>
          <w:b/>
          <w:bCs/>
          <w:i/>
          <w:iCs/>
          <w:szCs w:val="20"/>
          <w:highlight w:val="green"/>
        </w:rPr>
      </w:pPr>
      <w:r w:rsidRPr="00DD1C2A">
        <w:rPr>
          <w:rFonts w:eastAsia="Calibri" w:cs="Times"/>
          <w:b/>
          <w:bCs/>
          <w:i/>
          <w:iCs/>
          <w:szCs w:val="20"/>
          <w:highlight w:val="green"/>
        </w:rPr>
        <w:t>Agreement</w:t>
      </w:r>
      <w:r w:rsidRPr="00DD1C2A">
        <w:rPr>
          <w:rFonts w:eastAsia="Calibri" w:cs="Times"/>
          <w:b/>
          <w:bCs/>
          <w:i/>
          <w:iCs/>
          <w:szCs w:val="20"/>
        </w:rPr>
        <w:t xml:space="preserve"> (RAN1#103-e)</w:t>
      </w:r>
    </w:p>
    <w:p w14:paraId="07708A14" w14:textId="77777777" w:rsidR="00DD1C2A" w:rsidRPr="00DD1C2A" w:rsidRDefault="00DD1C2A" w:rsidP="00DD1C2A">
      <w:pPr>
        <w:rPr>
          <w:rFonts w:eastAsia="Batang"/>
          <w:i/>
          <w:iCs/>
          <w:lang w:eastAsia="x-none"/>
        </w:rPr>
      </w:pPr>
      <w:r w:rsidRPr="00DD1C2A">
        <w:rPr>
          <w:i/>
          <w:iCs/>
          <w:lang w:eastAsia="x-none"/>
        </w:rPr>
        <w:t>The explicit indication of soft resources by DCI Format 2_5 is supported for multi-parent scenarios in Rel-17.</w:t>
      </w:r>
    </w:p>
    <w:p w14:paraId="036DDAE4" w14:textId="4F48DCF8" w:rsidR="00DD1C2A" w:rsidRDefault="00DD1C2A" w:rsidP="00DD1C2A">
      <w:pPr>
        <w:pStyle w:val="ListParagraph"/>
        <w:numPr>
          <w:ilvl w:val="0"/>
          <w:numId w:val="42"/>
        </w:numPr>
        <w:spacing w:before="0" w:after="0" w:line="240" w:lineRule="auto"/>
        <w:textAlignment w:val="baseline"/>
        <w:rPr>
          <w:rFonts w:eastAsia="Calibri" w:cs="Times"/>
          <w:i/>
          <w:iCs/>
          <w:color w:val="000000"/>
        </w:rPr>
      </w:pPr>
      <w:r w:rsidRPr="00DD1C2A">
        <w:rPr>
          <w:rFonts w:eastAsia="Calibri" w:cs="Times"/>
          <w:i/>
          <w:iCs/>
          <w:color w:val="000000"/>
        </w:rPr>
        <w:t>FFS: Whether additional enhancements over the Rel-16 solution are needed</w:t>
      </w:r>
    </w:p>
    <w:p w14:paraId="3951E931" w14:textId="77777777" w:rsidR="0094468A" w:rsidRPr="00460C5F" w:rsidRDefault="0094468A" w:rsidP="00460C5F">
      <w:pPr>
        <w:spacing w:after="0" w:line="240" w:lineRule="auto"/>
        <w:textAlignment w:val="baseline"/>
        <w:rPr>
          <w:rFonts w:eastAsia="Calibri" w:cs="Times"/>
          <w:i/>
          <w:iCs/>
          <w:color w:val="000000"/>
        </w:rPr>
      </w:pPr>
    </w:p>
    <w:p w14:paraId="28730418" w14:textId="77777777" w:rsidR="00DD1C2A" w:rsidRPr="00DD1C2A" w:rsidRDefault="00DD1C2A" w:rsidP="00DD1C2A">
      <w:pPr>
        <w:rPr>
          <w:rFonts w:cs="Times"/>
          <w:b/>
          <w:bCs/>
          <w:i/>
          <w:iCs/>
          <w:szCs w:val="20"/>
          <w:lang w:eastAsia="x-none"/>
        </w:rPr>
      </w:pPr>
      <w:r w:rsidRPr="00DD1C2A">
        <w:rPr>
          <w:rFonts w:cs="Times"/>
          <w:b/>
          <w:bCs/>
          <w:i/>
          <w:iCs/>
          <w:szCs w:val="20"/>
          <w:highlight w:val="green"/>
          <w:lang w:eastAsia="x-none"/>
        </w:rPr>
        <w:t>Agreement</w:t>
      </w:r>
      <w:r w:rsidRPr="00DD1C2A">
        <w:rPr>
          <w:rFonts w:eastAsia="Calibri" w:cs="Times"/>
          <w:b/>
          <w:bCs/>
          <w:i/>
          <w:iCs/>
          <w:szCs w:val="20"/>
        </w:rPr>
        <w:t xml:space="preserve"> (RAN1#103-e)</w:t>
      </w:r>
    </w:p>
    <w:p w14:paraId="5F70C716" w14:textId="77777777" w:rsidR="00DD1C2A" w:rsidRPr="00DD1C2A" w:rsidRDefault="00DD1C2A" w:rsidP="00DD1C2A">
      <w:pPr>
        <w:rPr>
          <w:i/>
          <w:iCs/>
          <w:lang w:eastAsia="x-none"/>
        </w:rPr>
      </w:pPr>
      <w:r w:rsidRPr="00DD1C2A">
        <w:rPr>
          <w:i/>
          <w:iCs/>
          <w:lang w:eastAsia="x-none"/>
        </w:rPr>
        <w:t>From a RAN1 perspective, resource multiplexing and coordination is supported for the following DC scenarios in Rel-17.</w:t>
      </w:r>
    </w:p>
    <w:p w14:paraId="049283F1" w14:textId="77777777" w:rsidR="00DD1C2A" w:rsidRPr="00DD1C2A" w:rsidRDefault="00DD1C2A" w:rsidP="00DD1C2A">
      <w:pPr>
        <w:pStyle w:val="ListParagraph"/>
        <w:numPr>
          <w:ilvl w:val="0"/>
          <w:numId w:val="42"/>
        </w:numPr>
        <w:spacing w:before="0" w:after="0" w:line="240" w:lineRule="auto"/>
        <w:textAlignment w:val="baseline"/>
        <w:rPr>
          <w:rFonts w:eastAsia="Calibri" w:cs="Times"/>
          <w:i/>
          <w:iCs/>
          <w:color w:val="000000"/>
        </w:rPr>
      </w:pPr>
      <w:r w:rsidRPr="00DD1C2A">
        <w:rPr>
          <w:rFonts w:eastAsia="Calibri" w:cs="Times"/>
          <w:i/>
          <w:iCs/>
          <w:color w:val="000000"/>
        </w:rPr>
        <w:t xml:space="preserve">Inter-carrier, inter-band </w:t>
      </w:r>
    </w:p>
    <w:p w14:paraId="03DC6C14" w14:textId="77777777" w:rsidR="00DD1C2A" w:rsidRPr="00DD1C2A" w:rsidRDefault="00DD1C2A" w:rsidP="00DD1C2A">
      <w:pPr>
        <w:pStyle w:val="ListParagraph"/>
        <w:numPr>
          <w:ilvl w:val="0"/>
          <w:numId w:val="42"/>
        </w:numPr>
        <w:spacing w:before="0" w:after="0" w:line="240" w:lineRule="auto"/>
        <w:textAlignment w:val="baseline"/>
        <w:rPr>
          <w:rFonts w:eastAsia="Calibri" w:cs="Times"/>
          <w:i/>
          <w:iCs/>
          <w:color w:val="000000"/>
        </w:rPr>
      </w:pPr>
      <w:r w:rsidRPr="00DD1C2A">
        <w:rPr>
          <w:rFonts w:eastAsia="Calibri" w:cs="Times"/>
          <w:i/>
          <w:iCs/>
          <w:color w:val="000000"/>
        </w:rPr>
        <w:t xml:space="preserve">Inter-carrier, intra-band is additionally supported at least for FR2 </w:t>
      </w:r>
    </w:p>
    <w:p w14:paraId="3A2ADF3B" w14:textId="77777777" w:rsidR="00DD1C2A" w:rsidRPr="00DD1C2A" w:rsidRDefault="00DD1C2A" w:rsidP="00DD1C2A">
      <w:pPr>
        <w:pStyle w:val="ListParagraph"/>
        <w:numPr>
          <w:ilvl w:val="1"/>
          <w:numId w:val="42"/>
        </w:numPr>
        <w:spacing w:before="0" w:after="0" w:line="240" w:lineRule="auto"/>
        <w:textAlignment w:val="baseline"/>
        <w:rPr>
          <w:rFonts w:eastAsia="Calibri" w:cs="Times"/>
          <w:i/>
          <w:iCs/>
          <w:color w:val="000000"/>
        </w:rPr>
      </w:pPr>
      <w:r w:rsidRPr="00DD1C2A">
        <w:rPr>
          <w:rFonts w:eastAsia="Calibri" w:cs="Times"/>
          <w:i/>
          <w:iCs/>
          <w:color w:val="000000"/>
        </w:rPr>
        <w:t>At least to the extent it reuses solutions for supporting Inter-carrier, inter-band</w:t>
      </w:r>
    </w:p>
    <w:p w14:paraId="7894A622" w14:textId="2DA518B0" w:rsidR="00DD1C2A" w:rsidRPr="00460C5F" w:rsidRDefault="00DD1C2A" w:rsidP="00DD1C2A">
      <w:pPr>
        <w:pStyle w:val="ListParagraph"/>
        <w:numPr>
          <w:ilvl w:val="1"/>
          <w:numId w:val="42"/>
        </w:numPr>
        <w:spacing w:before="0" w:after="0" w:line="240" w:lineRule="auto"/>
        <w:textAlignment w:val="baseline"/>
        <w:rPr>
          <w:i/>
          <w:iCs/>
          <w:lang w:val="en-GB"/>
        </w:rPr>
      </w:pPr>
      <w:r w:rsidRPr="00DD1C2A">
        <w:rPr>
          <w:rFonts w:eastAsia="Calibri" w:cs="Times"/>
          <w:i/>
          <w:iCs/>
          <w:color w:val="000000"/>
        </w:rPr>
        <w:t>FFS: whether specific enhancements for inter-carrier, intra-band DC are introduced in Rel-17</w:t>
      </w:r>
    </w:p>
    <w:p w14:paraId="31B0D1EF" w14:textId="77777777" w:rsidR="0094468A" w:rsidRPr="00460C5F" w:rsidRDefault="0094468A" w:rsidP="00460C5F">
      <w:pPr>
        <w:spacing w:after="0" w:line="240" w:lineRule="auto"/>
        <w:textAlignment w:val="baseline"/>
        <w:rPr>
          <w:i/>
          <w:iCs/>
          <w:lang w:val="en-GB"/>
        </w:rPr>
      </w:pPr>
    </w:p>
    <w:p w14:paraId="5CFAC8F2" w14:textId="1809F54F" w:rsidR="00DD1C2A" w:rsidRPr="00DD1C2A" w:rsidRDefault="00DD1C2A" w:rsidP="00DD1C2A">
      <w:pPr>
        <w:rPr>
          <w:rFonts w:cs="Times"/>
          <w:b/>
          <w:bCs/>
          <w:i/>
          <w:iCs/>
          <w:szCs w:val="20"/>
          <w:lang w:eastAsia="zh-CN"/>
        </w:rPr>
      </w:pPr>
      <w:r w:rsidRPr="00DD1C2A">
        <w:rPr>
          <w:rFonts w:cs="Times"/>
          <w:b/>
          <w:bCs/>
          <w:i/>
          <w:iCs/>
          <w:szCs w:val="20"/>
          <w:highlight w:val="green"/>
          <w:lang w:eastAsia="zh-CN"/>
        </w:rPr>
        <w:t>Agreement</w:t>
      </w:r>
      <w:r w:rsidRPr="00DD1C2A">
        <w:rPr>
          <w:rFonts w:cs="Times"/>
          <w:b/>
          <w:bCs/>
          <w:i/>
          <w:iCs/>
          <w:szCs w:val="20"/>
          <w:lang w:eastAsia="zh-CN"/>
        </w:rPr>
        <w:t xml:space="preserve"> (RAN1#104-e)</w:t>
      </w:r>
    </w:p>
    <w:p w14:paraId="1BFBCE5F" w14:textId="77777777" w:rsidR="00DD1C2A" w:rsidRPr="00DD1C2A" w:rsidRDefault="00DD1C2A" w:rsidP="00DD1C2A">
      <w:pPr>
        <w:rPr>
          <w:rFonts w:cs="Times"/>
          <w:i/>
          <w:iCs/>
          <w:szCs w:val="20"/>
          <w:lang w:eastAsia="zh-CN"/>
        </w:rPr>
      </w:pPr>
      <w:r w:rsidRPr="00DD1C2A">
        <w:rPr>
          <w:rFonts w:cs="Times"/>
          <w:i/>
          <w:iCs/>
          <w:szCs w:val="20"/>
          <w:lang w:eastAsia="zh-CN"/>
        </w:rPr>
        <w:t>The following are considered to support at least inter-band inter-carrier scenarios in Rel-17:</w:t>
      </w:r>
    </w:p>
    <w:p w14:paraId="2628DFEA" w14:textId="77777777" w:rsidR="00DD1C2A" w:rsidRPr="00DD1C2A" w:rsidRDefault="00DD1C2A" w:rsidP="00DD1C2A">
      <w:pPr>
        <w:numPr>
          <w:ilvl w:val="0"/>
          <w:numId w:val="49"/>
        </w:numPr>
        <w:spacing w:after="0" w:line="240" w:lineRule="auto"/>
        <w:rPr>
          <w:rFonts w:cs="Times"/>
          <w:i/>
          <w:iCs/>
          <w:szCs w:val="20"/>
          <w:lang w:eastAsia="zh-CN"/>
        </w:rPr>
      </w:pPr>
      <w:r w:rsidRPr="00DD1C2A">
        <w:rPr>
          <w:rFonts w:cs="Times"/>
          <w:i/>
          <w:iCs/>
          <w:szCs w:val="20"/>
          <w:lang w:eastAsia="zh-CN"/>
        </w:rPr>
        <w:t xml:space="preserve">Solutions to address resource coordination/scheduling collision issues between parent nodes including TDD configurations and resource type indications at least in case of intra-donor CU multi-parent scenarios </w:t>
      </w:r>
    </w:p>
    <w:p w14:paraId="0922DFD7" w14:textId="77777777" w:rsidR="00DD1C2A" w:rsidRPr="00DD1C2A" w:rsidRDefault="00DD1C2A" w:rsidP="00DD1C2A">
      <w:pPr>
        <w:numPr>
          <w:ilvl w:val="1"/>
          <w:numId w:val="49"/>
        </w:numPr>
        <w:spacing w:after="0" w:line="240" w:lineRule="auto"/>
        <w:rPr>
          <w:rFonts w:cs="Times"/>
          <w:i/>
          <w:iCs/>
          <w:szCs w:val="20"/>
          <w:lang w:eastAsia="zh-CN"/>
        </w:rPr>
      </w:pPr>
      <w:r w:rsidRPr="00DD1C2A">
        <w:rPr>
          <w:rFonts w:cs="Times"/>
          <w:i/>
          <w:iCs/>
          <w:szCs w:val="20"/>
          <w:lang w:eastAsia="zh-CN"/>
        </w:rPr>
        <w:t>Consider Rel-16 CA framework as starting point</w:t>
      </w:r>
    </w:p>
    <w:p w14:paraId="19F1E7B1" w14:textId="77777777" w:rsidR="00DD1C2A" w:rsidRPr="00DD1C2A" w:rsidRDefault="00DD1C2A" w:rsidP="00DD1C2A">
      <w:pPr>
        <w:numPr>
          <w:ilvl w:val="1"/>
          <w:numId w:val="49"/>
        </w:numPr>
        <w:spacing w:after="0" w:line="240" w:lineRule="auto"/>
        <w:rPr>
          <w:rFonts w:cs="Times"/>
          <w:i/>
          <w:iCs/>
          <w:szCs w:val="20"/>
          <w:lang w:eastAsia="zh-CN"/>
        </w:rPr>
      </w:pPr>
      <w:r w:rsidRPr="00DD1C2A">
        <w:rPr>
          <w:rFonts w:cs="Times"/>
          <w:i/>
          <w:iCs/>
          <w:szCs w:val="20"/>
          <w:lang w:eastAsia="zh-CN"/>
        </w:rPr>
        <w:t>Solutions for scheduling collision between two parent DUs due to indication of the resource availability for soft symbol(s) to the IAB-DU(s) by DCI format 2_5</w:t>
      </w:r>
    </w:p>
    <w:p w14:paraId="705227B2" w14:textId="77777777" w:rsidR="00DD1C2A" w:rsidRPr="00DD1C2A" w:rsidRDefault="00DD1C2A" w:rsidP="00DD1C2A">
      <w:pPr>
        <w:numPr>
          <w:ilvl w:val="1"/>
          <w:numId w:val="49"/>
        </w:numPr>
        <w:spacing w:after="0" w:line="240" w:lineRule="auto"/>
        <w:rPr>
          <w:rFonts w:cs="Times"/>
          <w:i/>
          <w:iCs/>
          <w:szCs w:val="20"/>
          <w:lang w:eastAsia="zh-CN"/>
        </w:rPr>
      </w:pPr>
      <w:r w:rsidRPr="00DD1C2A">
        <w:rPr>
          <w:rFonts w:cs="Times"/>
          <w:i/>
          <w:iCs/>
          <w:szCs w:val="20"/>
          <w:lang w:eastAsia="zh-CN"/>
        </w:rPr>
        <w:t>Solutions for scheduling collision between two parent DUs due to indication of the slot format by DCI format 2_0</w:t>
      </w:r>
    </w:p>
    <w:p w14:paraId="1AC9D2EC" w14:textId="77777777" w:rsidR="00DD1C2A" w:rsidRPr="00DD1C2A" w:rsidRDefault="00DD1C2A" w:rsidP="00DD1C2A">
      <w:pPr>
        <w:numPr>
          <w:ilvl w:val="1"/>
          <w:numId w:val="49"/>
        </w:numPr>
        <w:spacing w:after="0" w:line="240" w:lineRule="auto"/>
        <w:rPr>
          <w:rFonts w:cs="Times"/>
          <w:i/>
          <w:iCs/>
          <w:szCs w:val="20"/>
          <w:lang w:eastAsia="zh-CN"/>
        </w:rPr>
      </w:pPr>
      <w:r w:rsidRPr="00DD1C2A">
        <w:rPr>
          <w:rFonts w:cs="Times"/>
          <w:i/>
          <w:iCs/>
          <w:szCs w:val="20"/>
          <w:lang w:eastAsia="zh-CN"/>
        </w:rPr>
        <w:lastRenderedPageBreak/>
        <w:t>FFS: Whether or not separate solutions are required for resource coordination in case of inter-donor CU multi-parent scenarios</w:t>
      </w:r>
    </w:p>
    <w:p w14:paraId="4BAD79EE" w14:textId="77777777" w:rsidR="00DD1C2A" w:rsidRPr="00DD1C2A" w:rsidRDefault="00DD1C2A" w:rsidP="00DD1C2A">
      <w:pPr>
        <w:numPr>
          <w:ilvl w:val="0"/>
          <w:numId w:val="49"/>
        </w:numPr>
        <w:spacing w:after="0" w:line="240" w:lineRule="auto"/>
        <w:rPr>
          <w:rFonts w:cs="Times"/>
          <w:i/>
          <w:iCs/>
          <w:szCs w:val="20"/>
          <w:lang w:eastAsia="zh-CN"/>
        </w:rPr>
      </w:pPr>
      <w:r w:rsidRPr="00DD1C2A">
        <w:rPr>
          <w:rFonts w:cs="Times"/>
          <w:i/>
          <w:iCs/>
          <w:szCs w:val="20"/>
          <w:lang w:eastAsia="zh-CN"/>
        </w:rPr>
        <w:t>Per-backhaul link (e.g. per child IAB-MT link) resource configurations in addition to per-DU resource configurations</w:t>
      </w:r>
    </w:p>
    <w:p w14:paraId="592B8344" w14:textId="77777777" w:rsidR="00DD1C2A" w:rsidRPr="00DD1C2A" w:rsidRDefault="00DD1C2A" w:rsidP="00DD1C2A">
      <w:pPr>
        <w:numPr>
          <w:ilvl w:val="0"/>
          <w:numId w:val="49"/>
        </w:numPr>
        <w:spacing w:after="0" w:line="240" w:lineRule="auto"/>
        <w:rPr>
          <w:rFonts w:cs="Times"/>
          <w:i/>
          <w:iCs/>
          <w:szCs w:val="20"/>
          <w:lang w:eastAsia="zh-CN"/>
        </w:rPr>
      </w:pPr>
      <w:r w:rsidRPr="00DD1C2A">
        <w:rPr>
          <w:rFonts w:cs="Times"/>
          <w:i/>
          <w:iCs/>
          <w:szCs w:val="20"/>
          <w:lang w:eastAsia="zh-CN"/>
        </w:rPr>
        <w:t>FFS: Enhancements to indication of soft resource availability from child node to parent node(s)</w:t>
      </w:r>
    </w:p>
    <w:p w14:paraId="75579F71" w14:textId="77777777" w:rsidR="00DD1C2A" w:rsidRPr="00DD1C2A" w:rsidRDefault="00DD1C2A" w:rsidP="00DD1C2A">
      <w:pPr>
        <w:numPr>
          <w:ilvl w:val="0"/>
          <w:numId w:val="49"/>
        </w:numPr>
        <w:spacing w:after="0" w:line="240" w:lineRule="auto"/>
        <w:rPr>
          <w:rFonts w:cs="Times"/>
          <w:i/>
          <w:iCs/>
          <w:szCs w:val="20"/>
          <w:lang w:eastAsia="zh-CN"/>
        </w:rPr>
      </w:pPr>
      <w:r w:rsidRPr="00DD1C2A">
        <w:rPr>
          <w:rFonts w:cs="Times"/>
          <w:i/>
          <w:iCs/>
          <w:szCs w:val="20"/>
          <w:lang w:eastAsia="zh-CN"/>
        </w:rPr>
        <w:t>FFS: Additional restrictions on simultaneous operation and/or multiplexing</w:t>
      </w:r>
    </w:p>
    <w:p w14:paraId="63027B6F" w14:textId="0C3035F9" w:rsidR="00DD1C2A" w:rsidRPr="00A51664" w:rsidRDefault="00DD1C2A" w:rsidP="00A51664">
      <w:pPr>
        <w:numPr>
          <w:ilvl w:val="0"/>
          <w:numId w:val="49"/>
        </w:numPr>
        <w:spacing w:after="0" w:line="240" w:lineRule="auto"/>
        <w:rPr>
          <w:lang w:val="en-GB"/>
        </w:rPr>
      </w:pPr>
      <w:r w:rsidRPr="00A51664">
        <w:rPr>
          <w:rFonts w:cs="Times"/>
          <w:i/>
          <w:iCs/>
          <w:szCs w:val="20"/>
          <w:lang w:eastAsia="zh-CN"/>
        </w:rPr>
        <w:t>FFS: Whether the above solutions are also applicable for intra-band inter-carrier scenarios and whether additional solutions are required (e.g. RAN2 and RAN4 work related to adding band configuration and RRM requirements for intra-band inter-carrier NR-DC or updating related UE/MT capabilities for NR-DC so that they are applicable for intra-band inter-carrier NR-DC)</w:t>
      </w:r>
    </w:p>
    <w:p w14:paraId="6F2175DD" w14:textId="74CCFB43" w:rsidR="005471F1" w:rsidRDefault="005471F1" w:rsidP="00A51664">
      <w:pPr>
        <w:spacing w:before="120"/>
        <w:rPr>
          <w:lang w:val="en-GB"/>
        </w:rPr>
      </w:pPr>
      <w:r>
        <w:rPr>
          <w:lang w:val="en-GB"/>
        </w:rPr>
        <w:t xml:space="preserve">There </w:t>
      </w:r>
      <w:r w:rsidR="009B468E">
        <w:rPr>
          <w:lang w:val="en-GB"/>
        </w:rPr>
        <w:t xml:space="preserve">have been </w:t>
      </w:r>
      <w:r>
        <w:rPr>
          <w:lang w:val="en-GB"/>
        </w:rPr>
        <w:t xml:space="preserve">discussions on whether to support intra-carrier DC in eIAB systems. Given that intra-carrier DC can make significant improvement in resource efficiency, especially at FR2 with lower link reliability and higher available bandwidths, we support intra-carrier DC </w:t>
      </w:r>
      <w:bookmarkStart w:id="154" w:name="_Hlk61558954"/>
      <w:r>
        <w:rPr>
          <w:lang w:val="en-GB"/>
        </w:rPr>
        <w:t>at least to the extent that it reuses solutions for inter-carrier DC</w:t>
      </w:r>
      <w:bookmarkEnd w:id="154"/>
      <w:r>
        <w:rPr>
          <w:lang w:val="en-GB"/>
        </w:rPr>
        <w:t>.</w:t>
      </w:r>
    </w:p>
    <w:p w14:paraId="1B4ABBF9" w14:textId="4F38825B" w:rsidR="005471F1" w:rsidRDefault="005471F1" w:rsidP="005471F1">
      <w:pPr>
        <w:pStyle w:val="Proposal"/>
        <w:rPr>
          <w:lang w:val="en-GB"/>
        </w:rPr>
      </w:pPr>
      <w:bookmarkStart w:id="155" w:name="_Toc61559092"/>
      <w:bookmarkStart w:id="156" w:name="_Toc61559329"/>
      <w:bookmarkStart w:id="157" w:name="_Toc61854475"/>
      <w:bookmarkStart w:id="158" w:name="_Toc61858382"/>
      <w:bookmarkStart w:id="159" w:name="_Toc61858816"/>
      <w:bookmarkStart w:id="160" w:name="_Toc61859147"/>
      <w:bookmarkStart w:id="161" w:name="_Toc61895541"/>
      <w:bookmarkStart w:id="162" w:name="_Toc61895643"/>
      <w:bookmarkStart w:id="163" w:name="_Toc68553154"/>
      <w:bookmarkStart w:id="164" w:name="_Toc68604765"/>
      <w:bookmarkStart w:id="165" w:name="_Toc68608878"/>
      <w:bookmarkStart w:id="166" w:name="_Toc68611511"/>
      <w:bookmarkStart w:id="167" w:name="_Toc68621476"/>
      <w:bookmarkStart w:id="168" w:name="_Toc68645547"/>
      <w:r>
        <w:rPr>
          <w:lang w:val="en-GB"/>
        </w:rPr>
        <w:t xml:space="preserve">Support intra-carrier DC </w:t>
      </w:r>
      <w:r w:rsidRPr="005471F1">
        <w:rPr>
          <w:lang w:val="en-GB"/>
        </w:rPr>
        <w:t>at least to the extent that solutions for inter-carrier DC</w:t>
      </w:r>
      <w:r w:rsidR="00F15DE6">
        <w:rPr>
          <w:lang w:val="en-GB"/>
        </w:rPr>
        <w:t xml:space="preserve"> are reused</w:t>
      </w:r>
      <w:r>
        <w:rPr>
          <w:lang w:val="en-GB"/>
        </w:rPr>
        <w:t>.</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7D23FA0B" w14:textId="2E92F4A6" w:rsidR="00575A18" w:rsidRDefault="00C46264" w:rsidP="00887C39">
      <w:pPr>
        <w:rPr>
          <w:lang w:val="en-GB"/>
        </w:rPr>
      </w:pPr>
      <w:r>
        <w:rPr>
          <w:lang w:val="en-GB"/>
        </w:rPr>
        <w:t>It was agreed in RAN1#103-e to further study availability indication in DC scenarios.</w:t>
      </w:r>
      <w:r w:rsidR="00575A18">
        <w:rPr>
          <w:lang w:val="en-GB"/>
        </w:rPr>
        <w:t xml:space="preserve"> Consider the following </w:t>
      </w:r>
      <w:r w:rsidR="006F2A5F">
        <w:rPr>
          <w:lang w:val="en-GB"/>
        </w:rPr>
        <w:t>figure</w:t>
      </w:r>
      <w:r w:rsidR="00575A18">
        <w:rPr>
          <w:lang w:val="en-GB"/>
        </w:rPr>
        <w:t>.</w:t>
      </w:r>
    </w:p>
    <w:p w14:paraId="762B4049" w14:textId="10D97715" w:rsidR="00575A18" w:rsidRDefault="000B4F62" w:rsidP="00575A18">
      <w:pPr>
        <w:pStyle w:val="Figure"/>
      </w:pPr>
      <w:r>
        <w:pict w14:anchorId="5F81C7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49.2pt;height:119.25pt">
            <v:imagedata r:id="rId11" o:title=""/>
          </v:shape>
        </w:pict>
      </w:r>
    </w:p>
    <w:p w14:paraId="159EECE0" w14:textId="02C73944" w:rsidR="00575A18" w:rsidRPr="00575A18" w:rsidRDefault="00575A18" w:rsidP="00575A18">
      <w:pPr>
        <w:pStyle w:val="Caption"/>
      </w:pPr>
      <w:r>
        <w:t>. IAB dual connectivity</w:t>
      </w:r>
    </w:p>
    <w:p w14:paraId="64548ABB" w14:textId="57EBF13D" w:rsidR="00DB4489" w:rsidRDefault="006F2A5F" w:rsidP="00887C39">
      <w:pPr>
        <w:rPr>
          <w:lang w:val="en-GB"/>
        </w:rPr>
      </w:pPr>
      <w:r>
        <w:rPr>
          <w:lang w:val="en-GB"/>
        </w:rPr>
        <w:t>In this figure,</w:t>
      </w:r>
      <w:r w:rsidR="00C46095">
        <w:rPr>
          <w:lang w:val="en-GB"/>
        </w:rPr>
        <w:t xml:space="preserve"> </w:t>
      </w:r>
      <w:r>
        <w:rPr>
          <w:lang w:val="en-GB"/>
        </w:rPr>
        <w:t xml:space="preserve">both </w:t>
      </w:r>
      <w:r w:rsidR="00C46095">
        <w:rPr>
          <w:lang w:val="en-GB"/>
        </w:rPr>
        <w:t xml:space="preserve">parent IAB node </w:t>
      </w:r>
      <w:r>
        <w:rPr>
          <w:lang w:val="en-GB"/>
        </w:rPr>
        <w:t>1 (PN1) and parent node 2 (PN2) can</w:t>
      </w:r>
      <w:r w:rsidR="00C46095">
        <w:rPr>
          <w:lang w:val="en-GB"/>
        </w:rPr>
        <w:t xml:space="preserve"> be informed of </w:t>
      </w:r>
      <w:r>
        <w:rPr>
          <w:lang w:val="en-GB"/>
        </w:rPr>
        <w:t xml:space="preserve">H/S/NA </w:t>
      </w:r>
      <w:r w:rsidR="00C46095">
        <w:rPr>
          <w:lang w:val="en-GB"/>
        </w:rPr>
        <w:t xml:space="preserve">resource configurations for </w:t>
      </w:r>
      <w:r>
        <w:rPr>
          <w:lang w:val="en-GB"/>
        </w:rPr>
        <w:t>the IAB node (</w:t>
      </w:r>
      <w:r w:rsidR="00C46095">
        <w:rPr>
          <w:lang w:val="en-GB"/>
        </w:rPr>
        <w:t>N</w:t>
      </w:r>
      <w:r>
        <w:rPr>
          <w:lang w:val="en-GB"/>
        </w:rPr>
        <w:t>)</w:t>
      </w:r>
      <w:r w:rsidR="00C46095">
        <w:rPr>
          <w:lang w:val="en-GB"/>
        </w:rPr>
        <w:t xml:space="preserve"> according to IAB Rel-16. However, for example, if PN1 indicates soft resources available for N</w:t>
      </w:r>
      <w:r w:rsidR="00DB4489">
        <w:rPr>
          <w:lang w:val="en-GB"/>
        </w:rPr>
        <w:t xml:space="preserve"> through DCI 2_5 signaling</w:t>
      </w:r>
      <w:r w:rsidR="00C46095">
        <w:rPr>
          <w:lang w:val="en-GB"/>
        </w:rPr>
        <w:t>, PN2 does not have access to this information</w:t>
      </w:r>
      <w:r w:rsidR="00DB4489">
        <w:rPr>
          <w:lang w:val="en-GB"/>
        </w:rPr>
        <w:t>.</w:t>
      </w:r>
    </w:p>
    <w:p w14:paraId="2FDD4FEB" w14:textId="34FA9C64" w:rsidR="00C46095" w:rsidRDefault="00DB4489" w:rsidP="00887C39">
      <w:pPr>
        <w:rPr>
          <w:lang w:val="en-GB"/>
        </w:rPr>
      </w:pPr>
      <w:r>
        <w:rPr>
          <w:lang w:val="en-GB"/>
        </w:rPr>
        <w:t xml:space="preserve">That </w:t>
      </w:r>
      <w:r w:rsidR="00C46095">
        <w:rPr>
          <w:lang w:val="en-GB"/>
        </w:rPr>
        <w:t>raises several issues. One issue is that if PN2 intends to avoid interference with transmissions scheduled by N</w:t>
      </w:r>
      <w:r>
        <w:rPr>
          <w:lang w:val="en-GB"/>
        </w:rPr>
        <w:t xml:space="preserve"> on soft resources</w:t>
      </w:r>
      <w:r w:rsidR="00C46095">
        <w:rPr>
          <w:lang w:val="en-GB"/>
        </w:rPr>
        <w:t xml:space="preserve">, it does not </w:t>
      </w:r>
      <w:r>
        <w:rPr>
          <w:lang w:val="en-GB"/>
        </w:rPr>
        <w:t xml:space="preserve">have a means to realize whether the soft resources are already available to N. Another issue </w:t>
      </w:r>
      <w:r w:rsidR="00CA3F84">
        <w:rPr>
          <w:lang w:val="en-GB"/>
        </w:rPr>
        <w:t xml:space="preserve">is during </w:t>
      </w:r>
      <w:r>
        <w:rPr>
          <w:lang w:val="en-GB"/>
        </w:rPr>
        <w:t>transition times when the link between N and PN1 is not available and PN2 should take control of resource availability for N and other child nodes without knowing which soft resources are already indicated available to N.</w:t>
      </w:r>
    </w:p>
    <w:p w14:paraId="523030DA" w14:textId="76D03E7D" w:rsidR="00DB4489" w:rsidRDefault="00DB4489" w:rsidP="00887C39">
      <w:pPr>
        <w:rPr>
          <w:lang w:val="en-GB"/>
        </w:rPr>
      </w:pPr>
      <w:r>
        <w:rPr>
          <w:lang w:val="en-GB"/>
        </w:rPr>
        <w:t xml:space="preserve">In order to address these issues, signalling can be introduced between parent nodes, or from an IAB node to its parent node, that informs the parent node of the current status of </w:t>
      </w:r>
      <w:r w:rsidR="0094468A">
        <w:rPr>
          <w:lang w:val="en-GB"/>
        </w:rPr>
        <w:t xml:space="preserve">availability indication </w:t>
      </w:r>
      <w:r>
        <w:rPr>
          <w:lang w:val="en-GB"/>
        </w:rPr>
        <w:t xml:space="preserve">for soft resources </w:t>
      </w:r>
      <w:r w:rsidR="00C4248E">
        <w:rPr>
          <w:lang w:val="en-GB"/>
        </w:rPr>
        <w:t>of</w:t>
      </w:r>
      <w:r>
        <w:rPr>
          <w:lang w:val="en-GB"/>
        </w:rPr>
        <w:t xml:space="preserve"> a dually-connected IAB node.</w:t>
      </w:r>
    </w:p>
    <w:p w14:paraId="4A068B15" w14:textId="309337F9" w:rsidR="00D94456" w:rsidRPr="00D94456" w:rsidRDefault="009B44C6" w:rsidP="00A51664">
      <w:pPr>
        <w:pStyle w:val="Proposal"/>
      </w:pPr>
      <w:bookmarkStart w:id="169" w:name="_Toc54311507"/>
      <w:bookmarkStart w:id="170" w:name="_Toc54311607"/>
      <w:bookmarkStart w:id="171" w:name="_Toc54311802"/>
      <w:bookmarkStart w:id="172" w:name="_Toc54332055"/>
      <w:bookmarkStart w:id="173" w:name="_Toc54332733"/>
      <w:bookmarkStart w:id="174" w:name="_Toc54332777"/>
      <w:bookmarkStart w:id="175" w:name="_Toc54332819"/>
      <w:bookmarkStart w:id="176" w:name="_Toc54336719"/>
      <w:bookmarkStart w:id="177" w:name="_Toc54336880"/>
      <w:bookmarkStart w:id="178" w:name="_Toc54341457"/>
      <w:bookmarkStart w:id="179" w:name="_Toc54341515"/>
      <w:bookmarkStart w:id="180" w:name="_Toc54345804"/>
      <w:bookmarkStart w:id="181" w:name="_Toc54393521"/>
      <w:bookmarkStart w:id="182" w:name="_Toc54393582"/>
      <w:bookmarkStart w:id="183" w:name="_Toc54393721"/>
      <w:bookmarkStart w:id="184" w:name="_Toc61520647"/>
      <w:bookmarkStart w:id="185" w:name="_Toc61536513"/>
      <w:bookmarkStart w:id="186" w:name="_Toc61541293"/>
      <w:bookmarkStart w:id="187" w:name="_Toc61541345"/>
      <w:bookmarkStart w:id="188" w:name="_Toc61544636"/>
      <w:bookmarkStart w:id="189" w:name="_Toc61547549"/>
      <w:bookmarkStart w:id="190" w:name="_Toc61559093"/>
      <w:bookmarkStart w:id="191" w:name="_Toc61559330"/>
      <w:bookmarkStart w:id="192" w:name="_Toc61854476"/>
      <w:bookmarkStart w:id="193" w:name="_Toc61858383"/>
      <w:bookmarkStart w:id="194" w:name="_Toc61858817"/>
      <w:bookmarkStart w:id="195" w:name="_Toc61859148"/>
      <w:bookmarkStart w:id="196" w:name="_Toc61895542"/>
      <w:bookmarkStart w:id="197" w:name="_Toc61895644"/>
      <w:bookmarkStart w:id="198" w:name="_Toc68553155"/>
      <w:bookmarkStart w:id="199" w:name="_Toc68604766"/>
      <w:bookmarkStart w:id="200" w:name="_Toc68608879"/>
      <w:bookmarkStart w:id="201" w:name="_Toc68611512"/>
      <w:bookmarkStart w:id="202" w:name="_Toc68621477"/>
      <w:bookmarkStart w:id="203" w:name="_Toc68645548"/>
      <w:r>
        <w:t xml:space="preserve">Support </w:t>
      </w:r>
      <w:r w:rsidR="00A90CE4" w:rsidRPr="00994344">
        <w:t>signaling</w:t>
      </w:r>
      <w:r w:rsidR="00A90CE4">
        <w:t xml:space="preserve"> </w:t>
      </w:r>
      <w:r>
        <w:t xml:space="preserve">from an </w:t>
      </w:r>
      <w:r w:rsidR="00A90CE4">
        <w:t xml:space="preserve">IAB node in the DC mode to </w:t>
      </w:r>
      <w:r w:rsidR="00A973C7">
        <w:t xml:space="preserve">its </w:t>
      </w:r>
      <w:r w:rsidR="00A90CE4">
        <w:t xml:space="preserve">parent node </w:t>
      </w:r>
      <w:r>
        <w:t xml:space="preserve">that informs the parent node </w:t>
      </w:r>
      <w:r w:rsidR="00A90CE4">
        <w:t>of the status of availability of soft resources.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r w:rsidR="00CB6206">
        <w:t xml:space="preserve"> Further discuss specification of mechanisms to handle availability indication collisions by two parent nodes</w:t>
      </w:r>
      <w:r w:rsidR="00B25650">
        <w:t xml:space="preserve"> in the DC mode</w:t>
      </w:r>
      <w:r w:rsidR="00CB6206">
        <w:t>.</w:t>
      </w:r>
      <w:bookmarkEnd w:id="202"/>
      <w:bookmarkEnd w:id="203"/>
    </w:p>
    <w:p w14:paraId="27D4F397" w14:textId="5BD92296" w:rsidR="00B1741F" w:rsidRPr="001B5AA8" w:rsidRDefault="00453465" w:rsidP="00B1741F">
      <w:pPr>
        <w:pStyle w:val="Heading1"/>
      </w:pPr>
      <w:r>
        <w:t>Conclusions</w:t>
      </w:r>
    </w:p>
    <w:p w14:paraId="2F91A1ED" w14:textId="0A1C35AF" w:rsidR="00B1741F" w:rsidRDefault="00B1741F" w:rsidP="00B1741F">
      <w:r>
        <w:t xml:space="preserve">In this contribution, we discussed </w:t>
      </w:r>
      <w:r w:rsidR="00F317D4">
        <w:t xml:space="preserve">resource multiplexing </w:t>
      </w:r>
      <w:r>
        <w:t>enhancements for simultaneous operation</w:t>
      </w:r>
      <w:r w:rsidR="00C124C4">
        <w:t>s on</w:t>
      </w:r>
      <w:r>
        <w:t xml:space="preserve"> child and parent links of an IAB</w:t>
      </w:r>
      <w:r w:rsidR="00DA2597">
        <w:t xml:space="preserve"> </w:t>
      </w:r>
      <w:r>
        <w:t xml:space="preserve">node and made the following </w:t>
      </w:r>
      <w:r w:rsidR="006F16D6">
        <w:t xml:space="preserve">observations and </w:t>
      </w:r>
      <w:r>
        <w:t>proposals:</w:t>
      </w:r>
    </w:p>
    <w:p w14:paraId="4EAB3898" w14:textId="77777777" w:rsidR="00A51664" w:rsidRDefault="006E4066">
      <w:pPr>
        <w:pStyle w:val="TableofFigures"/>
        <w:tabs>
          <w:tab w:val="left" w:pos="1701"/>
        </w:tabs>
        <w:rPr>
          <w:rFonts w:asciiTheme="minorHAnsi" w:eastAsiaTheme="minorEastAsia" w:hAnsiTheme="minorHAnsi" w:cstheme="minorBidi"/>
          <w:b w:val="0"/>
          <w:bCs w:val="0"/>
          <w:noProof/>
          <w:sz w:val="22"/>
          <w:szCs w:val="22"/>
        </w:rPr>
      </w:pPr>
      <w:r>
        <w:fldChar w:fldCharType="begin"/>
      </w:r>
      <w:r>
        <w:instrText xml:space="preserve"> TOC \n \t "Observation" \c </w:instrText>
      </w:r>
      <w:r>
        <w:fldChar w:fldCharType="separate"/>
      </w:r>
      <w:r w:rsidR="00A51664">
        <w:rPr>
          <w:noProof/>
        </w:rPr>
        <w:t>Observation 1:</w:t>
      </w:r>
      <w:r w:rsidR="00A51664">
        <w:rPr>
          <w:rFonts w:asciiTheme="minorHAnsi" w:eastAsiaTheme="minorEastAsia" w:hAnsiTheme="minorHAnsi" w:cstheme="minorBidi"/>
          <w:b w:val="0"/>
          <w:bCs w:val="0"/>
          <w:noProof/>
          <w:sz w:val="22"/>
          <w:szCs w:val="22"/>
        </w:rPr>
        <w:tab/>
      </w:r>
      <w:r w:rsidR="00A51664">
        <w:rPr>
          <w:noProof/>
        </w:rPr>
        <w:t>It can take a significant amount of time to specify rules and behaviours if a resource in the time-frequency grid is to receive separate configurations and signalling for time and frequency domains, each with three resource types.</w:t>
      </w:r>
    </w:p>
    <w:p w14:paraId="19A6EE7F" w14:textId="77777777" w:rsidR="00A51664" w:rsidRDefault="00A51664">
      <w:pPr>
        <w:pStyle w:val="TableofFigures"/>
        <w:tabs>
          <w:tab w:val="left" w:pos="1701"/>
        </w:tabs>
        <w:rPr>
          <w:rFonts w:asciiTheme="minorHAnsi" w:eastAsiaTheme="minorEastAsia" w:hAnsiTheme="minorHAnsi" w:cstheme="minorBidi"/>
          <w:b w:val="0"/>
          <w:bCs w:val="0"/>
          <w:noProof/>
          <w:sz w:val="22"/>
          <w:szCs w:val="22"/>
        </w:rPr>
      </w:pPr>
      <w:r>
        <w:rPr>
          <w:noProof/>
        </w:rPr>
        <w:t>Observation 2:</w:t>
      </w:r>
      <w:r>
        <w:rPr>
          <w:rFonts w:asciiTheme="minorHAnsi" w:eastAsiaTheme="minorEastAsia" w:hAnsiTheme="minorHAnsi" w:cstheme="minorBidi"/>
          <w:b w:val="0"/>
          <w:bCs w:val="0"/>
          <w:noProof/>
          <w:sz w:val="22"/>
          <w:szCs w:val="22"/>
        </w:rPr>
        <w:tab/>
      </w:r>
      <w:r>
        <w:rPr>
          <w:noProof/>
        </w:rPr>
        <w:t>The best-effort approach is insufficient for non-TDM operation in the presence of varying beam, power, interference, and timing alignment constraints.</w:t>
      </w:r>
    </w:p>
    <w:p w14:paraId="3418385B" w14:textId="77777777" w:rsidR="00A51664" w:rsidRDefault="00A51664">
      <w:pPr>
        <w:pStyle w:val="TableofFigures"/>
        <w:tabs>
          <w:tab w:val="left" w:pos="1701"/>
        </w:tabs>
        <w:rPr>
          <w:rFonts w:asciiTheme="minorHAnsi" w:eastAsiaTheme="minorEastAsia" w:hAnsiTheme="minorHAnsi" w:cstheme="minorBidi"/>
          <w:b w:val="0"/>
          <w:bCs w:val="0"/>
          <w:noProof/>
          <w:sz w:val="22"/>
          <w:szCs w:val="22"/>
        </w:rPr>
      </w:pPr>
      <w:r>
        <w:rPr>
          <w:noProof/>
        </w:rPr>
        <w:lastRenderedPageBreak/>
        <w:t>Observation 3:</w:t>
      </w:r>
      <w:r>
        <w:rPr>
          <w:rFonts w:asciiTheme="minorHAnsi" w:eastAsiaTheme="minorEastAsia" w:hAnsiTheme="minorHAnsi" w:cstheme="minorBidi"/>
          <w:b w:val="0"/>
          <w:bCs w:val="0"/>
          <w:noProof/>
          <w:sz w:val="22"/>
          <w:szCs w:val="22"/>
        </w:rPr>
        <w:tab/>
      </w:r>
      <w:r>
        <w:rPr>
          <w:noProof/>
        </w:rPr>
        <w:t>When non-TDM multiplexing between upstream and downstream links are intended, sending availability indication for IAB-DU resources solely based on IAB node’s non-TDM capability may result in shortage of resources for IAB-MT due to beamforming, power, interference, or timing alignment constraints at a moment.</w:t>
      </w:r>
    </w:p>
    <w:p w14:paraId="386B2511" w14:textId="2036DA12" w:rsidR="00FA6AE1" w:rsidRDefault="006E4066">
      <w:pPr>
        <w:pStyle w:val="TableofFigures"/>
      </w:pPr>
      <w:r>
        <w:fldChar w:fldCharType="end"/>
      </w:r>
    </w:p>
    <w:p w14:paraId="54A1937F" w14:textId="77777777" w:rsidR="00A51664" w:rsidRDefault="009A7FE7">
      <w:pPr>
        <w:pStyle w:val="TableofFigures"/>
        <w:rPr>
          <w:rFonts w:asciiTheme="minorHAnsi" w:eastAsiaTheme="minorEastAsia" w:hAnsiTheme="minorHAnsi" w:cstheme="minorBidi"/>
          <w:b w:val="0"/>
          <w:bCs w:val="0"/>
          <w:noProof/>
          <w:sz w:val="22"/>
          <w:szCs w:val="22"/>
        </w:rPr>
      </w:pPr>
      <w:r>
        <w:fldChar w:fldCharType="begin"/>
      </w:r>
      <w:r>
        <w:instrText xml:space="preserve"> TOC \n \t "Proposal" \c </w:instrText>
      </w:r>
      <w:r>
        <w:fldChar w:fldCharType="separate"/>
      </w:r>
      <w:r w:rsidR="00A51664" w:rsidRPr="00A8295B">
        <w:rPr>
          <w:noProof/>
          <w:lang w:val="en-GB"/>
        </w:rPr>
        <w:t>Proposal 1:</w:t>
      </w:r>
      <w:r w:rsidR="00A51664">
        <w:rPr>
          <w:rFonts w:asciiTheme="minorHAnsi" w:eastAsiaTheme="minorEastAsia" w:hAnsiTheme="minorHAnsi" w:cstheme="minorBidi"/>
          <w:b w:val="0"/>
          <w:bCs w:val="0"/>
          <w:noProof/>
          <w:sz w:val="22"/>
          <w:szCs w:val="22"/>
        </w:rPr>
        <w:tab/>
      </w:r>
      <w:r w:rsidR="00A51664" w:rsidRPr="00A8295B">
        <w:rPr>
          <w:noProof/>
          <w:lang w:val="en-GB"/>
        </w:rPr>
        <w:t>Extend the semi-static DU resource type indication and dynamic signalling to frequency-domain resources within a carrier.</w:t>
      </w:r>
    </w:p>
    <w:p w14:paraId="55A44321" w14:textId="77777777" w:rsidR="00A51664" w:rsidRDefault="00A51664">
      <w:pPr>
        <w:pStyle w:val="TableofFigures"/>
        <w:rPr>
          <w:rFonts w:asciiTheme="minorHAnsi" w:eastAsiaTheme="minorEastAsia" w:hAnsiTheme="minorHAnsi" w:cstheme="minorBidi"/>
          <w:b w:val="0"/>
          <w:bCs w:val="0"/>
          <w:noProof/>
          <w:sz w:val="22"/>
          <w:szCs w:val="22"/>
        </w:rPr>
      </w:pPr>
      <w:r w:rsidRPr="00A8295B">
        <w:rPr>
          <w:noProof/>
          <w:lang w:val="en-GB"/>
        </w:rPr>
        <w:t>Proposal 2:</w:t>
      </w:r>
      <w:r>
        <w:rPr>
          <w:rFonts w:asciiTheme="minorHAnsi" w:eastAsiaTheme="minorEastAsia" w:hAnsiTheme="minorHAnsi" w:cstheme="minorBidi"/>
          <w:b w:val="0"/>
          <w:bCs w:val="0"/>
          <w:noProof/>
          <w:sz w:val="22"/>
          <w:szCs w:val="22"/>
        </w:rPr>
        <w:tab/>
      </w:r>
      <w:r w:rsidRPr="00A8295B">
        <w:rPr>
          <w:noProof/>
          <w:lang w:val="en-GB"/>
        </w:rPr>
        <w:t>Define two resource types in the frequency domain to enable frequency-domain availability indication on soft symbols. The granularity of N PRBs/RBGs can be configurable.</w:t>
      </w:r>
    </w:p>
    <w:p w14:paraId="19B03A95" w14:textId="77777777" w:rsidR="00A51664" w:rsidRDefault="00A51664">
      <w:pPr>
        <w:pStyle w:val="TableofFigures"/>
        <w:rPr>
          <w:rFonts w:asciiTheme="minorHAnsi" w:eastAsiaTheme="minorEastAsia" w:hAnsiTheme="minorHAnsi" w:cstheme="minorBidi"/>
          <w:b w:val="0"/>
          <w:bCs w:val="0"/>
          <w:noProof/>
          <w:sz w:val="22"/>
          <w:szCs w:val="22"/>
        </w:rPr>
      </w:pPr>
      <w:r>
        <w:rPr>
          <w:noProof/>
        </w:rPr>
        <w:t>Proposal 3:</w:t>
      </w:r>
      <w:r>
        <w:rPr>
          <w:rFonts w:asciiTheme="minorHAnsi" w:eastAsiaTheme="minorEastAsia" w:hAnsiTheme="minorHAnsi" w:cstheme="minorBidi"/>
          <w:b w:val="0"/>
          <w:bCs w:val="0"/>
          <w:noProof/>
          <w:sz w:val="22"/>
          <w:szCs w:val="22"/>
        </w:rPr>
        <w:tab/>
      </w:r>
      <w:r w:rsidRPr="00A8295B">
        <w:rPr>
          <w:noProof/>
          <w:lang w:val="en-GB"/>
        </w:rPr>
        <w:t>Support conditional availability indication as a balance between existing best-effort non-TDM and TDM-only availability indication.</w:t>
      </w:r>
    </w:p>
    <w:p w14:paraId="18C427B2" w14:textId="77777777" w:rsidR="00A51664" w:rsidRDefault="00A51664">
      <w:pPr>
        <w:pStyle w:val="TableofFigures"/>
        <w:rPr>
          <w:rFonts w:asciiTheme="minorHAnsi" w:eastAsiaTheme="minorEastAsia" w:hAnsiTheme="minorHAnsi" w:cstheme="minorBidi"/>
          <w:b w:val="0"/>
          <w:bCs w:val="0"/>
          <w:noProof/>
          <w:sz w:val="22"/>
          <w:szCs w:val="22"/>
        </w:rPr>
      </w:pPr>
      <w:r>
        <w:rPr>
          <w:noProof/>
        </w:rPr>
        <w:t>Proposal 4:</w:t>
      </w:r>
      <w:r>
        <w:rPr>
          <w:rFonts w:asciiTheme="minorHAnsi" w:eastAsiaTheme="minorEastAsia" w:hAnsiTheme="minorHAnsi" w:cstheme="minorBidi"/>
          <w:b w:val="0"/>
          <w:bCs w:val="0"/>
          <w:noProof/>
          <w:sz w:val="22"/>
          <w:szCs w:val="22"/>
        </w:rPr>
        <w:tab/>
      </w:r>
      <w:r>
        <w:rPr>
          <w:noProof/>
        </w:rPr>
        <w:t>Specify mechanisms for early indication of spatial information by the parent node in order to enable simultaneous operations.</w:t>
      </w:r>
    </w:p>
    <w:p w14:paraId="383388AB" w14:textId="77777777" w:rsidR="00A51664" w:rsidRDefault="00A51664">
      <w:pPr>
        <w:pStyle w:val="TableofFigures"/>
        <w:rPr>
          <w:rFonts w:asciiTheme="minorHAnsi" w:eastAsiaTheme="minorEastAsia" w:hAnsiTheme="minorHAnsi" w:cstheme="minorBidi"/>
          <w:b w:val="0"/>
          <w:bCs w:val="0"/>
          <w:noProof/>
          <w:sz w:val="22"/>
          <w:szCs w:val="22"/>
        </w:rPr>
      </w:pPr>
      <w:r w:rsidRPr="00A8295B">
        <w:rPr>
          <w:noProof/>
          <w:lang w:val="en-GB"/>
        </w:rPr>
        <w:t>Proposal 5:</w:t>
      </w:r>
      <w:r>
        <w:rPr>
          <w:rFonts w:asciiTheme="minorHAnsi" w:eastAsiaTheme="minorEastAsia" w:hAnsiTheme="minorHAnsi" w:cstheme="minorBidi"/>
          <w:b w:val="0"/>
          <w:bCs w:val="0"/>
          <w:noProof/>
          <w:sz w:val="22"/>
          <w:szCs w:val="22"/>
        </w:rPr>
        <w:tab/>
      </w:r>
      <w:r w:rsidRPr="00A8295B">
        <w:rPr>
          <w:noProof/>
          <w:lang w:val="en-GB"/>
        </w:rPr>
        <w:t>Discuss supporting upstream indications (i.e., following an availability indication principle) in addition to early indication of spatial information.</w:t>
      </w:r>
    </w:p>
    <w:p w14:paraId="2C0EDA05" w14:textId="77777777" w:rsidR="00A51664" w:rsidRDefault="00A51664">
      <w:pPr>
        <w:pStyle w:val="TableofFigures"/>
        <w:rPr>
          <w:rFonts w:asciiTheme="minorHAnsi" w:eastAsiaTheme="minorEastAsia" w:hAnsiTheme="minorHAnsi" w:cstheme="minorBidi"/>
          <w:b w:val="0"/>
          <w:bCs w:val="0"/>
          <w:noProof/>
          <w:sz w:val="22"/>
          <w:szCs w:val="22"/>
        </w:rPr>
      </w:pPr>
      <w:r>
        <w:rPr>
          <w:noProof/>
        </w:rPr>
        <w:t>Proposal 6:</w:t>
      </w:r>
      <w:r>
        <w:rPr>
          <w:rFonts w:asciiTheme="minorHAnsi" w:eastAsiaTheme="minorEastAsia" w:hAnsiTheme="minorHAnsi" w:cstheme="minorBidi"/>
          <w:b w:val="0"/>
          <w:bCs w:val="0"/>
          <w:noProof/>
          <w:sz w:val="22"/>
          <w:szCs w:val="22"/>
        </w:rPr>
        <w:tab/>
      </w:r>
      <w:r>
        <w:rPr>
          <w:noProof/>
        </w:rPr>
        <w:t>Support signaling IAB node capabilities for timing alignment and multi-panel and baseband characteristics.</w:t>
      </w:r>
    </w:p>
    <w:p w14:paraId="50CEB9BF" w14:textId="77777777" w:rsidR="00A51664" w:rsidRDefault="00A51664">
      <w:pPr>
        <w:pStyle w:val="TableofFigures"/>
        <w:rPr>
          <w:rFonts w:asciiTheme="minorHAnsi" w:eastAsiaTheme="minorEastAsia" w:hAnsiTheme="minorHAnsi" w:cstheme="minorBidi"/>
          <w:b w:val="0"/>
          <w:bCs w:val="0"/>
          <w:noProof/>
          <w:sz w:val="22"/>
          <w:szCs w:val="22"/>
        </w:rPr>
      </w:pPr>
      <w:r w:rsidRPr="00A8295B">
        <w:rPr>
          <w:noProof/>
          <w:lang w:val="en-GB"/>
        </w:rPr>
        <w:t>Proposal 7:</w:t>
      </w:r>
      <w:r>
        <w:rPr>
          <w:rFonts w:asciiTheme="minorHAnsi" w:eastAsiaTheme="minorEastAsia" w:hAnsiTheme="minorHAnsi" w:cstheme="minorBidi"/>
          <w:b w:val="0"/>
          <w:bCs w:val="0"/>
          <w:noProof/>
          <w:sz w:val="22"/>
          <w:szCs w:val="22"/>
        </w:rPr>
        <w:tab/>
      </w:r>
      <w:r w:rsidRPr="00A8295B">
        <w:rPr>
          <w:noProof/>
          <w:lang w:val="en-GB"/>
        </w:rPr>
        <w:t>Support dynamic signalling for communicating operation constraints such as beam, power, interference, and timing alignment constraints along with information of time, frequency, and spatial resources.</w:t>
      </w:r>
    </w:p>
    <w:p w14:paraId="25B8BC9D" w14:textId="77777777" w:rsidR="00A51664" w:rsidRDefault="00A51664">
      <w:pPr>
        <w:pStyle w:val="TableofFigures"/>
        <w:rPr>
          <w:rFonts w:asciiTheme="minorHAnsi" w:eastAsiaTheme="minorEastAsia" w:hAnsiTheme="minorHAnsi" w:cstheme="minorBidi"/>
          <w:b w:val="0"/>
          <w:bCs w:val="0"/>
          <w:noProof/>
          <w:sz w:val="22"/>
          <w:szCs w:val="22"/>
        </w:rPr>
      </w:pPr>
      <w:r w:rsidRPr="00A8295B">
        <w:rPr>
          <w:noProof/>
          <w:lang w:val="en-GB"/>
        </w:rPr>
        <w:t>Proposal 8:</w:t>
      </w:r>
      <w:r>
        <w:rPr>
          <w:rFonts w:asciiTheme="minorHAnsi" w:eastAsiaTheme="minorEastAsia" w:hAnsiTheme="minorHAnsi" w:cstheme="minorBidi"/>
          <w:b w:val="0"/>
          <w:bCs w:val="0"/>
          <w:noProof/>
          <w:sz w:val="22"/>
          <w:szCs w:val="22"/>
        </w:rPr>
        <w:tab/>
      </w:r>
      <w:r w:rsidRPr="00A8295B">
        <w:rPr>
          <w:noProof/>
          <w:lang w:val="en-GB"/>
        </w:rPr>
        <w:t>Support intra-carrier DC at least to the extent that solutions for inter-carrier DC are reused.</w:t>
      </w:r>
    </w:p>
    <w:p w14:paraId="3B289FEA" w14:textId="77777777" w:rsidR="00A51664" w:rsidRDefault="00A51664">
      <w:pPr>
        <w:pStyle w:val="TableofFigures"/>
        <w:rPr>
          <w:rFonts w:asciiTheme="minorHAnsi" w:eastAsiaTheme="minorEastAsia" w:hAnsiTheme="minorHAnsi" w:cstheme="minorBidi"/>
          <w:b w:val="0"/>
          <w:bCs w:val="0"/>
          <w:noProof/>
          <w:sz w:val="22"/>
          <w:szCs w:val="22"/>
        </w:rPr>
      </w:pPr>
      <w:r>
        <w:rPr>
          <w:noProof/>
        </w:rPr>
        <w:t>Proposal 9:</w:t>
      </w:r>
      <w:r>
        <w:rPr>
          <w:rFonts w:asciiTheme="minorHAnsi" w:eastAsiaTheme="minorEastAsia" w:hAnsiTheme="minorHAnsi" w:cstheme="minorBidi"/>
          <w:b w:val="0"/>
          <w:bCs w:val="0"/>
          <w:noProof/>
          <w:sz w:val="22"/>
          <w:szCs w:val="22"/>
        </w:rPr>
        <w:tab/>
      </w:r>
      <w:r>
        <w:rPr>
          <w:noProof/>
        </w:rPr>
        <w:t>Support signaling from an IAB node in the DC mode to its parent node that informs the parent node of the status of availability of soft resources. Further discuss specification of mechanisms to handle availability indication collisions by two parent nodes in the DC mode.</w:t>
      </w:r>
    </w:p>
    <w:p w14:paraId="3D51BDC7" w14:textId="208B956C" w:rsidR="006055A3" w:rsidRDefault="009A7FE7" w:rsidP="00A51664">
      <w:pPr>
        <w:pStyle w:val="TableofFigures"/>
        <w:tabs>
          <w:tab w:val="clear" w:pos="1411"/>
          <w:tab w:val="left" w:pos="1418"/>
        </w:tabs>
      </w:pPr>
      <w:r>
        <w:fldChar w:fldCharType="end"/>
      </w:r>
    </w:p>
    <w:p w14:paraId="2AAA3E1B" w14:textId="7D685E96" w:rsidR="00B1741F" w:rsidRPr="001B5AA8" w:rsidRDefault="00B1741F" w:rsidP="00B1741F">
      <w:pPr>
        <w:pStyle w:val="Heading1"/>
      </w:pPr>
      <w:r>
        <w:rPr>
          <w:lang w:val="en-US"/>
        </w:rPr>
        <w:t>References</w:t>
      </w:r>
    </w:p>
    <w:p w14:paraId="5D862C10" w14:textId="06C9A5B8" w:rsidR="00B22137" w:rsidRDefault="00B22137" w:rsidP="00B22137">
      <w:pPr>
        <w:pStyle w:val="References"/>
        <w:numPr>
          <w:ilvl w:val="0"/>
          <w:numId w:val="11"/>
        </w:numPr>
      </w:pPr>
      <w:bookmarkStart w:id="204" w:name="_Ref54186872"/>
      <w:bookmarkStart w:id="205" w:name="_Ref30491916"/>
      <w:bookmarkEnd w:id="2"/>
      <w:bookmarkEnd w:id="3"/>
      <w:r>
        <w:t>RAN1#103-e Chairman’s Notes.</w:t>
      </w:r>
    </w:p>
    <w:p w14:paraId="4D9EC02B" w14:textId="3C4CC7E5" w:rsidR="00F95439" w:rsidRDefault="00F95439" w:rsidP="00900A18">
      <w:pPr>
        <w:pStyle w:val="References"/>
        <w:numPr>
          <w:ilvl w:val="0"/>
          <w:numId w:val="11"/>
        </w:numPr>
      </w:pPr>
      <w:r>
        <w:t>RAN1#10</w:t>
      </w:r>
      <w:r w:rsidR="003D2024">
        <w:t>4</w:t>
      </w:r>
      <w:r>
        <w:t>-e Chairman’s Notes.</w:t>
      </w:r>
      <w:bookmarkEnd w:id="4"/>
      <w:bookmarkEnd w:id="204"/>
      <w:bookmarkEnd w:id="205"/>
    </w:p>
    <w:sectPr w:rsidR="00F95439" w:rsidSect="00E054B7">
      <w:headerReference w:type="even" r:id="rId12"/>
      <w:footerReference w:type="even" r:id="rId13"/>
      <w:footerReference w:type="default" r:id="rId1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4A3F3E" w14:textId="77777777" w:rsidR="00D7293E" w:rsidRDefault="00D7293E">
      <w:r>
        <w:separator/>
      </w:r>
    </w:p>
  </w:endnote>
  <w:endnote w:type="continuationSeparator" w:id="0">
    <w:p w14:paraId="73A921DE" w14:textId="77777777" w:rsidR="00D7293E" w:rsidRDefault="00D7293E">
      <w:r>
        <w:continuationSeparator/>
      </w:r>
    </w:p>
  </w:endnote>
  <w:endnote w:type="continuationNotice" w:id="1">
    <w:p w14:paraId="2184A4AD" w14:textId="77777777" w:rsidR="00D7293E" w:rsidRDefault="00D729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A78AE7" w14:textId="77777777" w:rsidR="005D02CF" w:rsidRDefault="005D02C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88AFDC" w14:textId="77777777" w:rsidR="005D02CF" w:rsidRDefault="005D02C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145AE" w14:textId="2DA8EDFF" w:rsidR="005D02CF" w:rsidRDefault="005D02C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04EEB7" w14:textId="77777777" w:rsidR="00D7293E" w:rsidRDefault="00D7293E">
      <w:r>
        <w:separator/>
      </w:r>
    </w:p>
  </w:footnote>
  <w:footnote w:type="continuationSeparator" w:id="0">
    <w:p w14:paraId="446E6A91" w14:textId="77777777" w:rsidR="00D7293E" w:rsidRDefault="00D7293E">
      <w:r>
        <w:continuationSeparator/>
      </w:r>
    </w:p>
  </w:footnote>
  <w:footnote w:type="continuationNotice" w:id="1">
    <w:p w14:paraId="6B1D7455" w14:textId="77777777" w:rsidR="00D7293E" w:rsidRDefault="00D729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0A9B9" w14:textId="77777777" w:rsidR="005D02CF" w:rsidRDefault="005D02C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FE7B35"/>
    <w:multiLevelType w:val="hybridMultilevel"/>
    <w:tmpl w:val="D9A0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00B65"/>
    <w:multiLevelType w:val="hybridMultilevel"/>
    <w:tmpl w:val="C9D6D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DE56B1"/>
    <w:multiLevelType w:val="hybridMultilevel"/>
    <w:tmpl w:val="0590AF88"/>
    <w:lvl w:ilvl="0" w:tplc="8CDE8C5A">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8C4EDE"/>
    <w:multiLevelType w:val="hybridMultilevel"/>
    <w:tmpl w:val="5F98B502"/>
    <w:lvl w:ilvl="0" w:tplc="8A9AC4E6">
      <w:start w:val="1"/>
      <w:numFmt w:val="decimal"/>
      <w:pStyle w:val="Observation"/>
      <w:lvlText w:val="Observation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2D011D"/>
    <w:multiLevelType w:val="hybridMultilevel"/>
    <w:tmpl w:val="B50C37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DB4698"/>
    <w:multiLevelType w:val="hybridMultilevel"/>
    <w:tmpl w:val="87CE5404"/>
    <w:lvl w:ilvl="0" w:tplc="719A90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8" w15:restartNumberingAfterBreak="0">
    <w:nsid w:val="1FD269EA"/>
    <w:multiLevelType w:val="hybridMultilevel"/>
    <w:tmpl w:val="46CA3B64"/>
    <w:lvl w:ilvl="0" w:tplc="DA00E52A">
      <w:start w:val="1"/>
      <w:numFmt w:val="decimal"/>
      <w:pStyle w:val="Proposal"/>
      <w:lvlText w:val="Proposal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587D22"/>
    <w:multiLevelType w:val="hybridMultilevel"/>
    <w:tmpl w:val="B1684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DD1A3C"/>
    <w:multiLevelType w:val="hybridMultilevel"/>
    <w:tmpl w:val="63C62EA6"/>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70784028" w:tentative="1">
      <w:start w:val="1"/>
      <w:numFmt w:val="bullet"/>
      <w:lvlText w:val="•"/>
      <w:lvlJc w:val="left"/>
      <w:pPr>
        <w:tabs>
          <w:tab w:val="num" w:pos="5040"/>
        </w:tabs>
        <w:ind w:left="5040" w:hanging="360"/>
      </w:pPr>
      <w:rPr>
        <w:rFonts w:ascii="Arial" w:hAnsi="Arial"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ED1AD6"/>
    <w:multiLevelType w:val="hybridMultilevel"/>
    <w:tmpl w:val="F8F8D220"/>
    <w:lvl w:ilvl="0" w:tplc="99A002DC">
      <w:start w:val="1"/>
      <w:numFmt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4E596E"/>
    <w:multiLevelType w:val="multilevel"/>
    <w:tmpl w:val="E41207E4"/>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9346F5"/>
    <w:multiLevelType w:val="hybridMultilevel"/>
    <w:tmpl w:val="E062B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A00EB"/>
    <w:multiLevelType w:val="hybridMultilevel"/>
    <w:tmpl w:val="40C402DC"/>
    <w:lvl w:ilvl="0" w:tplc="D7ECFDD0">
      <w:numFmt w:val="bullet"/>
      <w:lvlText w:val="-"/>
      <w:lvlJc w:val="left"/>
      <w:pPr>
        <w:ind w:left="1004" w:hanging="360"/>
      </w:pPr>
      <w:rPr>
        <w:rFonts w:ascii="Calibri" w:eastAsiaTheme="minorHAnsi" w:hAnsi="Calibri" w:cs="Calibri"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8D1B80"/>
    <w:multiLevelType w:val="hybridMultilevel"/>
    <w:tmpl w:val="CA4EA048"/>
    <w:lvl w:ilvl="0" w:tplc="FDC0631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24211F7"/>
    <w:multiLevelType w:val="hybridMultilevel"/>
    <w:tmpl w:val="A4DAB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8443E3"/>
    <w:multiLevelType w:val="hybridMultilevel"/>
    <w:tmpl w:val="4B5218EA"/>
    <w:lvl w:ilvl="0" w:tplc="2938B0DA">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4A0DAA"/>
    <w:multiLevelType w:val="multilevel"/>
    <w:tmpl w:val="C282955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2886997"/>
    <w:multiLevelType w:val="hybridMultilevel"/>
    <w:tmpl w:val="337CA4E8"/>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26" w15:restartNumberingAfterBreak="0">
    <w:nsid w:val="58161224"/>
    <w:multiLevelType w:val="hybridMultilevel"/>
    <w:tmpl w:val="08529A68"/>
    <w:lvl w:ilvl="0" w:tplc="4CB66500">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24503B"/>
    <w:multiLevelType w:val="hybridMultilevel"/>
    <w:tmpl w:val="39B40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124D6A"/>
    <w:multiLevelType w:val="multilevel"/>
    <w:tmpl w:val="4942F35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672E1908"/>
    <w:multiLevelType w:val="hybridMultilevel"/>
    <w:tmpl w:val="B5AE602A"/>
    <w:lvl w:ilvl="0" w:tplc="D7ECFDD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874E78"/>
    <w:multiLevelType w:val="hybridMultilevel"/>
    <w:tmpl w:val="DD18703E"/>
    <w:lvl w:ilvl="0" w:tplc="4EC443B4">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8D03A6"/>
    <w:multiLevelType w:val="hybridMultilevel"/>
    <w:tmpl w:val="BD7245E0"/>
    <w:lvl w:ilvl="0" w:tplc="8FAE8BC6">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55098C"/>
    <w:multiLevelType w:val="multilevel"/>
    <w:tmpl w:val="7C550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E8B66B5"/>
    <w:multiLevelType w:val="hybridMultilevel"/>
    <w:tmpl w:val="E592D996"/>
    <w:lvl w:ilvl="0" w:tplc="5978E91A">
      <w:start w:val="1"/>
      <w:numFmt w:val="decimal"/>
      <w:pStyle w:val="Caption"/>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7"/>
  </w:num>
  <w:num w:numId="3">
    <w:abstractNumId w:val="18"/>
  </w:num>
  <w:num w:numId="4">
    <w:abstractNumId w:val="10"/>
  </w:num>
  <w:num w:numId="5">
    <w:abstractNumId w:val="1"/>
  </w:num>
  <w:num w:numId="6">
    <w:abstractNumId w:val="5"/>
  </w:num>
  <w:num w:numId="7">
    <w:abstractNumId w:val="9"/>
  </w:num>
  <w:num w:numId="8">
    <w:abstractNumId w:val="14"/>
  </w:num>
  <w:num w:numId="9">
    <w:abstractNumId w:val="15"/>
  </w:num>
  <w:num w:numId="10">
    <w:abstractNumId w:val="2"/>
  </w:num>
  <w:num w:numId="11">
    <w:abstractNumId w:val="18"/>
    <w:lvlOverride w:ilvl="0">
      <w:startOverride w:val="1"/>
    </w:lvlOverride>
  </w:num>
  <w:num w:numId="12">
    <w:abstractNumId w:val="21"/>
  </w:num>
  <w:num w:numId="13">
    <w:abstractNumId w:val="11"/>
  </w:num>
  <w:num w:numId="14">
    <w:abstractNumId w:val="20"/>
  </w:num>
  <w:num w:numId="15">
    <w:abstractNumId w:val="3"/>
  </w:num>
  <w:num w:numId="16">
    <w:abstractNumId w:val="12"/>
  </w:num>
  <w:num w:numId="17">
    <w:abstractNumId w:val="33"/>
  </w:num>
  <w:num w:numId="18">
    <w:abstractNumId w:val="30"/>
  </w:num>
  <w:num w:numId="19">
    <w:abstractNumId w:val="19"/>
  </w:num>
  <w:num w:numId="20">
    <w:abstractNumId w:val="26"/>
  </w:num>
  <w:num w:numId="21">
    <w:abstractNumId w:val="33"/>
  </w:num>
  <w:num w:numId="22">
    <w:abstractNumId w:val="0"/>
  </w:num>
  <w:num w:numId="23">
    <w:abstractNumId w:val="25"/>
  </w:num>
  <w:num w:numId="24">
    <w:abstractNumId w:val="27"/>
  </w:num>
  <w:num w:numId="25">
    <w:abstractNumId w:val="23"/>
  </w:num>
  <w:num w:numId="26">
    <w:abstractNumId w:val="28"/>
  </w:num>
  <w:num w:numId="27">
    <w:abstractNumId w:val="33"/>
    <w:lvlOverride w:ilvl="0">
      <w:startOverride w:val="1"/>
    </w:lvlOverride>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25"/>
  </w:num>
  <w:num w:numId="36">
    <w:abstractNumId w:val="27"/>
  </w:num>
  <w:num w:numId="37">
    <w:abstractNumId w:val="8"/>
  </w:num>
  <w:num w:numId="38">
    <w:abstractNumId w:val="8"/>
    <w:lvlOverride w:ilvl="0">
      <w:startOverride w:val="1"/>
    </w:lvlOverride>
  </w:num>
  <w:num w:numId="39">
    <w:abstractNumId w:val="8"/>
  </w:num>
  <w:num w:numId="40">
    <w:abstractNumId w:val="8"/>
    <w:lvlOverride w:ilvl="0">
      <w:startOverride w:val="1"/>
    </w:lvlOverride>
  </w:num>
  <w:num w:numId="41">
    <w:abstractNumId w:val="29"/>
  </w:num>
  <w:num w:numId="42">
    <w:abstractNumId w:val="24"/>
  </w:num>
  <w:num w:numId="43">
    <w:abstractNumId w:val="8"/>
  </w:num>
  <w:num w:numId="44">
    <w:abstractNumId w:val="16"/>
  </w:num>
  <w:num w:numId="45">
    <w:abstractNumId w:val="4"/>
  </w:num>
  <w:num w:numId="46">
    <w:abstractNumId w:val="6"/>
  </w:num>
  <w:num w:numId="47">
    <w:abstractNumId w:val="31"/>
  </w:num>
  <w:num w:numId="48">
    <w:abstractNumId w:val="22"/>
  </w:num>
  <w:num w:numId="49">
    <w:abstractNumId w:val="17"/>
  </w:num>
  <w:num w:numId="50">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ctiveWritingStyle w:appName="MSWord" w:lang="en-GB" w:vendorID="64" w:dllVersion="6" w:nlCheck="1" w:checkStyle="1"/>
  <w:activeWritingStyle w:appName="MSWord" w:lang="en-US" w:vendorID="64" w:dllVersion="6"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8810FA"/>
    <w:rsid w:val="00000078"/>
    <w:rsid w:val="000000AF"/>
    <w:rsid w:val="000004BF"/>
    <w:rsid w:val="00000515"/>
    <w:rsid w:val="0000140A"/>
    <w:rsid w:val="00001D0A"/>
    <w:rsid w:val="00001FC3"/>
    <w:rsid w:val="000020FE"/>
    <w:rsid w:val="00003131"/>
    <w:rsid w:val="000032EA"/>
    <w:rsid w:val="000037FB"/>
    <w:rsid w:val="00003EF0"/>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23"/>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2735A"/>
    <w:rsid w:val="000300FE"/>
    <w:rsid w:val="00030F08"/>
    <w:rsid w:val="00030F74"/>
    <w:rsid w:val="000319C1"/>
    <w:rsid w:val="00031EDD"/>
    <w:rsid w:val="00032DAB"/>
    <w:rsid w:val="00032E45"/>
    <w:rsid w:val="00033796"/>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74B"/>
    <w:rsid w:val="000429D0"/>
    <w:rsid w:val="00042C2A"/>
    <w:rsid w:val="0004428E"/>
    <w:rsid w:val="0004434E"/>
    <w:rsid w:val="00044AFB"/>
    <w:rsid w:val="00044EFE"/>
    <w:rsid w:val="000451E5"/>
    <w:rsid w:val="000453F6"/>
    <w:rsid w:val="000467AB"/>
    <w:rsid w:val="000469C6"/>
    <w:rsid w:val="00046CD6"/>
    <w:rsid w:val="00047127"/>
    <w:rsid w:val="000477BB"/>
    <w:rsid w:val="00050068"/>
    <w:rsid w:val="0005055B"/>
    <w:rsid w:val="00050E72"/>
    <w:rsid w:val="00051135"/>
    <w:rsid w:val="00051173"/>
    <w:rsid w:val="00051711"/>
    <w:rsid w:val="00051BDC"/>
    <w:rsid w:val="00052588"/>
    <w:rsid w:val="00053782"/>
    <w:rsid w:val="00053A47"/>
    <w:rsid w:val="00053AB5"/>
    <w:rsid w:val="00054F5A"/>
    <w:rsid w:val="00055B35"/>
    <w:rsid w:val="0005602E"/>
    <w:rsid w:val="00056057"/>
    <w:rsid w:val="000565AE"/>
    <w:rsid w:val="000570A3"/>
    <w:rsid w:val="000570E2"/>
    <w:rsid w:val="0005759C"/>
    <w:rsid w:val="00057F6C"/>
    <w:rsid w:val="00060BE0"/>
    <w:rsid w:val="00060D34"/>
    <w:rsid w:val="00060FDB"/>
    <w:rsid w:val="000612C5"/>
    <w:rsid w:val="000619CC"/>
    <w:rsid w:val="00062551"/>
    <w:rsid w:val="00062963"/>
    <w:rsid w:val="00062CA8"/>
    <w:rsid w:val="00063E21"/>
    <w:rsid w:val="00063F57"/>
    <w:rsid w:val="00064E31"/>
    <w:rsid w:val="0006549C"/>
    <w:rsid w:val="0006633C"/>
    <w:rsid w:val="00066576"/>
    <w:rsid w:val="000665AA"/>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6C21"/>
    <w:rsid w:val="00077EB9"/>
    <w:rsid w:val="000801D8"/>
    <w:rsid w:val="00080783"/>
    <w:rsid w:val="00080C8B"/>
    <w:rsid w:val="0008115F"/>
    <w:rsid w:val="00081546"/>
    <w:rsid w:val="000820C9"/>
    <w:rsid w:val="0008257A"/>
    <w:rsid w:val="000827E6"/>
    <w:rsid w:val="00083322"/>
    <w:rsid w:val="000840E7"/>
    <w:rsid w:val="00084255"/>
    <w:rsid w:val="00084C78"/>
    <w:rsid w:val="00085465"/>
    <w:rsid w:val="00085C0B"/>
    <w:rsid w:val="00086602"/>
    <w:rsid w:val="00086864"/>
    <w:rsid w:val="00086B50"/>
    <w:rsid w:val="00087085"/>
    <w:rsid w:val="00087E29"/>
    <w:rsid w:val="000900D7"/>
    <w:rsid w:val="00090323"/>
    <w:rsid w:val="000913D5"/>
    <w:rsid w:val="00091978"/>
    <w:rsid w:val="000931C3"/>
    <w:rsid w:val="00093582"/>
    <w:rsid w:val="00094EF2"/>
    <w:rsid w:val="0009559C"/>
    <w:rsid w:val="00095B6A"/>
    <w:rsid w:val="000962D1"/>
    <w:rsid w:val="0009709B"/>
    <w:rsid w:val="000A0D72"/>
    <w:rsid w:val="000A0E99"/>
    <w:rsid w:val="000A19B6"/>
    <w:rsid w:val="000A1D49"/>
    <w:rsid w:val="000A1FB3"/>
    <w:rsid w:val="000A2AA6"/>
    <w:rsid w:val="000A356B"/>
    <w:rsid w:val="000A3ACB"/>
    <w:rsid w:val="000A4B74"/>
    <w:rsid w:val="000A6466"/>
    <w:rsid w:val="000A6788"/>
    <w:rsid w:val="000A6CFE"/>
    <w:rsid w:val="000B051F"/>
    <w:rsid w:val="000B1B68"/>
    <w:rsid w:val="000B1CD3"/>
    <w:rsid w:val="000B1FBE"/>
    <w:rsid w:val="000B219A"/>
    <w:rsid w:val="000B23E2"/>
    <w:rsid w:val="000B245F"/>
    <w:rsid w:val="000B247A"/>
    <w:rsid w:val="000B256B"/>
    <w:rsid w:val="000B3F37"/>
    <w:rsid w:val="000B441A"/>
    <w:rsid w:val="000B4F62"/>
    <w:rsid w:val="000B546F"/>
    <w:rsid w:val="000B58B7"/>
    <w:rsid w:val="000B5E4A"/>
    <w:rsid w:val="000B60DA"/>
    <w:rsid w:val="000B68FD"/>
    <w:rsid w:val="000B6D3D"/>
    <w:rsid w:val="000B7447"/>
    <w:rsid w:val="000B7D5E"/>
    <w:rsid w:val="000C0866"/>
    <w:rsid w:val="000C0CA3"/>
    <w:rsid w:val="000C0CEC"/>
    <w:rsid w:val="000C0D3F"/>
    <w:rsid w:val="000C1C35"/>
    <w:rsid w:val="000C22F2"/>
    <w:rsid w:val="000C2391"/>
    <w:rsid w:val="000C2394"/>
    <w:rsid w:val="000C29C0"/>
    <w:rsid w:val="000C2CAD"/>
    <w:rsid w:val="000C2DC9"/>
    <w:rsid w:val="000C3BEC"/>
    <w:rsid w:val="000C40EA"/>
    <w:rsid w:val="000C45FF"/>
    <w:rsid w:val="000C6222"/>
    <w:rsid w:val="000C6447"/>
    <w:rsid w:val="000C64FB"/>
    <w:rsid w:val="000C657C"/>
    <w:rsid w:val="000C764F"/>
    <w:rsid w:val="000D037E"/>
    <w:rsid w:val="000D0C91"/>
    <w:rsid w:val="000D0F9A"/>
    <w:rsid w:val="000D11B1"/>
    <w:rsid w:val="000D148D"/>
    <w:rsid w:val="000D1570"/>
    <w:rsid w:val="000D1610"/>
    <w:rsid w:val="000D1842"/>
    <w:rsid w:val="000D1A08"/>
    <w:rsid w:val="000D231C"/>
    <w:rsid w:val="000D2920"/>
    <w:rsid w:val="000D2E6D"/>
    <w:rsid w:val="000D3387"/>
    <w:rsid w:val="000D37FA"/>
    <w:rsid w:val="000D39FA"/>
    <w:rsid w:val="000D41F3"/>
    <w:rsid w:val="000D4324"/>
    <w:rsid w:val="000D4736"/>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6DDE"/>
    <w:rsid w:val="000F7452"/>
    <w:rsid w:val="000F794D"/>
    <w:rsid w:val="00100E41"/>
    <w:rsid w:val="00101489"/>
    <w:rsid w:val="00101ACE"/>
    <w:rsid w:val="00102147"/>
    <w:rsid w:val="00102FE9"/>
    <w:rsid w:val="00103E0E"/>
    <w:rsid w:val="00104058"/>
    <w:rsid w:val="0010405D"/>
    <w:rsid w:val="00104228"/>
    <w:rsid w:val="0010458A"/>
    <w:rsid w:val="00104A80"/>
    <w:rsid w:val="00105820"/>
    <w:rsid w:val="001059E6"/>
    <w:rsid w:val="00105CEE"/>
    <w:rsid w:val="00105FC2"/>
    <w:rsid w:val="00106117"/>
    <w:rsid w:val="00106CC3"/>
    <w:rsid w:val="00106E7E"/>
    <w:rsid w:val="00107123"/>
    <w:rsid w:val="00107A94"/>
    <w:rsid w:val="00110030"/>
    <w:rsid w:val="00110086"/>
    <w:rsid w:val="0011051C"/>
    <w:rsid w:val="0011093D"/>
    <w:rsid w:val="00110AE3"/>
    <w:rsid w:val="00111011"/>
    <w:rsid w:val="001115C0"/>
    <w:rsid w:val="00111AD9"/>
    <w:rsid w:val="00112B8F"/>
    <w:rsid w:val="00112CFB"/>
    <w:rsid w:val="001132E9"/>
    <w:rsid w:val="001133B5"/>
    <w:rsid w:val="001134DA"/>
    <w:rsid w:val="001140FA"/>
    <w:rsid w:val="001146A3"/>
    <w:rsid w:val="00114B8D"/>
    <w:rsid w:val="00114EA7"/>
    <w:rsid w:val="00115B96"/>
    <w:rsid w:val="00116B51"/>
    <w:rsid w:val="00117957"/>
    <w:rsid w:val="00117C13"/>
    <w:rsid w:val="00120545"/>
    <w:rsid w:val="00120B2D"/>
    <w:rsid w:val="00121412"/>
    <w:rsid w:val="00123993"/>
    <w:rsid w:val="0012453C"/>
    <w:rsid w:val="0012467D"/>
    <w:rsid w:val="00124A01"/>
    <w:rsid w:val="00124D4C"/>
    <w:rsid w:val="00125039"/>
    <w:rsid w:val="00126536"/>
    <w:rsid w:val="001267EE"/>
    <w:rsid w:val="00127299"/>
    <w:rsid w:val="001274AC"/>
    <w:rsid w:val="001275E6"/>
    <w:rsid w:val="00127B6B"/>
    <w:rsid w:val="00127DE2"/>
    <w:rsid w:val="0013017B"/>
    <w:rsid w:val="00130220"/>
    <w:rsid w:val="001310F5"/>
    <w:rsid w:val="00131875"/>
    <w:rsid w:val="00131AC6"/>
    <w:rsid w:val="001322B0"/>
    <w:rsid w:val="00132917"/>
    <w:rsid w:val="00133991"/>
    <w:rsid w:val="0013399A"/>
    <w:rsid w:val="001344C1"/>
    <w:rsid w:val="0013521B"/>
    <w:rsid w:val="0013551A"/>
    <w:rsid w:val="00135829"/>
    <w:rsid w:val="001358F4"/>
    <w:rsid w:val="00135911"/>
    <w:rsid w:val="00135E0A"/>
    <w:rsid w:val="0013612A"/>
    <w:rsid w:val="00136359"/>
    <w:rsid w:val="00136AAD"/>
    <w:rsid w:val="00136EED"/>
    <w:rsid w:val="00137280"/>
    <w:rsid w:val="00137288"/>
    <w:rsid w:val="00137480"/>
    <w:rsid w:val="0014082B"/>
    <w:rsid w:val="001410F1"/>
    <w:rsid w:val="0014161D"/>
    <w:rsid w:val="001418FE"/>
    <w:rsid w:val="00142093"/>
    <w:rsid w:val="0014244B"/>
    <w:rsid w:val="0014371C"/>
    <w:rsid w:val="001437AD"/>
    <w:rsid w:val="00143A51"/>
    <w:rsid w:val="00143FFE"/>
    <w:rsid w:val="0014452E"/>
    <w:rsid w:val="00144F22"/>
    <w:rsid w:val="001459EB"/>
    <w:rsid w:val="00145EA7"/>
    <w:rsid w:val="001461C2"/>
    <w:rsid w:val="00146540"/>
    <w:rsid w:val="00146B09"/>
    <w:rsid w:val="00146E5E"/>
    <w:rsid w:val="0014719D"/>
    <w:rsid w:val="001474D9"/>
    <w:rsid w:val="00147B5F"/>
    <w:rsid w:val="00147D67"/>
    <w:rsid w:val="00147E88"/>
    <w:rsid w:val="0015019F"/>
    <w:rsid w:val="00150577"/>
    <w:rsid w:val="00150616"/>
    <w:rsid w:val="0015135A"/>
    <w:rsid w:val="00151516"/>
    <w:rsid w:val="00151805"/>
    <w:rsid w:val="00151D5F"/>
    <w:rsid w:val="001529E0"/>
    <w:rsid w:val="00152BA8"/>
    <w:rsid w:val="00153A6B"/>
    <w:rsid w:val="00153E38"/>
    <w:rsid w:val="001544AB"/>
    <w:rsid w:val="0015452C"/>
    <w:rsid w:val="00154BE2"/>
    <w:rsid w:val="00155593"/>
    <w:rsid w:val="00155732"/>
    <w:rsid w:val="00155E24"/>
    <w:rsid w:val="001560ED"/>
    <w:rsid w:val="001563F1"/>
    <w:rsid w:val="00156E79"/>
    <w:rsid w:val="001572A5"/>
    <w:rsid w:val="0015737A"/>
    <w:rsid w:val="00157847"/>
    <w:rsid w:val="00160786"/>
    <w:rsid w:val="00160A67"/>
    <w:rsid w:val="00161AEB"/>
    <w:rsid w:val="00162262"/>
    <w:rsid w:val="00162BD5"/>
    <w:rsid w:val="001630E4"/>
    <w:rsid w:val="001639BC"/>
    <w:rsid w:val="00163EAD"/>
    <w:rsid w:val="0016465B"/>
    <w:rsid w:val="001647FA"/>
    <w:rsid w:val="00164961"/>
    <w:rsid w:val="00166868"/>
    <w:rsid w:val="001669CF"/>
    <w:rsid w:val="00167857"/>
    <w:rsid w:val="001678EF"/>
    <w:rsid w:val="00167C50"/>
    <w:rsid w:val="00167ECA"/>
    <w:rsid w:val="00172414"/>
    <w:rsid w:val="001724C5"/>
    <w:rsid w:val="00172C20"/>
    <w:rsid w:val="001746E6"/>
    <w:rsid w:val="00174883"/>
    <w:rsid w:val="00174DDB"/>
    <w:rsid w:val="001752EC"/>
    <w:rsid w:val="001755CA"/>
    <w:rsid w:val="00175891"/>
    <w:rsid w:val="001758E7"/>
    <w:rsid w:val="00175989"/>
    <w:rsid w:val="00175B5A"/>
    <w:rsid w:val="00177A0D"/>
    <w:rsid w:val="00177EBD"/>
    <w:rsid w:val="0018016C"/>
    <w:rsid w:val="00181B3A"/>
    <w:rsid w:val="001820B2"/>
    <w:rsid w:val="001828E0"/>
    <w:rsid w:val="00183A98"/>
    <w:rsid w:val="00185E59"/>
    <w:rsid w:val="001901BA"/>
    <w:rsid w:val="001907C8"/>
    <w:rsid w:val="00191727"/>
    <w:rsid w:val="00191EBF"/>
    <w:rsid w:val="00191F2D"/>
    <w:rsid w:val="001925E5"/>
    <w:rsid w:val="001934FD"/>
    <w:rsid w:val="0019377B"/>
    <w:rsid w:val="00193B10"/>
    <w:rsid w:val="00193D91"/>
    <w:rsid w:val="00193F6D"/>
    <w:rsid w:val="0019403F"/>
    <w:rsid w:val="001943E8"/>
    <w:rsid w:val="00194642"/>
    <w:rsid w:val="0019564C"/>
    <w:rsid w:val="0019573B"/>
    <w:rsid w:val="00196220"/>
    <w:rsid w:val="0019734F"/>
    <w:rsid w:val="001977D0"/>
    <w:rsid w:val="00197FA7"/>
    <w:rsid w:val="001A019F"/>
    <w:rsid w:val="001A0303"/>
    <w:rsid w:val="001A037C"/>
    <w:rsid w:val="001A067A"/>
    <w:rsid w:val="001A0C40"/>
    <w:rsid w:val="001A0D8D"/>
    <w:rsid w:val="001A3BAB"/>
    <w:rsid w:val="001A3FA5"/>
    <w:rsid w:val="001A4334"/>
    <w:rsid w:val="001A4439"/>
    <w:rsid w:val="001A5517"/>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5AA8"/>
    <w:rsid w:val="001B6D3D"/>
    <w:rsid w:val="001B70CF"/>
    <w:rsid w:val="001B7460"/>
    <w:rsid w:val="001B78D5"/>
    <w:rsid w:val="001B7AB3"/>
    <w:rsid w:val="001C0085"/>
    <w:rsid w:val="001C04A8"/>
    <w:rsid w:val="001C063F"/>
    <w:rsid w:val="001C16A9"/>
    <w:rsid w:val="001C1AD0"/>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39E"/>
    <w:rsid w:val="001D57BC"/>
    <w:rsid w:val="001D59DC"/>
    <w:rsid w:val="001D6EEB"/>
    <w:rsid w:val="001D6F30"/>
    <w:rsid w:val="001D7260"/>
    <w:rsid w:val="001D7816"/>
    <w:rsid w:val="001D784C"/>
    <w:rsid w:val="001D7B96"/>
    <w:rsid w:val="001E095A"/>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935"/>
    <w:rsid w:val="001F6A95"/>
    <w:rsid w:val="001F6D33"/>
    <w:rsid w:val="001F6D81"/>
    <w:rsid w:val="001F6E62"/>
    <w:rsid w:val="0020032D"/>
    <w:rsid w:val="002003F3"/>
    <w:rsid w:val="00200BF9"/>
    <w:rsid w:val="00201197"/>
    <w:rsid w:val="002015BA"/>
    <w:rsid w:val="00201661"/>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5A"/>
    <w:rsid w:val="002102DC"/>
    <w:rsid w:val="00210301"/>
    <w:rsid w:val="002106D1"/>
    <w:rsid w:val="00210812"/>
    <w:rsid w:val="00210A2E"/>
    <w:rsid w:val="00210C91"/>
    <w:rsid w:val="002116CA"/>
    <w:rsid w:val="00211895"/>
    <w:rsid w:val="00213C10"/>
    <w:rsid w:val="00213F4E"/>
    <w:rsid w:val="00213F9D"/>
    <w:rsid w:val="00214132"/>
    <w:rsid w:val="00214E0D"/>
    <w:rsid w:val="0021517F"/>
    <w:rsid w:val="002159DE"/>
    <w:rsid w:val="002165F9"/>
    <w:rsid w:val="00216685"/>
    <w:rsid w:val="00216B3C"/>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1DAF"/>
    <w:rsid w:val="00242284"/>
    <w:rsid w:val="00242C9E"/>
    <w:rsid w:val="0024353D"/>
    <w:rsid w:val="0024379E"/>
    <w:rsid w:val="00243ACD"/>
    <w:rsid w:val="00244924"/>
    <w:rsid w:val="00244DF7"/>
    <w:rsid w:val="00244E50"/>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3EA5"/>
    <w:rsid w:val="00254519"/>
    <w:rsid w:val="002562E9"/>
    <w:rsid w:val="00256B8F"/>
    <w:rsid w:val="00257A62"/>
    <w:rsid w:val="002605CB"/>
    <w:rsid w:val="0026075E"/>
    <w:rsid w:val="00260906"/>
    <w:rsid w:val="00260998"/>
    <w:rsid w:val="00261142"/>
    <w:rsid w:val="002612AF"/>
    <w:rsid w:val="00261D05"/>
    <w:rsid w:val="00262830"/>
    <w:rsid w:val="00262952"/>
    <w:rsid w:val="00263BC6"/>
    <w:rsid w:val="00263C17"/>
    <w:rsid w:val="002644D5"/>
    <w:rsid w:val="00264B50"/>
    <w:rsid w:val="00265701"/>
    <w:rsid w:val="00265996"/>
    <w:rsid w:val="00265A57"/>
    <w:rsid w:val="00265B7E"/>
    <w:rsid w:val="00266210"/>
    <w:rsid w:val="00266FF8"/>
    <w:rsid w:val="0026716C"/>
    <w:rsid w:val="002676D3"/>
    <w:rsid w:val="002676EA"/>
    <w:rsid w:val="00270087"/>
    <w:rsid w:val="0027074B"/>
    <w:rsid w:val="00271501"/>
    <w:rsid w:val="002727C8"/>
    <w:rsid w:val="00272FEB"/>
    <w:rsid w:val="002738C9"/>
    <w:rsid w:val="00273B2D"/>
    <w:rsid w:val="00273CFB"/>
    <w:rsid w:val="00273E2E"/>
    <w:rsid w:val="00274B3C"/>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426"/>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EDF"/>
    <w:rsid w:val="00296FD8"/>
    <w:rsid w:val="0029743A"/>
    <w:rsid w:val="00297DBE"/>
    <w:rsid w:val="002A0724"/>
    <w:rsid w:val="002A07C1"/>
    <w:rsid w:val="002A08EC"/>
    <w:rsid w:val="002A1DF0"/>
    <w:rsid w:val="002A205B"/>
    <w:rsid w:val="002A3668"/>
    <w:rsid w:val="002A53DF"/>
    <w:rsid w:val="002A67AD"/>
    <w:rsid w:val="002B03CD"/>
    <w:rsid w:val="002B07BF"/>
    <w:rsid w:val="002B0805"/>
    <w:rsid w:val="002B0FD5"/>
    <w:rsid w:val="002B11A0"/>
    <w:rsid w:val="002B26D2"/>
    <w:rsid w:val="002B2C92"/>
    <w:rsid w:val="002B318B"/>
    <w:rsid w:val="002B3AB3"/>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6EB"/>
    <w:rsid w:val="002C3AE4"/>
    <w:rsid w:val="002C4749"/>
    <w:rsid w:val="002C4CB7"/>
    <w:rsid w:val="002C5620"/>
    <w:rsid w:val="002C57BB"/>
    <w:rsid w:val="002C61E0"/>
    <w:rsid w:val="002C6221"/>
    <w:rsid w:val="002C6374"/>
    <w:rsid w:val="002C6BE0"/>
    <w:rsid w:val="002C7B03"/>
    <w:rsid w:val="002D0657"/>
    <w:rsid w:val="002D08DC"/>
    <w:rsid w:val="002D13B7"/>
    <w:rsid w:val="002D1A21"/>
    <w:rsid w:val="002D20FC"/>
    <w:rsid w:val="002D26FA"/>
    <w:rsid w:val="002D2B4E"/>
    <w:rsid w:val="002D40D9"/>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6BD6"/>
    <w:rsid w:val="002F7D48"/>
    <w:rsid w:val="002F7D9F"/>
    <w:rsid w:val="0030000D"/>
    <w:rsid w:val="003005AC"/>
    <w:rsid w:val="00300A26"/>
    <w:rsid w:val="003011C0"/>
    <w:rsid w:val="0030121F"/>
    <w:rsid w:val="00301890"/>
    <w:rsid w:val="003024DE"/>
    <w:rsid w:val="00302701"/>
    <w:rsid w:val="00302CBE"/>
    <w:rsid w:val="0030305A"/>
    <w:rsid w:val="00303442"/>
    <w:rsid w:val="003044B9"/>
    <w:rsid w:val="00304F48"/>
    <w:rsid w:val="003073BB"/>
    <w:rsid w:val="00307683"/>
    <w:rsid w:val="00307B27"/>
    <w:rsid w:val="00307D3F"/>
    <w:rsid w:val="0031013F"/>
    <w:rsid w:val="0031058E"/>
    <w:rsid w:val="00311941"/>
    <w:rsid w:val="003123EA"/>
    <w:rsid w:val="003125FA"/>
    <w:rsid w:val="00313982"/>
    <w:rsid w:val="00313C4F"/>
    <w:rsid w:val="00314280"/>
    <w:rsid w:val="003158FE"/>
    <w:rsid w:val="003159C8"/>
    <w:rsid w:val="00315DD9"/>
    <w:rsid w:val="00316717"/>
    <w:rsid w:val="00317050"/>
    <w:rsid w:val="00320B56"/>
    <w:rsid w:val="00320BED"/>
    <w:rsid w:val="00320F94"/>
    <w:rsid w:val="003230B0"/>
    <w:rsid w:val="00325F5C"/>
    <w:rsid w:val="003268CF"/>
    <w:rsid w:val="00326974"/>
    <w:rsid w:val="00327A0A"/>
    <w:rsid w:val="0033007D"/>
    <w:rsid w:val="0033027D"/>
    <w:rsid w:val="003308C4"/>
    <w:rsid w:val="00330DE8"/>
    <w:rsid w:val="00331EDC"/>
    <w:rsid w:val="00331FF4"/>
    <w:rsid w:val="003323F3"/>
    <w:rsid w:val="0033306E"/>
    <w:rsid w:val="00333DC8"/>
    <w:rsid w:val="00335250"/>
    <w:rsid w:val="0033592C"/>
    <w:rsid w:val="00335B9C"/>
    <w:rsid w:val="00335C8D"/>
    <w:rsid w:val="00336164"/>
    <w:rsid w:val="0034150F"/>
    <w:rsid w:val="0034298C"/>
    <w:rsid w:val="0034305B"/>
    <w:rsid w:val="00343E84"/>
    <w:rsid w:val="003444EB"/>
    <w:rsid w:val="00344778"/>
    <w:rsid w:val="00344E12"/>
    <w:rsid w:val="00344F78"/>
    <w:rsid w:val="0034511B"/>
    <w:rsid w:val="00345740"/>
    <w:rsid w:val="00346F28"/>
    <w:rsid w:val="003504EC"/>
    <w:rsid w:val="00350996"/>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0C31"/>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546"/>
    <w:rsid w:val="00374804"/>
    <w:rsid w:val="00374B96"/>
    <w:rsid w:val="00374F06"/>
    <w:rsid w:val="00375BD2"/>
    <w:rsid w:val="003762D5"/>
    <w:rsid w:val="003764FA"/>
    <w:rsid w:val="00376A34"/>
    <w:rsid w:val="00376AD6"/>
    <w:rsid w:val="00376C0D"/>
    <w:rsid w:val="0037709A"/>
    <w:rsid w:val="003773C7"/>
    <w:rsid w:val="00377569"/>
    <w:rsid w:val="00377A0F"/>
    <w:rsid w:val="00377A68"/>
    <w:rsid w:val="00377C91"/>
    <w:rsid w:val="00377CE8"/>
    <w:rsid w:val="003810EA"/>
    <w:rsid w:val="003811F7"/>
    <w:rsid w:val="0038166A"/>
    <w:rsid w:val="0038187D"/>
    <w:rsid w:val="003821E7"/>
    <w:rsid w:val="00382B96"/>
    <w:rsid w:val="00383130"/>
    <w:rsid w:val="003834C7"/>
    <w:rsid w:val="00383881"/>
    <w:rsid w:val="00383D4B"/>
    <w:rsid w:val="00384735"/>
    <w:rsid w:val="003848D9"/>
    <w:rsid w:val="00385614"/>
    <w:rsid w:val="00385DBB"/>
    <w:rsid w:val="00386B71"/>
    <w:rsid w:val="003871D9"/>
    <w:rsid w:val="00387771"/>
    <w:rsid w:val="00387B4D"/>
    <w:rsid w:val="003908C2"/>
    <w:rsid w:val="0039178D"/>
    <w:rsid w:val="00392C0A"/>
    <w:rsid w:val="00392D4A"/>
    <w:rsid w:val="00393367"/>
    <w:rsid w:val="003939F6"/>
    <w:rsid w:val="00393AA5"/>
    <w:rsid w:val="00393B78"/>
    <w:rsid w:val="00393B7F"/>
    <w:rsid w:val="003942A4"/>
    <w:rsid w:val="00394E4F"/>
    <w:rsid w:val="003959A9"/>
    <w:rsid w:val="0039665F"/>
    <w:rsid w:val="00396D81"/>
    <w:rsid w:val="003A0311"/>
    <w:rsid w:val="003A063F"/>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A7AF7"/>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A23"/>
    <w:rsid w:val="003C1F75"/>
    <w:rsid w:val="003C23C3"/>
    <w:rsid w:val="003C28E6"/>
    <w:rsid w:val="003C45D9"/>
    <w:rsid w:val="003C4F25"/>
    <w:rsid w:val="003C5113"/>
    <w:rsid w:val="003C5399"/>
    <w:rsid w:val="003C5FE4"/>
    <w:rsid w:val="003C6E9F"/>
    <w:rsid w:val="003C78A0"/>
    <w:rsid w:val="003C7CE7"/>
    <w:rsid w:val="003D0246"/>
    <w:rsid w:val="003D09DA"/>
    <w:rsid w:val="003D0A1E"/>
    <w:rsid w:val="003D0AD2"/>
    <w:rsid w:val="003D12AF"/>
    <w:rsid w:val="003D132A"/>
    <w:rsid w:val="003D1529"/>
    <w:rsid w:val="003D2024"/>
    <w:rsid w:val="003D2339"/>
    <w:rsid w:val="003D26AA"/>
    <w:rsid w:val="003D3577"/>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E9D"/>
    <w:rsid w:val="003E2FAF"/>
    <w:rsid w:val="003E3524"/>
    <w:rsid w:val="003E363C"/>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617"/>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366"/>
    <w:rsid w:val="0040689B"/>
    <w:rsid w:val="00406E72"/>
    <w:rsid w:val="00406F4B"/>
    <w:rsid w:val="00406FEA"/>
    <w:rsid w:val="004073B0"/>
    <w:rsid w:val="004077CC"/>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192"/>
    <w:rsid w:val="0042156E"/>
    <w:rsid w:val="0042221A"/>
    <w:rsid w:val="004226D3"/>
    <w:rsid w:val="00422A10"/>
    <w:rsid w:val="00422F31"/>
    <w:rsid w:val="004243CC"/>
    <w:rsid w:val="004244C5"/>
    <w:rsid w:val="00425889"/>
    <w:rsid w:val="00425C97"/>
    <w:rsid w:val="00426034"/>
    <w:rsid w:val="0042654A"/>
    <w:rsid w:val="00426761"/>
    <w:rsid w:val="00426AA7"/>
    <w:rsid w:val="00427478"/>
    <w:rsid w:val="004275C4"/>
    <w:rsid w:val="004276E3"/>
    <w:rsid w:val="0042795C"/>
    <w:rsid w:val="00427E67"/>
    <w:rsid w:val="00430178"/>
    <w:rsid w:val="00430250"/>
    <w:rsid w:val="004309F8"/>
    <w:rsid w:val="00431843"/>
    <w:rsid w:val="0043198C"/>
    <w:rsid w:val="0043270B"/>
    <w:rsid w:val="00432E20"/>
    <w:rsid w:val="00432F8F"/>
    <w:rsid w:val="0043424B"/>
    <w:rsid w:val="00434364"/>
    <w:rsid w:val="0043480E"/>
    <w:rsid w:val="004352B4"/>
    <w:rsid w:val="004355EB"/>
    <w:rsid w:val="00435602"/>
    <w:rsid w:val="00435635"/>
    <w:rsid w:val="004356FA"/>
    <w:rsid w:val="00435CCF"/>
    <w:rsid w:val="004365C5"/>
    <w:rsid w:val="00437179"/>
    <w:rsid w:val="004371AB"/>
    <w:rsid w:val="0044035D"/>
    <w:rsid w:val="0044166C"/>
    <w:rsid w:val="00441FE8"/>
    <w:rsid w:val="00442856"/>
    <w:rsid w:val="004429F5"/>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02"/>
    <w:rsid w:val="00450E4C"/>
    <w:rsid w:val="004518D5"/>
    <w:rsid w:val="00451B17"/>
    <w:rsid w:val="00451BEB"/>
    <w:rsid w:val="00451E3C"/>
    <w:rsid w:val="00452891"/>
    <w:rsid w:val="00453465"/>
    <w:rsid w:val="00453DEF"/>
    <w:rsid w:val="004543E4"/>
    <w:rsid w:val="00454539"/>
    <w:rsid w:val="004548E5"/>
    <w:rsid w:val="004549AF"/>
    <w:rsid w:val="00454C27"/>
    <w:rsid w:val="00455B39"/>
    <w:rsid w:val="00456114"/>
    <w:rsid w:val="004562F8"/>
    <w:rsid w:val="00456971"/>
    <w:rsid w:val="00456DBF"/>
    <w:rsid w:val="0045742D"/>
    <w:rsid w:val="004574AB"/>
    <w:rsid w:val="0046027A"/>
    <w:rsid w:val="004607CD"/>
    <w:rsid w:val="004608A9"/>
    <w:rsid w:val="00460958"/>
    <w:rsid w:val="00460C5F"/>
    <w:rsid w:val="0046110A"/>
    <w:rsid w:val="004612C8"/>
    <w:rsid w:val="004616E5"/>
    <w:rsid w:val="0046194F"/>
    <w:rsid w:val="00461B3E"/>
    <w:rsid w:val="00461E80"/>
    <w:rsid w:val="00462420"/>
    <w:rsid w:val="004627B7"/>
    <w:rsid w:val="00463146"/>
    <w:rsid w:val="004641FE"/>
    <w:rsid w:val="0046434B"/>
    <w:rsid w:val="00465573"/>
    <w:rsid w:val="00465FF9"/>
    <w:rsid w:val="0046649C"/>
    <w:rsid w:val="004670B3"/>
    <w:rsid w:val="00467A56"/>
    <w:rsid w:val="00467B21"/>
    <w:rsid w:val="00470750"/>
    <w:rsid w:val="004707FD"/>
    <w:rsid w:val="00471856"/>
    <w:rsid w:val="004720EB"/>
    <w:rsid w:val="00472A81"/>
    <w:rsid w:val="00472D98"/>
    <w:rsid w:val="0047343E"/>
    <w:rsid w:val="00473779"/>
    <w:rsid w:val="00473839"/>
    <w:rsid w:val="00473AD0"/>
    <w:rsid w:val="0047400A"/>
    <w:rsid w:val="0047434F"/>
    <w:rsid w:val="004743E2"/>
    <w:rsid w:val="00474DBC"/>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543"/>
    <w:rsid w:val="00486EEB"/>
    <w:rsid w:val="0048729C"/>
    <w:rsid w:val="00487778"/>
    <w:rsid w:val="004877AA"/>
    <w:rsid w:val="00487852"/>
    <w:rsid w:val="00487C42"/>
    <w:rsid w:val="00490165"/>
    <w:rsid w:val="0049055A"/>
    <w:rsid w:val="00490649"/>
    <w:rsid w:val="00491560"/>
    <w:rsid w:val="00491EEE"/>
    <w:rsid w:val="004924E5"/>
    <w:rsid w:val="00492DEA"/>
    <w:rsid w:val="00493063"/>
    <w:rsid w:val="00493A0E"/>
    <w:rsid w:val="00493AC2"/>
    <w:rsid w:val="00493D08"/>
    <w:rsid w:val="004943E3"/>
    <w:rsid w:val="004945CB"/>
    <w:rsid w:val="00494C33"/>
    <w:rsid w:val="00495AA2"/>
    <w:rsid w:val="004961DB"/>
    <w:rsid w:val="00496899"/>
    <w:rsid w:val="00496927"/>
    <w:rsid w:val="00496A97"/>
    <w:rsid w:val="00497E75"/>
    <w:rsid w:val="00497FF8"/>
    <w:rsid w:val="004A04B1"/>
    <w:rsid w:val="004A0C8F"/>
    <w:rsid w:val="004A11C3"/>
    <w:rsid w:val="004A15A9"/>
    <w:rsid w:val="004A201F"/>
    <w:rsid w:val="004A2EF3"/>
    <w:rsid w:val="004A3394"/>
    <w:rsid w:val="004A366E"/>
    <w:rsid w:val="004A3CFF"/>
    <w:rsid w:val="004A4D38"/>
    <w:rsid w:val="004A4E7E"/>
    <w:rsid w:val="004A5312"/>
    <w:rsid w:val="004A57FC"/>
    <w:rsid w:val="004A5A64"/>
    <w:rsid w:val="004A5E0C"/>
    <w:rsid w:val="004A6F8B"/>
    <w:rsid w:val="004A705C"/>
    <w:rsid w:val="004A70E3"/>
    <w:rsid w:val="004A710E"/>
    <w:rsid w:val="004A71A7"/>
    <w:rsid w:val="004A7390"/>
    <w:rsid w:val="004A7FB0"/>
    <w:rsid w:val="004B0372"/>
    <w:rsid w:val="004B038D"/>
    <w:rsid w:val="004B0FC0"/>
    <w:rsid w:val="004B1313"/>
    <w:rsid w:val="004B1C42"/>
    <w:rsid w:val="004B2B31"/>
    <w:rsid w:val="004B2BD5"/>
    <w:rsid w:val="004B3C3F"/>
    <w:rsid w:val="004B3CE9"/>
    <w:rsid w:val="004B4D0A"/>
    <w:rsid w:val="004B566D"/>
    <w:rsid w:val="004B5C0C"/>
    <w:rsid w:val="004B6301"/>
    <w:rsid w:val="004B71E9"/>
    <w:rsid w:val="004C0346"/>
    <w:rsid w:val="004C0B5B"/>
    <w:rsid w:val="004C0F99"/>
    <w:rsid w:val="004C130D"/>
    <w:rsid w:val="004C1E76"/>
    <w:rsid w:val="004C20B1"/>
    <w:rsid w:val="004C255D"/>
    <w:rsid w:val="004C2D43"/>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63"/>
    <w:rsid w:val="004E2487"/>
    <w:rsid w:val="004E3FD8"/>
    <w:rsid w:val="004E4503"/>
    <w:rsid w:val="004E46BD"/>
    <w:rsid w:val="004E49DC"/>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358"/>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42A"/>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8A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AA5"/>
    <w:rsid w:val="00525CAE"/>
    <w:rsid w:val="00526653"/>
    <w:rsid w:val="00526C8A"/>
    <w:rsid w:val="00527489"/>
    <w:rsid w:val="00527DB2"/>
    <w:rsid w:val="00530BD5"/>
    <w:rsid w:val="00531307"/>
    <w:rsid w:val="0053173A"/>
    <w:rsid w:val="00531824"/>
    <w:rsid w:val="00532462"/>
    <w:rsid w:val="00532976"/>
    <w:rsid w:val="00533215"/>
    <w:rsid w:val="005339D2"/>
    <w:rsid w:val="00533B96"/>
    <w:rsid w:val="0053437E"/>
    <w:rsid w:val="0053476E"/>
    <w:rsid w:val="005349EB"/>
    <w:rsid w:val="00534B42"/>
    <w:rsid w:val="00534D96"/>
    <w:rsid w:val="0053542C"/>
    <w:rsid w:val="005408FD"/>
    <w:rsid w:val="00540EC8"/>
    <w:rsid w:val="005412C8"/>
    <w:rsid w:val="005417A0"/>
    <w:rsid w:val="005422E8"/>
    <w:rsid w:val="005426C4"/>
    <w:rsid w:val="00543342"/>
    <w:rsid w:val="00543A66"/>
    <w:rsid w:val="0054556C"/>
    <w:rsid w:val="0054556F"/>
    <w:rsid w:val="00546738"/>
    <w:rsid w:val="005467D6"/>
    <w:rsid w:val="00546942"/>
    <w:rsid w:val="00546ACE"/>
    <w:rsid w:val="00546D42"/>
    <w:rsid w:val="005471F1"/>
    <w:rsid w:val="00547E9B"/>
    <w:rsid w:val="00550151"/>
    <w:rsid w:val="00551204"/>
    <w:rsid w:val="00552163"/>
    <w:rsid w:val="00552569"/>
    <w:rsid w:val="0055269F"/>
    <w:rsid w:val="005527EA"/>
    <w:rsid w:val="00552AC3"/>
    <w:rsid w:val="00552EC0"/>
    <w:rsid w:val="005533EA"/>
    <w:rsid w:val="0055348E"/>
    <w:rsid w:val="00553C13"/>
    <w:rsid w:val="00553D14"/>
    <w:rsid w:val="00554999"/>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5D9A"/>
    <w:rsid w:val="0056710F"/>
    <w:rsid w:val="0056719E"/>
    <w:rsid w:val="00567D6E"/>
    <w:rsid w:val="00570859"/>
    <w:rsid w:val="00570B67"/>
    <w:rsid w:val="00570C83"/>
    <w:rsid w:val="0057137A"/>
    <w:rsid w:val="00572583"/>
    <w:rsid w:val="00572A3E"/>
    <w:rsid w:val="00572B21"/>
    <w:rsid w:val="00573146"/>
    <w:rsid w:val="005735E8"/>
    <w:rsid w:val="0057380A"/>
    <w:rsid w:val="00573A84"/>
    <w:rsid w:val="00573B1B"/>
    <w:rsid w:val="00573BC0"/>
    <w:rsid w:val="00573E29"/>
    <w:rsid w:val="00573F24"/>
    <w:rsid w:val="00575248"/>
    <w:rsid w:val="00575716"/>
    <w:rsid w:val="005758CE"/>
    <w:rsid w:val="00575A18"/>
    <w:rsid w:val="00575E94"/>
    <w:rsid w:val="005770BC"/>
    <w:rsid w:val="00577BE7"/>
    <w:rsid w:val="00580760"/>
    <w:rsid w:val="00581367"/>
    <w:rsid w:val="005819D7"/>
    <w:rsid w:val="00582D3E"/>
    <w:rsid w:val="00582E3D"/>
    <w:rsid w:val="0058314F"/>
    <w:rsid w:val="005836D0"/>
    <w:rsid w:val="00583766"/>
    <w:rsid w:val="005840CB"/>
    <w:rsid w:val="005840E5"/>
    <w:rsid w:val="0058445A"/>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4F50"/>
    <w:rsid w:val="00595652"/>
    <w:rsid w:val="00595B80"/>
    <w:rsid w:val="00596788"/>
    <w:rsid w:val="005968C4"/>
    <w:rsid w:val="00596A82"/>
    <w:rsid w:val="00597605"/>
    <w:rsid w:val="005A05C6"/>
    <w:rsid w:val="005A0753"/>
    <w:rsid w:val="005A0789"/>
    <w:rsid w:val="005A167B"/>
    <w:rsid w:val="005A2219"/>
    <w:rsid w:val="005A2229"/>
    <w:rsid w:val="005A2832"/>
    <w:rsid w:val="005A320D"/>
    <w:rsid w:val="005A3468"/>
    <w:rsid w:val="005A35EA"/>
    <w:rsid w:val="005A36E3"/>
    <w:rsid w:val="005A4A64"/>
    <w:rsid w:val="005A50A0"/>
    <w:rsid w:val="005A50FE"/>
    <w:rsid w:val="005A59CF"/>
    <w:rsid w:val="005A6CB4"/>
    <w:rsid w:val="005A75BA"/>
    <w:rsid w:val="005A7ECD"/>
    <w:rsid w:val="005A7F72"/>
    <w:rsid w:val="005B097C"/>
    <w:rsid w:val="005B1CC4"/>
    <w:rsid w:val="005B1D3E"/>
    <w:rsid w:val="005B2EB8"/>
    <w:rsid w:val="005B33A1"/>
    <w:rsid w:val="005B3946"/>
    <w:rsid w:val="005B4282"/>
    <w:rsid w:val="005B5251"/>
    <w:rsid w:val="005B54FE"/>
    <w:rsid w:val="005B5A55"/>
    <w:rsid w:val="005B5F56"/>
    <w:rsid w:val="005B67F6"/>
    <w:rsid w:val="005B7D8A"/>
    <w:rsid w:val="005C0904"/>
    <w:rsid w:val="005C09BF"/>
    <w:rsid w:val="005C0D61"/>
    <w:rsid w:val="005C0E62"/>
    <w:rsid w:val="005C17D4"/>
    <w:rsid w:val="005C18B0"/>
    <w:rsid w:val="005C1B10"/>
    <w:rsid w:val="005C1F40"/>
    <w:rsid w:val="005C2EA8"/>
    <w:rsid w:val="005C3A28"/>
    <w:rsid w:val="005C4037"/>
    <w:rsid w:val="005C5849"/>
    <w:rsid w:val="005C5AA6"/>
    <w:rsid w:val="005C5E0A"/>
    <w:rsid w:val="005C5E4D"/>
    <w:rsid w:val="005C7CAD"/>
    <w:rsid w:val="005D02CF"/>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D7B01"/>
    <w:rsid w:val="005E0010"/>
    <w:rsid w:val="005E0EAD"/>
    <w:rsid w:val="005E0EB3"/>
    <w:rsid w:val="005E1F47"/>
    <w:rsid w:val="005E260D"/>
    <w:rsid w:val="005E35FD"/>
    <w:rsid w:val="005E383F"/>
    <w:rsid w:val="005E4972"/>
    <w:rsid w:val="005E5220"/>
    <w:rsid w:val="005E6DA7"/>
    <w:rsid w:val="005E7342"/>
    <w:rsid w:val="005E7698"/>
    <w:rsid w:val="005E77D7"/>
    <w:rsid w:val="005E7CAF"/>
    <w:rsid w:val="005F0931"/>
    <w:rsid w:val="005F0C46"/>
    <w:rsid w:val="005F1FE4"/>
    <w:rsid w:val="005F2AF8"/>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0E33"/>
    <w:rsid w:val="006012E3"/>
    <w:rsid w:val="0060194F"/>
    <w:rsid w:val="00601FCD"/>
    <w:rsid w:val="00602949"/>
    <w:rsid w:val="00602CFB"/>
    <w:rsid w:val="00602F2F"/>
    <w:rsid w:val="00602FB5"/>
    <w:rsid w:val="0060342E"/>
    <w:rsid w:val="0060384D"/>
    <w:rsid w:val="006039C5"/>
    <w:rsid w:val="0060515F"/>
    <w:rsid w:val="006055A3"/>
    <w:rsid w:val="00606C6F"/>
    <w:rsid w:val="00606FA6"/>
    <w:rsid w:val="00607079"/>
    <w:rsid w:val="00607ADE"/>
    <w:rsid w:val="00611C83"/>
    <w:rsid w:val="00612015"/>
    <w:rsid w:val="006120D1"/>
    <w:rsid w:val="006122CF"/>
    <w:rsid w:val="0061286E"/>
    <w:rsid w:val="00612C73"/>
    <w:rsid w:val="006133F5"/>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253"/>
    <w:rsid w:val="00623A7F"/>
    <w:rsid w:val="00623C74"/>
    <w:rsid w:val="0062482E"/>
    <w:rsid w:val="00625213"/>
    <w:rsid w:val="00625B24"/>
    <w:rsid w:val="006265D0"/>
    <w:rsid w:val="00626C25"/>
    <w:rsid w:val="006279A7"/>
    <w:rsid w:val="00627BA3"/>
    <w:rsid w:val="00627E44"/>
    <w:rsid w:val="0063027B"/>
    <w:rsid w:val="00630549"/>
    <w:rsid w:val="00630829"/>
    <w:rsid w:val="00631826"/>
    <w:rsid w:val="00631D11"/>
    <w:rsid w:val="006326BC"/>
    <w:rsid w:val="006327DF"/>
    <w:rsid w:val="00632A0E"/>
    <w:rsid w:val="00633951"/>
    <w:rsid w:val="00633B5E"/>
    <w:rsid w:val="00633C0A"/>
    <w:rsid w:val="00633CB0"/>
    <w:rsid w:val="0063405E"/>
    <w:rsid w:val="00634767"/>
    <w:rsid w:val="00634B95"/>
    <w:rsid w:val="00635175"/>
    <w:rsid w:val="006352B0"/>
    <w:rsid w:val="00635CC3"/>
    <w:rsid w:val="00636041"/>
    <w:rsid w:val="00636094"/>
    <w:rsid w:val="006365A1"/>
    <w:rsid w:val="0063729A"/>
    <w:rsid w:val="006373C7"/>
    <w:rsid w:val="00637E00"/>
    <w:rsid w:val="00640222"/>
    <w:rsid w:val="00640C06"/>
    <w:rsid w:val="00640E17"/>
    <w:rsid w:val="00641061"/>
    <w:rsid w:val="006412CA"/>
    <w:rsid w:val="00641E4B"/>
    <w:rsid w:val="006427D6"/>
    <w:rsid w:val="006428E2"/>
    <w:rsid w:val="00642D10"/>
    <w:rsid w:val="006430B5"/>
    <w:rsid w:val="00644200"/>
    <w:rsid w:val="0064640A"/>
    <w:rsid w:val="006464A6"/>
    <w:rsid w:val="00646C3F"/>
    <w:rsid w:val="00647054"/>
    <w:rsid w:val="006478E6"/>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480F"/>
    <w:rsid w:val="00665229"/>
    <w:rsid w:val="006654E8"/>
    <w:rsid w:val="00665598"/>
    <w:rsid w:val="0066566C"/>
    <w:rsid w:val="0066568F"/>
    <w:rsid w:val="00665C15"/>
    <w:rsid w:val="00665CCE"/>
    <w:rsid w:val="00665F1A"/>
    <w:rsid w:val="00666471"/>
    <w:rsid w:val="00666653"/>
    <w:rsid w:val="006673D8"/>
    <w:rsid w:val="0066797B"/>
    <w:rsid w:val="00667A27"/>
    <w:rsid w:val="0067016B"/>
    <w:rsid w:val="00670328"/>
    <w:rsid w:val="006704BF"/>
    <w:rsid w:val="00670AD8"/>
    <w:rsid w:val="00670ECD"/>
    <w:rsid w:val="006725EA"/>
    <w:rsid w:val="006730FA"/>
    <w:rsid w:val="00673D7C"/>
    <w:rsid w:val="00673FBF"/>
    <w:rsid w:val="00674460"/>
    <w:rsid w:val="006744FB"/>
    <w:rsid w:val="00676A4B"/>
    <w:rsid w:val="00676C9B"/>
    <w:rsid w:val="00676FFB"/>
    <w:rsid w:val="00677B01"/>
    <w:rsid w:val="00677E8D"/>
    <w:rsid w:val="00680A97"/>
    <w:rsid w:val="00680C3F"/>
    <w:rsid w:val="0068102D"/>
    <w:rsid w:val="0068226B"/>
    <w:rsid w:val="00682ED3"/>
    <w:rsid w:val="0068370B"/>
    <w:rsid w:val="00684BDE"/>
    <w:rsid w:val="00684FBD"/>
    <w:rsid w:val="00685535"/>
    <w:rsid w:val="00685D3B"/>
    <w:rsid w:val="006863EA"/>
    <w:rsid w:val="00687817"/>
    <w:rsid w:val="0069008A"/>
    <w:rsid w:val="00690881"/>
    <w:rsid w:val="00692799"/>
    <w:rsid w:val="00692A0D"/>
    <w:rsid w:val="00693077"/>
    <w:rsid w:val="00693295"/>
    <w:rsid w:val="006936BD"/>
    <w:rsid w:val="0069447C"/>
    <w:rsid w:val="00695E3A"/>
    <w:rsid w:val="00697076"/>
    <w:rsid w:val="006979CD"/>
    <w:rsid w:val="00697FE2"/>
    <w:rsid w:val="006A05E8"/>
    <w:rsid w:val="006A0B49"/>
    <w:rsid w:val="006A1313"/>
    <w:rsid w:val="006A1C6F"/>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A7C"/>
    <w:rsid w:val="006B1DA2"/>
    <w:rsid w:val="006B1F5F"/>
    <w:rsid w:val="006B2064"/>
    <w:rsid w:val="006B2AAC"/>
    <w:rsid w:val="006B3AD6"/>
    <w:rsid w:val="006B4F5B"/>
    <w:rsid w:val="006B5922"/>
    <w:rsid w:val="006B67DE"/>
    <w:rsid w:val="006B6C94"/>
    <w:rsid w:val="006B6E3E"/>
    <w:rsid w:val="006C0900"/>
    <w:rsid w:val="006C09DD"/>
    <w:rsid w:val="006C10C0"/>
    <w:rsid w:val="006C369C"/>
    <w:rsid w:val="006C36E8"/>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A2D"/>
    <w:rsid w:val="006E3B45"/>
    <w:rsid w:val="006E4066"/>
    <w:rsid w:val="006E512D"/>
    <w:rsid w:val="006E53A6"/>
    <w:rsid w:val="006E5C3A"/>
    <w:rsid w:val="006E610E"/>
    <w:rsid w:val="006E6F8F"/>
    <w:rsid w:val="006E6FC9"/>
    <w:rsid w:val="006E7093"/>
    <w:rsid w:val="006E7496"/>
    <w:rsid w:val="006E7969"/>
    <w:rsid w:val="006F0104"/>
    <w:rsid w:val="006F0B08"/>
    <w:rsid w:val="006F0C12"/>
    <w:rsid w:val="006F0EB1"/>
    <w:rsid w:val="006F1636"/>
    <w:rsid w:val="006F16B4"/>
    <w:rsid w:val="006F16D6"/>
    <w:rsid w:val="006F2A5F"/>
    <w:rsid w:val="006F2CCB"/>
    <w:rsid w:val="006F2E9D"/>
    <w:rsid w:val="006F314D"/>
    <w:rsid w:val="006F57A2"/>
    <w:rsid w:val="006F59D4"/>
    <w:rsid w:val="006F5CDF"/>
    <w:rsid w:val="006F5FAA"/>
    <w:rsid w:val="006F61B8"/>
    <w:rsid w:val="006F6BE1"/>
    <w:rsid w:val="006F738F"/>
    <w:rsid w:val="006F7E42"/>
    <w:rsid w:val="0070023A"/>
    <w:rsid w:val="00700EC2"/>
    <w:rsid w:val="00700F47"/>
    <w:rsid w:val="00700F6E"/>
    <w:rsid w:val="007014E1"/>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07C06"/>
    <w:rsid w:val="0071029D"/>
    <w:rsid w:val="00710815"/>
    <w:rsid w:val="00710994"/>
    <w:rsid w:val="00710D33"/>
    <w:rsid w:val="00710D4D"/>
    <w:rsid w:val="00710FF5"/>
    <w:rsid w:val="0071129C"/>
    <w:rsid w:val="00711AE4"/>
    <w:rsid w:val="0071240A"/>
    <w:rsid w:val="00712D0F"/>
    <w:rsid w:val="00713665"/>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6B6"/>
    <w:rsid w:val="00721E1D"/>
    <w:rsid w:val="00722752"/>
    <w:rsid w:val="00722CD9"/>
    <w:rsid w:val="00723B7C"/>
    <w:rsid w:val="00723E10"/>
    <w:rsid w:val="00724357"/>
    <w:rsid w:val="00724426"/>
    <w:rsid w:val="00724685"/>
    <w:rsid w:val="00724A3E"/>
    <w:rsid w:val="00725CB6"/>
    <w:rsid w:val="00726281"/>
    <w:rsid w:val="00726C1B"/>
    <w:rsid w:val="00730B78"/>
    <w:rsid w:val="0073128B"/>
    <w:rsid w:val="007312CB"/>
    <w:rsid w:val="00731566"/>
    <w:rsid w:val="0073171A"/>
    <w:rsid w:val="0073278B"/>
    <w:rsid w:val="00733FA0"/>
    <w:rsid w:val="00734049"/>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79B"/>
    <w:rsid w:val="00741B54"/>
    <w:rsid w:val="007420C9"/>
    <w:rsid w:val="00743B7C"/>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950"/>
    <w:rsid w:val="00755B06"/>
    <w:rsid w:val="0075603B"/>
    <w:rsid w:val="00756C09"/>
    <w:rsid w:val="007570E6"/>
    <w:rsid w:val="00757A61"/>
    <w:rsid w:val="00757C96"/>
    <w:rsid w:val="007600A8"/>
    <w:rsid w:val="0076083D"/>
    <w:rsid w:val="00760D79"/>
    <w:rsid w:val="0076121D"/>
    <w:rsid w:val="007616CD"/>
    <w:rsid w:val="007619FB"/>
    <w:rsid w:val="00761C91"/>
    <w:rsid w:val="00762924"/>
    <w:rsid w:val="00762D30"/>
    <w:rsid w:val="00763339"/>
    <w:rsid w:val="00763355"/>
    <w:rsid w:val="00763522"/>
    <w:rsid w:val="00763FE8"/>
    <w:rsid w:val="00764A6B"/>
    <w:rsid w:val="00764E1D"/>
    <w:rsid w:val="00765327"/>
    <w:rsid w:val="007661E2"/>
    <w:rsid w:val="00766AE4"/>
    <w:rsid w:val="00766BFB"/>
    <w:rsid w:val="007678B6"/>
    <w:rsid w:val="00767DE2"/>
    <w:rsid w:val="00770CF3"/>
    <w:rsid w:val="007721AD"/>
    <w:rsid w:val="007726FB"/>
    <w:rsid w:val="00772D15"/>
    <w:rsid w:val="00772DC3"/>
    <w:rsid w:val="00773141"/>
    <w:rsid w:val="00773D67"/>
    <w:rsid w:val="00774BC1"/>
    <w:rsid w:val="00774E6B"/>
    <w:rsid w:val="00775F11"/>
    <w:rsid w:val="007768F2"/>
    <w:rsid w:val="00776E9E"/>
    <w:rsid w:val="00777126"/>
    <w:rsid w:val="007773CD"/>
    <w:rsid w:val="00777C1A"/>
    <w:rsid w:val="00777C3F"/>
    <w:rsid w:val="00777EE9"/>
    <w:rsid w:val="00780316"/>
    <w:rsid w:val="00780732"/>
    <w:rsid w:val="0078095A"/>
    <w:rsid w:val="0078146E"/>
    <w:rsid w:val="0078165E"/>
    <w:rsid w:val="00781B9A"/>
    <w:rsid w:val="0078243D"/>
    <w:rsid w:val="00783659"/>
    <w:rsid w:val="0078380D"/>
    <w:rsid w:val="00783BCC"/>
    <w:rsid w:val="007842F0"/>
    <w:rsid w:val="00784702"/>
    <w:rsid w:val="007847B9"/>
    <w:rsid w:val="00785381"/>
    <w:rsid w:val="007860C0"/>
    <w:rsid w:val="00786272"/>
    <w:rsid w:val="007864B2"/>
    <w:rsid w:val="00786620"/>
    <w:rsid w:val="00786D0A"/>
    <w:rsid w:val="00787736"/>
    <w:rsid w:val="00787A55"/>
    <w:rsid w:val="00787FF1"/>
    <w:rsid w:val="00790693"/>
    <w:rsid w:val="00790843"/>
    <w:rsid w:val="00790BD5"/>
    <w:rsid w:val="007916D2"/>
    <w:rsid w:val="00792A72"/>
    <w:rsid w:val="00792ECC"/>
    <w:rsid w:val="0079380A"/>
    <w:rsid w:val="007939C7"/>
    <w:rsid w:val="00793F07"/>
    <w:rsid w:val="007940AC"/>
    <w:rsid w:val="0079484F"/>
    <w:rsid w:val="00794DA6"/>
    <w:rsid w:val="007955A1"/>
    <w:rsid w:val="007958CB"/>
    <w:rsid w:val="0079592D"/>
    <w:rsid w:val="007959F5"/>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A7AF0"/>
    <w:rsid w:val="007B0253"/>
    <w:rsid w:val="007B0E3D"/>
    <w:rsid w:val="007B1061"/>
    <w:rsid w:val="007B1306"/>
    <w:rsid w:val="007B1B64"/>
    <w:rsid w:val="007B2638"/>
    <w:rsid w:val="007B2D8B"/>
    <w:rsid w:val="007B3458"/>
    <w:rsid w:val="007B448A"/>
    <w:rsid w:val="007B4B0D"/>
    <w:rsid w:val="007B4C6D"/>
    <w:rsid w:val="007B4E3F"/>
    <w:rsid w:val="007B522A"/>
    <w:rsid w:val="007B7275"/>
    <w:rsid w:val="007C037A"/>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CB3"/>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252"/>
    <w:rsid w:val="007E276E"/>
    <w:rsid w:val="007E27CC"/>
    <w:rsid w:val="007E2B64"/>
    <w:rsid w:val="007E3051"/>
    <w:rsid w:val="007E4238"/>
    <w:rsid w:val="007E43A4"/>
    <w:rsid w:val="007E491B"/>
    <w:rsid w:val="007E4E4F"/>
    <w:rsid w:val="007E6477"/>
    <w:rsid w:val="007E686B"/>
    <w:rsid w:val="007E6D46"/>
    <w:rsid w:val="007E6DA8"/>
    <w:rsid w:val="007E73ED"/>
    <w:rsid w:val="007E7A3E"/>
    <w:rsid w:val="007E7C75"/>
    <w:rsid w:val="007F04E6"/>
    <w:rsid w:val="007F05E0"/>
    <w:rsid w:val="007F0AE2"/>
    <w:rsid w:val="007F0DD3"/>
    <w:rsid w:val="007F163D"/>
    <w:rsid w:val="007F1A2B"/>
    <w:rsid w:val="007F1C1B"/>
    <w:rsid w:val="007F2D82"/>
    <w:rsid w:val="007F2DBB"/>
    <w:rsid w:val="007F2ED4"/>
    <w:rsid w:val="007F31B4"/>
    <w:rsid w:val="007F322D"/>
    <w:rsid w:val="007F3BCA"/>
    <w:rsid w:val="007F3FB0"/>
    <w:rsid w:val="007F4981"/>
    <w:rsid w:val="007F49CD"/>
    <w:rsid w:val="007F4E99"/>
    <w:rsid w:val="007F513A"/>
    <w:rsid w:val="007F5D4A"/>
    <w:rsid w:val="007F6562"/>
    <w:rsid w:val="007F65F2"/>
    <w:rsid w:val="007F757D"/>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0D60"/>
    <w:rsid w:val="00811036"/>
    <w:rsid w:val="00811DF9"/>
    <w:rsid w:val="008122CD"/>
    <w:rsid w:val="008123D5"/>
    <w:rsid w:val="008127B0"/>
    <w:rsid w:val="00813C70"/>
    <w:rsid w:val="008142C7"/>
    <w:rsid w:val="0081433F"/>
    <w:rsid w:val="008147F9"/>
    <w:rsid w:val="00814B5E"/>
    <w:rsid w:val="00814B7D"/>
    <w:rsid w:val="00814C44"/>
    <w:rsid w:val="00814F19"/>
    <w:rsid w:val="00815706"/>
    <w:rsid w:val="00815A88"/>
    <w:rsid w:val="008162DE"/>
    <w:rsid w:val="00817025"/>
    <w:rsid w:val="008202C9"/>
    <w:rsid w:val="00820759"/>
    <w:rsid w:val="0082081A"/>
    <w:rsid w:val="00820B06"/>
    <w:rsid w:val="00820E25"/>
    <w:rsid w:val="00820FE6"/>
    <w:rsid w:val="00821167"/>
    <w:rsid w:val="0082126F"/>
    <w:rsid w:val="00821737"/>
    <w:rsid w:val="00821B0B"/>
    <w:rsid w:val="00821D40"/>
    <w:rsid w:val="008233F8"/>
    <w:rsid w:val="008237B2"/>
    <w:rsid w:val="00827A8A"/>
    <w:rsid w:val="00830D11"/>
    <w:rsid w:val="008314F0"/>
    <w:rsid w:val="008319D3"/>
    <w:rsid w:val="00832C18"/>
    <w:rsid w:val="0083388D"/>
    <w:rsid w:val="00833A21"/>
    <w:rsid w:val="0083411C"/>
    <w:rsid w:val="008343CB"/>
    <w:rsid w:val="00834512"/>
    <w:rsid w:val="00835544"/>
    <w:rsid w:val="00835967"/>
    <w:rsid w:val="00835B82"/>
    <w:rsid w:val="00836157"/>
    <w:rsid w:val="0083657B"/>
    <w:rsid w:val="00836762"/>
    <w:rsid w:val="00837D87"/>
    <w:rsid w:val="0084059F"/>
    <w:rsid w:val="00840634"/>
    <w:rsid w:val="008412CF"/>
    <w:rsid w:val="00841875"/>
    <w:rsid w:val="00841D09"/>
    <w:rsid w:val="00841E9F"/>
    <w:rsid w:val="00842061"/>
    <w:rsid w:val="00843971"/>
    <w:rsid w:val="00843AFD"/>
    <w:rsid w:val="00843B71"/>
    <w:rsid w:val="00843BDF"/>
    <w:rsid w:val="00844468"/>
    <w:rsid w:val="008444F8"/>
    <w:rsid w:val="00845014"/>
    <w:rsid w:val="0084554A"/>
    <w:rsid w:val="00845D97"/>
    <w:rsid w:val="00845F51"/>
    <w:rsid w:val="00846069"/>
    <w:rsid w:val="0084637B"/>
    <w:rsid w:val="00846467"/>
    <w:rsid w:val="0084760D"/>
    <w:rsid w:val="00847991"/>
    <w:rsid w:val="008479F4"/>
    <w:rsid w:val="00847C4E"/>
    <w:rsid w:val="0085172A"/>
    <w:rsid w:val="008517E2"/>
    <w:rsid w:val="008535B0"/>
    <w:rsid w:val="00853A21"/>
    <w:rsid w:val="00853BD0"/>
    <w:rsid w:val="008544D2"/>
    <w:rsid w:val="00854983"/>
    <w:rsid w:val="00854DBE"/>
    <w:rsid w:val="00855C75"/>
    <w:rsid w:val="008569DF"/>
    <w:rsid w:val="00856B6B"/>
    <w:rsid w:val="00856E4A"/>
    <w:rsid w:val="00856EEA"/>
    <w:rsid w:val="008579B1"/>
    <w:rsid w:val="00857DB5"/>
    <w:rsid w:val="00857F97"/>
    <w:rsid w:val="0086007E"/>
    <w:rsid w:val="0086037F"/>
    <w:rsid w:val="00860777"/>
    <w:rsid w:val="00860AD4"/>
    <w:rsid w:val="0086119E"/>
    <w:rsid w:val="008614CF"/>
    <w:rsid w:val="00861B0E"/>
    <w:rsid w:val="00861B16"/>
    <w:rsid w:val="00861B41"/>
    <w:rsid w:val="00861DA1"/>
    <w:rsid w:val="00862173"/>
    <w:rsid w:val="008621F7"/>
    <w:rsid w:val="008626B0"/>
    <w:rsid w:val="00864A2A"/>
    <w:rsid w:val="00864E86"/>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2A4C"/>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87C39"/>
    <w:rsid w:val="008907B2"/>
    <w:rsid w:val="00890C19"/>
    <w:rsid w:val="00891046"/>
    <w:rsid w:val="008914A6"/>
    <w:rsid w:val="00891DD0"/>
    <w:rsid w:val="008922DF"/>
    <w:rsid w:val="0089290E"/>
    <w:rsid w:val="00892C2E"/>
    <w:rsid w:val="0089357C"/>
    <w:rsid w:val="00893773"/>
    <w:rsid w:val="008949CC"/>
    <w:rsid w:val="0089549F"/>
    <w:rsid w:val="008954B3"/>
    <w:rsid w:val="008958EF"/>
    <w:rsid w:val="008959F1"/>
    <w:rsid w:val="00895EAA"/>
    <w:rsid w:val="00895F27"/>
    <w:rsid w:val="008970B5"/>
    <w:rsid w:val="008971D9"/>
    <w:rsid w:val="008A0473"/>
    <w:rsid w:val="008A16AE"/>
    <w:rsid w:val="008A23DF"/>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3D6"/>
    <w:rsid w:val="008B07C0"/>
    <w:rsid w:val="008B0872"/>
    <w:rsid w:val="008B0DCC"/>
    <w:rsid w:val="008B1651"/>
    <w:rsid w:val="008B27A6"/>
    <w:rsid w:val="008B2DEB"/>
    <w:rsid w:val="008B3537"/>
    <w:rsid w:val="008B3D4F"/>
    <w:rsid w:val="008B4B0D"/>
    <w:rsid w:val="008B4B33"/>
    <w:rsid w:val="008B511C"/>
    <w:rsid w:val="008B530B"/>
    <w:rsid w:val="008B5578"/>
    <w:rsid w:val="008B5867"/>
    <w:rsid w:val="008B5A81"/>
    <w:rsid w:val="008B7441"/>
    <w:rsid w:val="008B767A"/>
    <w:rsid w:val="008C0743"/>
    <w:rsid w:val="008C084B"/>
    <w:rsid w:val="008C0DB5"/>
    <w:rsid w:val="008C1581"/>
    <w:rsid w:val="008C17CD"/>
    <w:rsid w:val="008C2453"/>
    <w:rsid w:val="008C2920"/>
    <w:rsid w:val="008C32F7"/>
    <w:rsid w:val="008C39B0"/>
    <w:rsid w:val="008C436D"/>
    <w:rsid w:val="008C4853"/>
    <w:rsid w:val="008C48F2"/>
    <w:rsid w:val="008C5040"/>
    <w:rsid w:val="008C5BE7"/>
    <w:rsid w:val="008C74CC"/>
    <w:rsid w:val="008C7737"/>
    <w:rsid w:val="008C7C3C"/>
    <w:rsid w:val="008C7F77"/>
    <w:rsid w:val="008D095D"/>
    <w:rsid w:val="008D0EB5"/>
    <w:rsid w:val="008D13DC"/>
    <w:rsid w:val="008D1980"/>
    <w:rsid w:val="008D1E23"/>
    <w:rsid w:val="008D2461"/>
    <w:rsid w:val="008D2C0B"/>
    <w:rsid w:val="008D34B7"/>
    <w:rsid w:val="008D39AB"/>
    <w:rsid w:val="008D3CF6"/>
    <w:rsid w:val="008D4025"/>
    <w:rsid w:val="008D479A"/>
    <w:rsid w:val="008D4EA1"/>
    <w:rsid w:val="008D538D"/>
    <w:rsid w:val="008D5E0F"/>
    <w:rsid w:val="008D5FCD"/>
    <w:rsid w:val="008D6288"/>
    <w:rsid w:val="008D6C6B"/>
    <w:rsid w:val="008D6F90"/>
    <w:rsid w:val="008D7615"/>
    <w:rsid w:val="008D76A0"/>
    <w:rsid w:val="008E0E8C"/>
    <w:rsid w:val="008E16C5"/>
    <w:rsid w:val="008E2051"/>
    <w:rsid w:val="008E2525"/>
    <w:rsid w:val="008E356A"/>
    <w:rsid w:val="008E3BCB"/>
    <w:rsid w:val="008E3BEB"/>
    <w:rsid w:val="008E3D50"/>
    <w:rsid w:val="008E412D"/>
    <w:rsid w:val="008E4145"/>
    <w:rsid w:val="008E451A"/>
    <w:rsid w:val="008E455C"/>
    <w:rsid w:val="008E4C61"/>
    <w:rsid w:val="008E4E8B"/>
    <w:rsid w:val="008E5867"/>
    <w:rsid w:val="008E5D5A"/>
    <w:rsid w:val="008E6240"/>
    <w:rsid w:val="008E6D2D"/>
    <w:rsid w:val="008E6E01"/>
    <w:rsid w:val="008E76F3"/>
    <w:rsid w:val="008E7A59"/>
    <w:rsid w:val="008E7FDA"/>
    <w:rsid w:val="008F01AB"/>
    <w:rsid w:val="008F09AF"/>
    <w:rsid w:val="008F23C7"/>
    <w:rsid w:val="008F2A4E"/>
    <w:rsid w:val="008F2EB2"/>
    <w:rsid w:val="008F3DC9"/>
    <w:rsid w:val="008F4107"/>
    <w:rsid w:val="008F4807"/>
    <w:rsid w:val="008F4BFE"/>
    <w:rsid w:val="008F4F27"/>
    <w:rsid w:val="008F56B5"/>
    <w:rsid w:val="008F594D"/>
    <w:rsid w:val="008F595E"/>
    <w:rsid w:val="008F5B72"/>
    <w:rsid w:val="008F62E5"/>
    <w:rsid w:val="008F7697"/>
    <w:rsid w:val="008F7AEE"/>
    <w:rsid w:val="009003A0"/>
    <w:rsid w:val="00900A18"/>
    <w:rsid w:val="00900BAA"/>
    <w:rsid w:val="00901845"/>
    <w:rsid w:val="00901AAA"/>
    <w:rsid w:val="0090242C"/>
    <w:rsid w:val="00902740"/>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07F41"/>
    <w:rsid w:val="009108A7"/>
    <w:rsid w:val="009114A5"/>
    <w:rsid w:val="00911E1A"/>
    <w:rsid w:val="009123B9"/>
    <w:rsid w:val="00912DDD"/>
    <w:rsid w:val="00913F4C"/>
    <w:rsid w:val="0091404B"/>
    <w:rsid w:val="0091423A"/>
    <w:rsid w:val="00914307"/>
    <w:rsid w:val="00914370"/>
    <w:rsid w:val="00914AD4"/>
    <w:rsid w:val="00914CA0"/>
    <w:rsid w:val="00914DE2"/>
    <w:rsid w:val="0091537E"/>
    <w:rsid w:val="00915DE0"/>
    <w:rsid w:val="009167FB"/>
    <w:rsid w:val="00916CCF"/>
    <w:rsid w:val="00920236"/>
    <w:rsid w:val="00920B65"/>
    <w:rsid w:val="00920BC8"/>
    <w:rsid w:val="00920D4C"/>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93E"/>
    <w:rsid w:val="00941A1C"/>
    <w:rsid w:val="00942CAE"/>
    <w:rsid w:val="00943048"/>
    <w:rsid w:val="0094335F"/>
    <w:rsid w:val="00943704"/>
    <w:rsid w:val="00944202"/>
    <w:rsid w:val="0094468A"/>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1D2A"/>
    <w:rsid w:val="00951EA3"/>
    <w:rsid w:val="00951FFF"/>
    <w:rsid w:val="009520A6"/>
    <w:rsid w:val="009526F7"/>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1EF"/>
    <w:rsid w:val="009612F1"/>
    <w:rsid w:val="00961B8B"/>
    <w:rsid w:val="00961BF6"/>
    <w:rsid w:val="00961D3F"/>
    <w:rsid w:val="00962AA0"/>
    <w:rsid w:val="00962CB3"/>
    <w:rsid w:val="00963164"/>
    <w:rsid w:val="00963275"/>
    <w:rsid w:val="0096347D"/>
    <w:rsid w:val="00963CD6"/>
    <w:rsid w:val="009646FA"/>
    <w:rsid w:val="009654F0"/>
    <w:rsid w:val="009667FB"/>
    <w:rsid w:val="00966C9A"/>
    <w:rsid w:val="00967B12"/>
    <w:rsid w:val="00967EA6"/>
    <w:rsid w:val="00970E72"/>
    <w:rsid w:val="00970F7A"/>
    <w:rsid w:val="0097132B"/>
    <w:rsid w:val="0097189F"/>
    <w:rsid w:val="00971C42"/>
    <w:rsid w:val="00971EC5"/>
    <w:rsid w:val="00971FCC"/>
    <w:rsid w:val="00971FE2"/>
    <w:rsid w:val="009720A1"/>
    <w:rsid w:val="009726F5"/>
    <w:rsid w:val="009728FB"/>
    <w:rsid w:val="0097298A"/>
    <w:rsid w:val="0097373B"/>
    <w:rsid w:val="00973BAF"/>
    <w:rsid w:val="00974182"/>
    <w:rsid w:val="00975236"/>
    <w:rsid w:val="0097579F"/>
    <w:rsid w:val="00975CBD"/>
    <w:rsid w:val="0097672C"/>
    <w:rsid w:val="009769BA"/>
    <w:rsid w:val="00976E39"/>
    <w:rsid w:val="009773CE"/>
    <w:rsid w:val="0097780F"/>
    <w:rsid w:val="009778AB"/>
    <w:rsid w:val="00981CB6"/>
    <w:rsid w:val="00982AB4"/>
    <w:rsid w:val="00983061"/>
    <w:rsid w:val="0098312F"/>
    <w:rsid w:val="00983223"/>
    <w:rsid w:val="00984206"/>
    <w:rsid w:val="0098511E"/>
    <w:rsid w:val="00985135"/>
    <w:rsid w:val="0098541D"/>
    <w:rsid w:val="00985C9A"/>
    <w:rsid w:val="009866CE"/>
    <w:rsid w:val="009879B5"/>
    <w:rsid w:val="00990010"/>
    <w:rsid w:val="00990732"/>
    <w:rsid w:val="00990C1F"/>
    <w:rsid w:val="00991820"/>
    <w:rsid w:val="00991C57"/>
    <w:rsid w:val="00991F39"/>
    <w:rsid w:val="009930C0"/>
    <w:rsid w:val="00994344"/>
    <w:rsid w:val="00994D1C"/>
    <w:rsid w:val="009950A1"/>
    <w:rsid w:val="009951BE"/>
    <w:rsid w:val="009952D9"/>
    <w:rsid w:val="009958D0"/>
    <w:rsid w:val="009961C9"/>
    <w:rsid w:val="00996354"/>
    <w:rsid w:val="00996A8B"/>
    <w:rsid w:val="009974A0"/>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A7FE7"/>
    <w:rsid w:val="009B003C"/>
    <w:rsid w:val="009B0DFC"/>
    <w:rsid w:val="009B114C"/>
    <w:rsid w:val="009B2465"/>
    <w:rsid w:val="009B285A"/>
    <w:rsid w:val="009B300F"/>
    <w:rsid w:val="009B3745"/>
    <w:rsid w:val="009B3C7E"/>
    <w:rsid w:val="009B3CC7"/>
    <w:rsid w:val="009B44C6"/>
    <w:rsid w:val="009B468E"/>
    <w:rsid w:val="009B46E0"/>
    <w:rsid w:val="009B521B"/>
    <w:rsid w:val="009B59A5"/>
    <w:rsid w:val="009B5DD5"/>
    <w:rsid w:val="009B6970"/>
    <w:rsid w:val="009B74E2"/>
    <w:rsid w:val="009C00EF"/>
    <w:rsid w:val="009C064F"/>
    <w:rsid w:val="009C1566"/>
    <w:rsid w:val="009C245B"/>
    <w:rsid w:val="009C281C"/>
    <w:rsid w:val="009C3440"/>
    <w:rsid w:val="009C4E6E"/>
    <w:rsid w:val="009C520B"/>
    <w:rsid w:val="009C5874"/>
    <w:rsid w:val="009C5A49"/>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45"/>
    <w:rsid w:val="009D62E7"/>
    <w:rsid w:val="009D6E3B"/>
    <w:rsid w:val="009D6F0D"/>
    <w:rsid w:val="009D7423"/>
    <w:rsid w:val="009D7576"/>
    <w:rsid w:val="009D7776"/>
    <w:rsid w:val="009D7C4F"/>
    <w:rsid w:val="009E0FF1"/>
    <w:rsid w:val="009E1546"/>
    <w:rsid w:val="009E1726"/>
    <w:rsid w:val="009E18DB"/>
    <w:rsid w:val="009E1F70"/>
    <w:rsid w:val="009E2F97"/>
    <w:rsid w:val="009E3790"/>
    <w:rsid w:val="009E3809"/>
    <w:rsid w:val="009E3B5F"/>
    <w:rsid w:val="009E3C3E"/>
    <w:rsid w:val="009E457F"/>
    <w:rsid w:val="009E4811"/>
    <w:rsid w:val="009E5912"/>
    <w:rsid w:val="009E59CC"/>
    <w:rsid w:val="009E6928"/>
    <w:rsid w:val="009E732A"/>
    <w:rsid w:val="009E73D9"/>
    <w:rsid w:val="009F01C9"/>
    <w:rsid w:val="009F0433"/>
    <w:rsid w:val="009F0BCF"/>
    <w:rsid w:val="009F0CD1"/>
    <w:rsid w:val="009F115A"/>
    <w:rsid w:val="009F15B3"/>
    <w:rsid w:val="009F187B"/>
    <w:rsid w:val="009F23DC"/>
    <w:rsid w:val="009F3CC3"/>
    <w:rsid w:val="009F3F25"/>
    <w:rsid w:val="009F42FA"/>
    <w:rsid w:val="009F4375"/>
    <w:rsid w:val="009F4769"/>
    <w:rsid w:val="009F4F05"/>
    <w:rsid w:val="009F5218"/>
    <w:rsid w:val="009F6420"/>
    <w:rsid w:val="009F68BE"/>
    <w:rsid w:val="00A0004F"/>
    <w:rsid w:val="00A0039D"/>
    <w:rsid w:val="00A00574"/>
    <w:rsid w:val="00A00ABE"/>
    <w:rsid w:val="00A00B85"/>
    <w:rsid w:val="00A010FB"/>
    <w:rsid w:val="00A0196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997"/>
    <w:rsid w:val="00A20D0A"/>
    <w:rsid w:val="00A2104B"/>
    <w:rsid w:val="00A210E9"/>
    <w:rsid w:val="00A213B0"/>
    <w:rsid w:val="00A21AAA"/>
    <w:rsid w:val="00A21FEA"/>
    <w:rsid w:val="00A224A1"/>
    <w:rsid w:val="00A23979"/>
    <w:rsid w:val="00A23DD3"/>
    <w:rsid w:val="00A2470A"/>
    <w:rsid w:val="00A2481C"/>
    <w:rsid w:val="00A25FDF"/>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1F"/>
    <w:rsid w:val="00A46FAD"/>
    <w:rsid w:val="00A472DB"/>
    <w:rsid w:val="00A47B7B"/>
    <w:rsid w:val="00A5044D"/>
    <w:rsid w:val="00A50B00"/>
    <w:rsid w:val="00A50C99"/>
    <w:rsid w:val="00A50E51"/>
    <w:rsid w:val="00A514EB"/>
    <w:rsid w:val="00A51664"/>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1CB"/>
    <w:rsid w:val="00A61828"/>
    <w:rsid w:val="00A61E26"/>
    <w:rsid w:val="00A622E2"/>
    <w:rsid w:val="00A62B97"/>
    <w:rsid w:val="00A62F30"/>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2824"/>
    <w:rsid w:val="00A7337F"/>
    <w:rsid w:val="00A7469D"/>
    <w:rsid w:val="00A74E04"/>
    <w:rsid w:val="00A74F6C"/>
    <w:rsid w:val="00A750D3"/>
    <w:rsid w:val="00A75212"/>
    <w:rsid w:val="00A75795"/>
    <w:rsid w:val="00A760AD"/>
    <w:rsid w:val="00A7634B"/>
    <w:rsid w:val="00A7647C"/>
    <w:rsid w:val="00A76A52"/>
    <w:rsid w:val="00A76BA5"/>
    <w:rsid w:val="00A7735F"/>
    <w:rsid w:val="00A80709"/>
    <w:rsid w:val="00A817F3"/>
    <w:rsid w:val="00A81DCD"/>
    <w:rsid w:val="00A8221B"/>
    <w:rsid w:val="00A82D80"/>
    <w:rsid w:val="00A82F10"/>
    <w:rsid w:val="00A83213"/>
    <w:rsid w:val="00A83430"/>
    <w:rsid w:val="00A8389D"/>
    <w:rsid w:val="00A83BF1"/>
    <w:rsid w:val="00A84298"/>
    <w:rsid w:val="00A842D6"/>
    <w:rsid w:val="00A844C6"/>
    <w:rsid w:val="00A8523D"/>
    <w:rsid w:val="00A85300"/>
    <w:rsid w:val="00A853A6"/>
    <w:rsid w:val="00A905F1"/>
    <w:rsid w:val="00A90CE4"/>
    <w:rsid w:val="00A90E27"/>
    <w:rsid w:val="00A90F65"/>
    <w:rsid w:val="00A911C3"/>
    <w:rsid w:val="00A91218"/>
    <w:rsid w:val="00A913B4"/>
    <w:rsid w:val="00A92A8E"/>
    <w:rsid w:val="00A92BA5"/>
    <w:rsid w:val="00A934FE"/>
    <w:rsid w:val="00A94B41"/>
    <w:rsid w:val="00A95933"/>
    <w:rsid w:val="00A959DF"/>
    <w:rsid w:val="00A96D7E"/>
    <w:rsid w:val="00A97060"/>
    <w:rsid w:val="00A973C7"/>
    <w:rsid w:val="00A9777F"/>
    <w:rsid w:val="00A97B8C"/>
    <w:rsid w:val="00A97BCD"/>
    <w:rsid w:val="00A97EB5"/>
    <w:rsid w:val="00AA0C88"/>
    <w:rsid w:val="00AA158B"/>
    <w:rsid w:val="00AA1D12"/>
    <w:rsid w:val="00AA216B"/>
    <w:rsid w:val="00AA2CD8"/>
    <w:rsid w:val="00AA30A2"/>
    <w:rsid w:val="00AA35D2"/>
    <w:rsid w:val="00AA37AC"/>
    <w:rsid w:val="00AA398E"/>
    <w:rsid w:val="00AA3CB1"/>
    <w:rsid w:val="00AA49B7"/>
    <w:rsid w:val="00AA61DD"/>
    <w:rsid w:val="00AA630A"/>
    <w:rsid w:val="00AA64FA"/>
    <w:rsid w:val="00AA69EF"/>
    <w:rsid w:val="00AA6F9A"/>
    <w:rsid w:val="00AA70B8"/>
    <w:rsid w:val="00AA7159"/>
    <w:rsid w:val="00AA7A0E"/>
    <w:rsid w:val="00AB02C8"/>
    <w:rsid w:val="00AB0C7A"/>
    <w:rsid w:val="00AB102D"/>
    <w:rsid w:val="00AB1A33"/>
    <w:rsid w:val="00AB2224"/>
    <w:rsid w:val="00AB2857"/>
    <w:rsid w:val="00AB2AB9"/>
    <w:rsid w:val="00AB3299"/>
    <w:rsid w:val="00AB3B95"/>
    <w:rsid w:val="00AB3E16"/>
    <w:rsid w:val="00AB3F97"/>
    <w:rsid w:val="00AB46A5"/>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2F4"/>
    <w:rsid w:val="00AC5521"/>
    <w:rsid w:val="00AC55D6"/>
    <w:rsid w:val="00AC6071"/>
    <w:rsid w:val="00AC62C7"/>
    <w:rsid w:val="00AC63F4"/>
    <w:rsid w:val="00AC7483"/>
    <w:rsid w:val="00AC755E"/>
    <w:rsid w:val="00AC7BC4"/>
    <w:rsid w:val="00AC7E9D"/>
    <w:rsid w:val="00AD067C"/>
    <w:rsid w:val="00AD163D"/>
    <w:rsid w:val="00AD1744"/>
    <w:rsid w:val="00AD1B03"/>
    <w:rsid w:val="00AD1D48"/>
    <w:rsid w:val="00AD1DFE"/>
    <w:rsid w:val="00AD1F3F"/>
    <w:rsid w:val="00AD2C1A"/>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1D7"/>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00"/>
    <w:rsid w:val="00AF66F1"/>
    <w:rsid w:val="00AF6C00"/>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5A9"/>
    <w:rsid w:val="00B05688"/>
    <w:rsid w:val="00B05A41"/>
    <w:rsid w:val="00B06241"/>
    <w:rsid w:val="00B07988"/>
    <w:rsid w:val="00B07EDA"/>
    <w:rsid w:val="00B11AC8"/>
    <w:rsid w:val="00B11C22"/>
    <w:rsid w:val="00B11E9A"/>
    <w:rsid w:val="00B13818"/>
    <w:rsid w:val="00B13C59"/>
    <w:rsid w:val="00B14939"/>
    <w:rsid w:val="00B14DDF"/>
    <w:rsid w:val="00B14E6C"/>
    <w:rsid w:val="00B14F21"/>
    <w:rsid w:val="00B151C6"/>
    <w:rsid w:val="00B15CC4"/>
    <w:rsid w:val="00B1741F"/>
    <w:rsid w:val="00B17793"/>
    <w:rsid w:val="00B17D79"/>
    <w:rsid w:val="00B17F5F"/>
    <w:rsid w:val="00B20057"/>
    <w:rsid w:val="00B208A5"/>
    <w:rsid w:val="00B209B5"/>
    <w:rsid w:val="00B20E2B"/>
    <w:rsid w:val="00B21CA7"/>
    <w:rsid w:val="00B21D24"/>
    <w:rsid w:val="00B22137"/>
    <w:rsid w:val="00B22651"/>
    <w:rsid w:val="00B22CE2"/>
    <w:rsid w:val="00B23216"/>
    <w:rsid w:val="00B23960"/>
    <w:rsid w:val="00B23C80"/>
    <w:rsid w:val="00B24165"/>
    <w:rsid w:val="00B2484E"/>
    <w:rsid w:val="00B24C37"/>
    <w:rsid w:val="00B24F49"/>
    <w:rsid w:val="00B25064"/>
    <w:rsid w:val="00B255A7"/>
    <w:rsid w:val="00B25650"/>
    <w:rsid w:val="00B25A70"/>
    <w:rsid w:val="00B25F9A"/>
    <w:rsid w:val="00B263DD"/>
    <w:rsid w:val="00B265B9"/>
    <w:rsid w:val="00B27080"/>
    <w:rsid w:val="00B272D3"/>
    <w:rsid w:val="00B27F0A"/>
    <w:rsid w:val="00B315B1"/>
    <w:rsid w:val="00B31F85"/>
    <w:rsid w:val="00B3245C"/>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55F9"/>
    <w:rsid w:val="00B46FB7"/>
    <w:rsid w:val="00B477AA"/>
    <w:rsid w:val="00B4783F"/>
    <w:rsid w:val="00B47CEF"/>
    <w:rsid w:val="00B50D90"/>
    <w:rsid w:val="00B5230B"/>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4FBD"/>
    <w:rsid w:val="00B65956"/>
    <w:rsid w:val="00B65E54"/>
    <w:rsid w:val="00B660A0"/>
    <w:rsid w:val="00B67D22"/>
    <w:rsid w:val="00B67E87"/>
    <w:rsid w:val="00B70068"/>
    <w:rsid w:val="00B701B4"/>
    <w:rsid w:val="00B70288"/>
    <w:rsid w:val="00B7049B"/>
    <w:rsid w:val="00B70EDB"/>
    <w:rsid w:val="00B71A5D"/>
    <w:rsid w:val="00B71F17"/>
    <w:rsid w:val="00B72444"/>
    <w:rsid w:val="00B7260F"/>
    <w:rsid w:val="00B737C7"/>
    <w:rsid w:val="00B74A0D"/>
    <w:rsid w:val="00B74FBD"/>
    <w:rsid w:val="00B75180"/>
    <w:rsid w:val="00B75667"/>
    <w:rsid w:val="00B75780"/>
    <w:rsid w:val="00B76A7A"/>
    <w:rsid w:val="00B77B01"/>
    <w:rsid w:val="00B77D8A"/>
    <w:rsid w:val="00B77E12"/>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6D0"/>
    <w:rsid w:val="00B9086A"/>
    <w:rsid w:val="00B915BE"/>
    <w:rsid w:val="00B91AD7"/>
    <w:rsid w:val="00B91DBA"/>
    <w:rsid w:val="00B92037"/>
    <w:rsid w:val="00B92189"/>
    <w:rsid w:val="00B93093"/>
    <w:rsid w:val="00B93392"/>
    <w:rsid w:val="00B93412"/>
    <w:rsid w:val="00B93453"/>
    <w:rsid w:val="00B93664"/>
    <w:rsid w:val="00B93C36"/>
    <w:rsid w:val="00B93CF1"/>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38E"/>
    <w:rsid w:val="00BA44AB"/>
    <w:rsid w:val="00BA48E0"/>
    <w:rsid w:val="00BA5EFB"/>
    <w:rsid w:val="00BA659A"/>
    <w:rsid w:val="00BA6874"/>
    <w:rsid w:val="00BA68C1"/>
    <w:rsid w:val="00BA6E74"/>
    <w:rsid w:val="00BA715B"/>
    <w:rsid w:val="00BA73CD"/>
    <w:rsid w:val="00BA79BC"/>
    <w:rsid w:val="00BA7EB0"/>
    <w:rsid w:val="00BB022B"/>
    <w:rsid w:val="00BB0528"/>
    <w:rsid w:val="00BB07FA"/>
    <w:rsid w:val="00BB0986"/>
    <w:rsid w:val="00BB1D67"/>
    <w:rsid w:val="00BB214E"/>
    <w:rsid w:val="00BB23BD"/>
    <w:rsid w:val="00BB301E"/>
    <w:rsid w:val="00BB3F4C"/>
    <w:rsid w:val="00BB5260"/>
    <w:rsid w:val="00BB5FEA"/>
    <w:rsid w:val="00BB724B"/>
    <w:rsid w:val="00BB72E6"/>
    <w:rsid w:val="00BB77DC"/>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5C95"/>
    <w:rsid w:val="00BC6D8F"/>
    <w:rsid w:val="00BC7ADB"/>
    <w:rsid w:val="00BC7DB0"/>
    <w:rsid w:val="00BD082C"/>
    <w:rsid w:val="00BD0942"/>
    <w:rsid w:val="00BD0A3A"/>
    <w:rsid w:val="00BD0FC4"/>
    <w:rsid w:val="00BD1151"/>
    <w:rsid w:val="00BD13D0"/>
    <w:rsid w:val="00BD140B"/>
    <w:rsid w:val="00BD233E"/>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3FE8"/>
    <w:rsid w:val="00BE40F3"/>
    <w:rsid w:val="00BE65B3"/>
    <w:rsid w:val="00BE69FE"/>
    <w:rsid w:val="00BE742D"/>
    <w:rsid w:val="00BE779A"/>
    <w:rsid w:val="00BE7D51"/>
    <w:rsid w:val="00BF0487"/>
    <w:rsid w:val="00BF0ACA"/>
    <w:rsid w:val="00BF0FD5"/>
    <w:rsid w:val="00BF10D2"/>
    <w:rsid w:val="00BF116C"/>
    <w:rsid w:val="00BF120B"/>
    <w:rsid w:val="00BF19D1"/>
    <w:rsid w:val="00BF22EE"/>
    <w:rsid w:val="00BF28C2"/>
    <w:rsid w:val="00BF2AF0"/>
    <w:rsid w:val="00BF31CB"/>
    <w:rsid w:val="00BF4881"/>
    <w:rsid w:val="00BF4B69"/>
    <w:rsid w:val="00BF51F0"/>
    <w:rsid w:val="00BF60E3"/>
    <w:rsid w:val="00BF67D2"/>
    <w:rsid w:val="00BF6ECD"/>
    <w:rsid w:val="00BF70A1"/>
    <w:rsid w:val="00BF752F"/>
    <w:rsid w:val="00BF7D43"/>
    <w:rsid w:val="00C00B95"/>
    <w:rsid w:val="00C00D06"/>
    <w:rsid w:val="00C00D60"/>
    <w:rsid w:val="00C00E26"/>
    <w:rsid w:val="00C013A3"/>
    <w:rsid w:val="00C01B4D"/>
    <w:rsid w:val="00C02C93"/>
    <w:rsid w:val="00C0409F"/>
    <w:rsid w:val="00C045D1"/>
    <w:rsid w:val="00C04BF0"/>
    <w:rsid w:val="00C04D46"/>
    <w:rsid w:val="00C050A5"/>
    <w:rsid w:val="00C052F4"/>
    <w:rsid w:val="00C0546C"/>
    <w:rsid w:val="00C055A0"/>
    <w:rsid w:val="00C05678"/>
    <w:rsid w:val="00C057E0"/>
    <w:rsid w:val="00C0599D"/>
    <w:rsid w:val="00C05C20"/>
    <w:rsid w:val="00C05DB8"/>
    <w:rsid w:val="00C06066"/>
    <w:rsid w:val="00C067A4"/>
    <w:rsid w:val="00C076F5"/>
    <w:rsid w:val="00C078CC"/>
    <w:rsid w:val="00C07CAD"/>
    <w:rsid w:val="00C108DA"/>
    <w:rsid w:val="00C10F74"/>
    <w:rsid w:val="00C11183"/>
    <w:rsid w:val="00C118E4"/>
    <w:rsid w:val="00C11CA8"/>
    <w:rsid w:val="00C11FA5"/>
    <w:rsid w:val="00C11FE5"/>
    <w:rsid w:val="00C11FF6"/>
    <w:rsid w:val="00C122BF"/>
    <w:rsid w:val="00C124C4"/>
    <w:rsid w:val="00C12D59"/>
    <w:rsid w:val="00C13AD5"/>
    <w:rsid w:val="00C13C8A"/>
    <w:rsid w:val="00C14FE4"/>
    <w:rsid w:val="00C15135"/>
    <w:rsid w:val="00C17D89"/>
    <w:rsid w:val="00C20049"/>
    <w:rsid w:val="00C2068D"/>
    <w:rsid w:val="00C206C4"/>
    <w:rsid w:val="00C20D6F"/>
    <w:rsid w:val="00C2188F"/>
    <w:rsid w:val="00C219B3"/>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25D2"/>
    <w:rsid w:val="00C337F3"/>
    <w:rsid w:val="00C33B98"/>
    <w:rsid w:val="00C33FF0"/>
    <w:rsid w:val="00C34751"/>
    <w:rsid w:val="00C34C05"/>
    <w:rsid w:val="00C34E0B"/>
    <w:rsid w:val="00C3566B"/>
    <w:rsid w:val="00C35A2B"/>
    <w:rsid w:val="00C35B23"/>
    <w:rsid w:val="00C35BE3"/>
    <w:rsid w:val="00C36064"/>
    <w:rsid w:val="00C36BFA"/>
    <w:rsid w:val="00C37050"/>
    <w:rsid w:val="00C37D75"/>
    <w:rsid w:val="00C4018E"/>
    <w:rsid w:val="00C40FA9"/>
    <w:rsid w:val="00C41332"/>
    <w:rsid w:val="00C419A3"/>
    <w:rsid w:val="00C41B56"/>
    <w:rsid w:val="00C41D2B"/>
    <w:rsid w:val="00C4248E"/>
    <w:rsid w:val="00C42A8C"/>
    <w:rsid w:val="00C444D9"/>
    <w:rsid w:val="00C44500"/>
    <w:rsid w:val="00C447FB"/>
    <w:rsid w:val="00C45B4A"/>
    <w:rsid w:val="00C46095"/>
    <w:rsid w:val="00C460CA"/>
    <w:rsid w:val="00C46264"/>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D3B"/>
    <w:rsid w:val="00C60EC1"/>
    <w:rsid w:val="00C61F3D"/>
    <w:rsid w:val="00C620E3"/>
    <w:rsid w:val="00C62997"/>
    <w:rsid w:val="00C62B6B"/>
    <w:rsid w:val="00C62DEF"/>
    <w:rsid w:val="00C62F42"/>
    <w:rsid w:val="00C633AB"/>
    <w:rsid w:val="00C64849"/>
    <w:rsid w:val="00C65F58"/>
    <w:rsid w:val="00C661CD"/>
    <w:rsid w:val="00C66571"/>
    <w:rsid w:val="00C667F6"/>
    <w:rsid w:val="00C66941"/>
    <w:rsid w:val="00C66B7F"/>
    <w:rsid w:val="00C66C4B"/>
    <w:rsid w:val="00C66E0C"/>
    <w:rsid w:val="00C67420"/>
    <w:rsid w:val="00C679BA"/>
    <w:rsid w:val="00C70551"/>
    <w:rsid w:val="00C7094D"/>
    <w:rsid w:val="00C71CB1"/>
    <w:rsid w:val="00C7296E"/>
    <w:rsid w:val="00C72AD3"/>
    <w:rsid w:val="00C73242"/>
    <w:rsid w:val="00C7357D"/>
    <w:rsid w:val="00C741B5"/>
    <w:rsid w:val="00C74C3E"/>
    <w:rsid w:val="00C75004"/>
    <w:rsid w:val="00C755E8"/>
    <w:rsid w:val="00C75970"/>
    <w:rsid w:val="00C75A42"/>
    <w:rsid w:val="00C75C9D"/>
    <w:rsid w:val="00C77113"/>
    <w:rsid w:val="00C8009E"/>
    <w:rsid w:val="00C811D4"/>
    <w:rsid w:val="00C8128C"/>
    <w:rsid w:val="00C8198E"/>
    <w:rsid w:val="00C82AE6"/>
    <w:rsid w:val="00C82C71"/>
    <w:rsid w:val="00C82E5F"/>
    <w:rsid w:val="00C83234"/>
    <w:rsid w:val="00C8338A"/>
    <w:rsid w:val="00C83FEB"/>
    <w:rsid w:val="00C84103"/>
    <w:rsid w:val="00C8567F"/>
    <w:rsid w:val="00C8572A"/>
    <w:rsid w:val="00C85784"/>
    <w:rsid w:val="00C85BCA"/>
    <w:rsid w:val="00C8614D"/>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5DB0"/>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3F84"/>
    <w:rsid w:val="00CA5DA1"/>
    <w:rsid w:val="00CA60CC"/>
    <w:rsid w:val="00CA68EC"/>
    <w:rsid w:val="00CA7692"/>
    <w:rsid w:val="00CA7769"/>
    <w:rsid w:val="00CB047F"/>
    <w:rsid w:val="00CB10AB"/>
    <w:rsid w:val="00CB11BD"/>
    <w:rsid w:val="00CB123B"/>
    <w:rsid w:val="00CB1EB9"/>
    <w:rsid w:val="00CB2BBD"/>
    <w:rsid w:val="00CB3010"/>
    <w:rsid w:val="00CB45C9"/>
    <w:rsid w:val="00CB4F8A"/>
    <w:rsid w:val="00CB4FA5"/>
    <w:rsid w:val="00CB5562"/>
    <w:rsid w:val="00CB58DD"/>
    <w:rsid w:val="00CB5CCA"/>
    <w:rsid w:val="00CB6206"/>
    <w:rsid w:val="00CB6343"/>
    <w:rsid w:val="00CB6A43"/>
    <w:rsid w:val="00CB6BF1"/>
    <w:rsid w:val="00CB7648"/>
    <w:rsid w:val="00CB7B6B"/>
    <w:rsid w:val="00CC0FAB"/>
    <w:rsid w:val="00CC11B5"/>
    <w:rsid w:val="00CC1E3E"/>
    <w:rsid w:val="00CC1E40"/>
    <w:rsid w:val="00CC27F5"/>
    <w:rsid w:val="00CC2965"/>
    <w:rsid w:val="00CC3929"/>
    <w:rsid w:val="00CC3F83"/>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C58"/>
    <w:rsid w:val="00CD7F7D"/>
    <w:rsid w:val="00CD7FA5"/>
    <w:rsid w:val="00CE0112"/>
    <w:rsid w:val="00CE03B6"/>
    <w:rsid w:val="00CE05F2"/>
    <w:rsid w:val="00CE078A"/>
    <w:rsid w:val="00CE0EF9"/>
    <w:rsid w:val="00CE1225"/>
    <w:rsid w:val="00CE18BC"/>
    <w:rsid w:val="00CE22D6"/>
    <w:rsid w:val="00CE2806"/>
    <w:rsid w:val="00CE3257"/>
    <w:rsid w:val="00CE3684"/>
    <w:rsid w:val="00CE420D"/>
    <w:rsid w:val="00CE42DF"/>
    <w:rsid w:val="00CE4CEC"/>
    <w:rsid w:val="00CE5665"/>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1D37"/>
    <w:rsid w:val="00CF2304"/>
    <w:rsid w:val="00CF2639"/>
    <w:rsid w:val="00CF2C82"/>
    <w:rsid w:val="00CF2ED9"/>
    <w:rsid w:val="00CF35E4"/>
    <w:rsid w:val="00CF399F"/>
    <w:rsid w:val="00CF3F01"/>
    <w:rsid w:val="00CF4219"/>
    <w:rsid w:val="00CF557C"/>
    <w:rsid w:val="00CF6AF3"/>
    <w:rsid w:val="00CF75C7"/>
    <w:rsid w:val="00D014A9"/>
    <w:rsid w:val="00D017EE"/>
    <w:rsid w:val="00D02369"/>
    <w:rsid w:val="00D02621"/>
    <w:rsid w:val="00D02AC8"/>
    <w:rsid w:val="00D02C36"/>
    <w:rsid w:val="00D03684"/>
    <w:rsid w:val="00D038A2"/>
    <w:rsid w:val="00D03FC3"/>
    <w:rsid w:val="00D04FC8"/>
    <w:rsid w:val="00D05BC3"/>
    <w:rsid w:val="00D05FD4"/>
    <w:rsid w:val="00D06088"/>
    <w:rsid w:val="00D065A5"/>
    <w:rsid w:val="00D0675C"/>
    <w:rsid w:val="00D06800"/>
    <w:rsid w:val="00D06BB8"/>
    <w:rsid w:val="00D06EF9"/>
    <w:rsid w:val="00D0798F"/>
    <w:rsid w:val="00D07A46"/>
    <w:rsid w:val="00D07ADD"/>
    <w:rsid w:val="00D10199"/>
    <w:rsid w:val="00D10E49"/>
    <w:rsid w:val="00D10FB7"/>
    <w:rsid w:val="00D11683"/>
    <w:rsid w:val="00D11873"/>
    <w:rsid w:val="00D12BDB"/>
    <w:rsid w:val="00D13880"/>
    <w:rsid w:val="00D14204"/>
    <w:rsid w:val="00D14F37"/>
    <w:rsid w:val="00D1624D"/>
    <w:rsid w:val="00D164BF"/>
    <w:rsid w:val="00D16A3F"/>
    <w:rsid w:val="00D20083"/>
    <w:rsid w:val="00D20E2C"/>
    <w:rsid w:val="00D217CE"/>
    <w:rsid w:val="00D21FD2"/>
    <w:rsid w:val="00D22050"/>
    <w:rsid w:val="00D22D38"/>
    <w:rsid w:val="00D22EE4"/>
    <w:rsid w:val="00D22F97"/>
    <w:rsid w:val="00D231AF"/>
    <w:rsid w:val="00D23556"/>
    <w:rsid w:val="00D235F9"/>
    <w:rsid w:val="00D24DBB"/>
    <w:rsid w:val="00D25B79"/>
    <w:rsid w:val="00D26F41"/>
    <w:rsid w:val="00D27327"/>
    <w:rsid w:val="00D27695"/>
    <w:rsid w:val="00D30320"/>
    <w:rsid w:val="00D30756"/>
    <w:rsid w:val="00D31502"/>
    <w:rsid w:val="00D32B70"/>
    <w:rsid w:val="00D330E1"/>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2E4"/>
    <w:rsid w:val="00D423C9"/>
    <w:rsid w:val="00D4277B"/>
    <w:rsid w:val="00D429B7"/>
    <w:rsid w:val="00D4357E"/>
    <w:rsid w:val="00D44A5C"/>
    <w:rsid w:val="00D44B18"/>
    <w:rsid w:val="00D45E78"/>
    <w:rsid w:val="00D4611C"/>
    <w:rsid w:val="00D46E80"/>
    <w:rsid w:val="00D46F2D"/>
    <w:rsid w:val="00D475CC"/>
    <w:rsid w:val="00D50835"/>
    <w:rsid w:val="00D50931"/>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5A2"/>
    <w:rsid w:val="00D6670E"/>
    <w:rsid w:val="00D67947"/>
    <w:rsid w:val="00D7010A"/>
    <w:rsid w:val="00D7040B"/>
    <w:rsid w:val="00D70B79"/>
    <w:rsid w:val="00D70D46"/>
    <w:rsid w:val="00D70E81"/>
    <w:rsid w:val="00D70F5E"/>
    <w:rsid w:val="00D7116E"/>
    <w:rsid w:val="00D71968"/>
    <w:rsid w:val="00D71F01"/>
    <w:rsid w:val="00D72894"/>
    <w:rsid w:val="00D7293E"/>
    <w:rsid w:val="00D72DEB"/>
    <w:rsid w:val="00D7358C"/>
    <w:rsid w:val="00D7368A"/>
    <w:rsid w:val="00D737EE"/>
    <w:rsid w:val="00D73F90"/>
    <w:rsid w:val="00D74635"/>
    <w:rsid w:val="00D74977"/>
    <w:rsid w:val="00D75843"/>
    <w:rsid w:val="00D75999"/>
    <w:rsid w:val="00D76E83"/>
    <w:rsid w:val="00D8036A"/>
    <w:rsid w:val="00D81307"/>
    <w:rsid w:val="00D81FF1"/>
    <w:rsid w:val="00D820F3"/>
    <w:rsid w:val="00D822CA"/>
    <w:rsid w:val="00D84268"/>
    <w:rsid w:val="00D84515"/>
    <w:rsid w:val="00D84824"/>
    <w:rsid w:val="00D84F73"/>
    <w:rsid w:val="00D8666C"/>
    <w:rsid w:val="00D86B3B"/>
    <w:rsid w:val="00D876BB"/>
    <w:rsid w:val="00D8778A"/>
    <w:rsid w:val="00D87E21"/>
    <w:rsid w:val="00D87E48"/>
    <w:rsid w:val="00D90446"/>
    <w:rsid w:val="00D90D31"/>
    <w:rsid w:val="00D9120D"/>
    <w:rsid w:val="00D912DF"/>
    <w:rsid w:val="00D9193D"/>
    <w:rsid w:val="00D91BD8"/>
    <w:rsid w:val="00D92265"/>
    <w:rsid w:val="00D9230B"/>
    <w:rsid w:val="00D92F6C"/>
    <w:rsid w:val="00D93307"/>
    <w:rsid w:val="00D93946"/>
    <w:rsid w:val="00D93FFD"/>
    <w:rsid w:val="00D94372"/>
    <w:rsid w:val="00D94456"/>
    <w:rsid w:val="00D9493F"/>
    <w:rsid w:val="00D94FF3"/>
    <w:rsid w:val="00D957C0"/>
    <w:rsid w:val="00D95B59"/>
    <w:rsid w:val="00D95BFF"/>
    <w:rsid w:val="00D96AF8"/>
    <w:rsid w:val="00D96F51"/>
    <w:rsid w:val="00DA019E"/>
    <w:rsid w:val="00DA0590"/>
    <w:rsid w:val="00DA0F8E"/>
    <w:rsid w:val="00DA0FC0"/>
    <w:rsid w:val="00DA1176"/>
    <w:rsid w:val="00DA12A3"/>
    <w:rsid w:val="00DA1985"/>
    <w:rsid w:val="00DA1B85"/>
    <w:rsid w:val="00DA1D80"/>
    <w:rsid w:val="00DA1E0F"/>
    <w:rsid w:val="00DA2046"/>
    <w:rsid w:val="00DA2597"/>
    <w:rsid w:val="00DA28A0"/>
    <w:rsid w:val="00DA2BCC"/>
    <w:rsid w:val="00DA2E53"/>
    <w:rsid w:val="00DA3048"/>
    <w:rsid w:val="00DA30FB"/>
    <w:rsid w:val="00DA39C6"/>
    <w:rsid w:val="00DA3F00"/>
    <w:rsid w:val="00DA5C40"/>
    <w:rsid w:val="00DA631B"/>
    <w:rsid w:val="00DA6B8E"/>
    <w:rsid w:val="00DA7074"/>
    <w:rsid w:val="00DA727D"/>
    <w:rsid w:val="00DA773F"/>
    <w:rsid w:val="00DA7BC7"/>
    <w:rsid w:val="00DB0564"/>
    <w:rsid w:val="00DB1382"/>
    <w:rsid w:val="00DB1539"/>
    <w:rsid w:val="00DB2014"/>
    <w:rsid w:val="00DB21E6"/>
    <w:rsid w:val="00DB220E"/>
    <w:rsid w:val="00DB2369"/>
    <w:rsid w:val="00DB2559"/>
    <w:rsid w:val="00DB272C"/>
    <w:rsid w:val="00DB35C7"/>
    <w:rsid w:val="00DB39DE"/>
    <w:rsid w:val="00DB405C"/>
    <w:rsid w:val="00DB4322"/>
    <w:rsid w:val="00DB4489"/>
    <w:rsid w:val="00DB4699"/>
    <w:rsid w:val="00DB4CA0"/>
    <w:rsid w:val="00DB4FD7"/>
    <w:rsid w:val="00DB518A"/>
    <w:rsid w:val="00DB533A"/>
    <w:rsid w:val="00DB5C4A"/>
    <w:rsid w:val="00DB5EE5"/>
    <w:rsid w:val="00DB67D0"/>
    <w:rsid w:val="00DB68AB"/>
    <w:rsid w:val="00DB6AEF"/>
    <w:rsid w:val="00DB6DF3"/>
    <w:rsid w:val="00DB7507"/>
    <w:rsid w:val="00DB75E6"/>
    <w:rsid w:val="00DB7E8C"/>
    <w:rsid w:val="00DC0BF8"/>
    <w:rsid w:val="00DC0F93"/>
    <w:rsid w:val="00DC16C2"/>
    <w:rsid w:val="00DC1763"/>
    <w:rsid w:val="00DC17C6"/>
    <w:rsid w:val="00DC28A6"/>
    <w:rsid w:val="00DC31EE"/>
    <w:rsid w:val="00DC3BC7"/>
    <w:rsid w:val="00DC4A29"/>
    <w:rsid w:val="00DC4B4C"/>
    <w:rsid w:val="00DC4E8D"/>
    <w:rsid w:val="00DC54B4"/>
    <w:rsid w:val="00DC5A5E"/>
    <w:rsid w:val="00DC5C23"/>
    <w:rsid w:val="00DC5E79"/>
    <w:rsid w:val="00DC60E1"/>
    <w:rsid w:val="00DC6A94"/>
    <w:rsid w:val="00DC76BA"/>
    <w:rsid w:val="00DD132F"/>
    <w:rsid w:val="00DD1521"/>
    <w:rsid w:val="00DD1C2A"/>
    <w:rsid w:val="00DD1C2F"/>
    <w:rsid w:val="00DD1ED7"/>
    <w:rsid w:val="00DD2221"/>
    <w:rsid w:val="00DD242B"/>
    <w:rsid w:val="00DD278D"/>
    <w:rsid w:val="00DD2C54"/>
    <w:rsid w:val="00DD3430"/>
    <w:rsid w:val="00DD35A0"/>
    <w:rsid w:val="00DD5312"/>
    <w:rsid w:val="00DD6396"/>
    <w:rsid w:val="00DD6C70"/>
    <w:rsid w:val="00DD6E8E"/>
    <w:rsid w:val="00DD70C8"/>
    <w:rsid w:val="00DD7F36"/>
    <w:rsid w:val="00DE0C03"/>
    <w:rsid w:val="00DE21CF"/>
    <w:rsid w:val="00DE273A"/>
    <w:rsid w:val="00DE285A"/>
    <w:rsid w:val="00DE3E7C"/>
    <w:rsid w:val="00DE4664"/>
    <w:rsid w:val="00DE5335"/>
    <w:rsid w:val="00DE562C"/>
    <w:rsid w:val="00DE67B4"/>
    <w:rsid w:val="00DE6DAE"/>
    <w:rsid w:val="00DE7524"/>
    <w:rsid w:val="00DE7BFA"/>
    <w:rsid w:val="00DF02EC"/>
    <w:rsid w:val="00DF098C"/>
    <w:rsid w:val="00DF1249"/>
    <w:rsid w:val="00DF24B9"/>
    <w:rsid w:val="00DF2DA0"/>
    <w:rsid w:val="00DF2EEE"/>
    <w:rsid w:val="00DF32AF"/>
    <w:rsid w:val="00DF3E4D"/>
    <w:rsid w:val="00DF42F3"/>
    <w:rsid w:val="00DF46CF"/>
    <w:rsid w:val="00DF4D70"/>
    <w:rsid w:val="00DF4DBC"/>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5DE"/>
    <w:rsid w:val="00E03941"/>
    <w:rsid w:val="00E046C1"/>
    <w:rsid w:val="00E049FD"/>
    <w:rsid w:val="00E04B41"/>
    <w:rsid w:val="00E0525C"/>
    <w:rsid w:val="00E05375"/>
    <w:rsid w:val="00E054B7"/>
    <w:rsid w:val="00E05A22"/>
    <w:rsid w:val="00E05AC5"/>
    <w:rsid w:val="00E06AF4"/>
    <w:rsid w:val="00E07DFF"/>
    <w:rsid w:val="00E07E45"/>
    <w:rsid w:val="00E10043"/>
    <w:rsid w:val="00E1039A"/>
    <w:rsid w:val="00E119CF"/>
    <w:rsid w:val="00E126D0"/>
    <w:rsid w:val="00E1296E"/>
    <w:rsid w:val="00E12B11"/>
    <w:rsid w:val="00E12C4F"/>
    <w:rsid w:val="00E131BE"/>
    <w:rsid w:val="00E1331F"/>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22"/>
    <w:rsid w:val="00E222AC"/>
    <w:rsid w:val="00E224C9"/>
    <w:rsid w:val="00E2272F"/>
    <w:rsid w:val="00E229F7"/>
    <w:rsid w:val="00E22A2D"/>
    <w:rsid w:val="00E22EE3"/>
    <w:rsid w:val="00E23416"/>
    <w:rsid w:val="00E2391F"/>
    <w:rsid w:val="00E242E6"/>
    <w:rsid w:val="00E24B4A"/>
    <w:rsid w:val="00E24E3D"/>
    <w:rsid w:val="00E24EE2"/>
    <w:rsid w:val="00E250DB"/>
    <w:rsid w:val="00E2596F"/>
    <w:rsid w:val="00E2636F"/>
    <w:rsid w:val="00E263E4"/>
    <w:rsid w:val="00E26A77"/>
    <w:rsid w:val="00E271F0"/>
    <w:rsid w:val="00E30155"/>
    <w:rsid w:val="00E304DE"/>
    <w:rsid w:val="00E3069F"/>
    <w:rsid w:val="00E306A2"/>
    <w:rsid w:val="00E307C5"/>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0288"/>
    <w:rsid w:val="00E40D87"/>
    <w:rsid w:val="00E421CF"/>
    <w:rsid w:val="00E42782"/>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3FAB"/>
    <w:rsid w:val="00E5413F"/>
    <w:rsid w:val="00E541D0"/>
    <w:rsid w:val="00E543CA"/>
    <w:rsid w:val="00E54EC5"/>
    <w:rsid w:val="00E55335"/>
    <w:rsid w:val="00E55D2A"/>
    <w:rsid w:val="00E57FA4"/>
    <w:rsid w:val="00E60ADA"/>
    <w:rsid w:val="00E61C29"/>
    <w:rsid w:val="00E624D8"/>
    <w:rsid w:val="00E62EED"/>
    <w:rsid w:val="00E63DB3"/>
    <w:rsid w:val="00E63F2E"/>
    <w:rsid w:val="00E645DC"/>
    <w:rsid w:val="00E649A5"/>
    <w:rsid w:val="00E6523D"/>
    <w:rsid w:val="00E65967"/>
    <w:rsid w:val="00E65EF0"/>
    <w:rsid w:val="00E668E2"/>
    <w:rsid w:val="00E6767F"/>
    <w:rsid w:val="00E67F22"/>
    <w:rsid w:val="00E7048B"/>
    <w:rsid w:val="00E705E5"/>
    <w:rsid w:val="00E70B0C"/>
    <w:rsid w:val="00E713AC"/>
    <w:rsid w:val="00E71EFF"/>
    <w:rsid w:val="00E72246"/>
    <w:rsid w:val="00E722AC"/>
    <w:rsid w:val="00E723D3"/>
    <w:rsid w:val="00E725B6"/>
    <w:rsid w:val="00E7370D"/>
    <w:rsid w:val="00E73E01"/>
    <w:rsid w:val="00E745BF"/>
    <w:rsid w:val="00E74697"/>
    <w:rsid w:val="00E74F1D"/>
    <w:rsid w:val="00E758C0"/>
    <w:rsid w:val="00E763A8"/>
    <w:rsid w:val="00E765F5"/>
    <w:rsid w:val="00E801FE"/>
    <w:rsid w:val="00E82560"/>
    <w:rsid w:val="00E825E3"/>
    <w:rsid w:val="00E828B0"/>
    <w:rsid w:val="00E82EF4"/>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87DBE"/>
    <w:rsid w:val="00E904A1"/>
    <w:rsid w:val="00E90519"/>
    <w:rsid w:val="00E90FE7"/>
    <w:rsid w:val="00E91551"/>
    <w:rsid w:val="00E91BF2"/>
    <w:rsid w:val="00E91E5F"/>
    <w:rsid w:val="00E92BD8"/>
    <w:rsid w:val="00E92D92"/>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1EE4"/>
    <w:rsid w:val="00EA20F1"/>
    <w:rsid w:val="00EA2730"/>
    <w:rsid w:val="00EA42BA"/>
    <w:rsid w:val="00EA4F96"/>
    <w:rsid w:val="00EA531A"/>
    <w:rsid w:val="00EA54BC"/>
    <w:rsid w:val="00EA589B"/>
    <w:rsid w:val="00EA73FE"/>
    <w:rsid w:val="00EA7499"/>
    <w:rsid w:val="00EA74E3"/>
    <w:rsid w:val="00EA7744"/>
    <w:rsid w:val="00EB178A"/>
    <w:rsid w:val="00EB2435"/>
    <w:rsid w:val="00EB2A33"/>
    <w:rsid w:val="00EB3027"/>
    <w:rsid w:val="00EB306C"/>
    <w:rsid w:val="00EB313A"/>
    <w:rsid w:val="00EB3495"/>
    <w:rsid w:val="00EB534C"/>
    <w:rsid w:val="00EB5E7D"/>
    <w:rsid w:val="00EB688D"/>
    <w:rsid w:val="00EB6BC4"/>
    <w:rsid w:val="00EB7124"/>
    <w:rsid w:val="00EB74DD"/>
    <w:rsid w:val="00EB7E4D"/>
    <w:rsid w:val="00EC0B57"/>
    <w:rsid w:val="00EC12C0"/>
    <w:rsid w:val="00EC142C"/>
    <w:rsid w:val="00EC16D0"/>
    <w:rsid w:val="00EC2404"/>
    <w:rsid w:val="00EC2B11"/>
    <w:rsid w:val="00EC2FEB"/>
    <w:rsid w:val="00EC30C9"/>
    <w:rsid w:val="00EC314F"/>
    <w:rsid w:val="00EC36C9"/>
    <w:rsid w:val="00EC36DD"/>
    <w:rsid w:val="00EC39A2"/>
    <w:rsid w:val="00EC4604"/>
    <w:rsid w:val="00EC4B61"/>
    <w:rsid w:val="00EC555C"/>
    <w:rsid w:val="00EC60C0"/>
    <w:rsid w:val="00EC6337"/>
    <w:rsid w:val="00EC7326"/>
    <w:rsid w:val="00ED0DE8"/>
    <w:rsid w:val="00ED0FAF"/>
    <w:rsid w:val="00ED0FB6"/>
    <w:rsid w:val="00ED16EF"/>
    <w:rsid w:val="00ED19F8"/>
    <w:rsid w:val="00ED1FB7"/>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862"/>
    <w:rsid w:val="00EE2AAB"/>
    <w:rsid w:val="00EE3354"/>
    <w:rsid w:val="00EE3A54"/>
    <w:rsid w:val="00EE459C"/>
    <w:rsid w:val="00EE62B4"/>
    <w:rsid w:val="00EE7024"/>
    <w:rsid w:val="00EF0E50"/>
    <w:rsid w:val="00EF1FE3"/>
    <w:rsid w:val="00EF20FD"/>
    <w:rsid w:val="00EF220D"/>
    <w:rsid w:val="00EF2337"/>
    <w:rsid w:val="00EF2439"/>
    <w:rsid w:val="00EF2A75"/>
    <w:rsid w:val="00EF3A4A"/>
    <w:rsid w:val="00EF3B82"/>
    <w:rsid w:val="00EF3D43"/>
    <w:rsid w:val="00EF3E49"/>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1C49"/>
    <w:rsid w:val="00F12184"/>
    <w:rsid w:val="00F14351"/>
    <w:rsid w:val="00F154C5"/>
    <w:rsid w:val="00F15744"/>
    <w:rsid w:val="00F15A4F"/>
    <w:rsid w:val="00F15DE6"/>
    <w:rsid w:val="00F16565"/>
    <w:rsid w:val="00F165FE"/>
    <w:rsid w:val="00F16BB1"/>
    <w:rsid w:val="00F17689"/>
    <w:rsid w:val="00F17E62"/>
    <w:rsid w:val="00F20046"/>
    <w:rsid w:val="00F206FE"/>
    <w:rsid w:val="00F209E0"/>
    <w:rsid w:val="00F20EE3"/>
    <w:rsid w:val="00F21048"/>
    <w:rsid w:val="00F2112D"/>
    <w:rsid w:val="00F21654"/>
    <w:rsid w:val="00F218EF"/>
    <w:rsid w:val="00F21B93"/>
    <w:rsid w:val="00F21EC3"/>
    <w:rsid w:val="00F22F88"/>
    <w:rsid w:val="00F23178"/>
    <w:rsid w:val="00F2357F"/>
    <w:rsid w:val="00F24A57"/>
    <w:rsid w:val="00F24F4D"/>
    <w:rsid w:val="00F25139"/>
    <w:rsid w:val="00F25166"/>
    <w:rsid w:val="00F2589C"/>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7D4"/>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2C2D"/>
    <w:rsid w:val="00F4355A"/>
    <w:rsid w:val="00F43F18"/>
    <w:rsid w:val="00F4406A"/>
    <w:rsid w:val="00F44100"/>
    <w:rsid w:val="00F44833"/>
    <w:rsid w:val="00F45003"/>
    <w:rsid w:val="00F45692"/>
    <w:rsid w:val="00F45BAE"/>
    <w:rsid w:val="00F46183"/>
    <w:rsid w:val="00F463BD"/>
    <w:rsid w:val="00F46A01"/>
    <w:rsid w:val="00F479EB"/>
    <w:rsid w:val="00F47AFE"/>
    <w:rsid w:val="00F47DF9"/>
    <w:rsid w:val="00F50020"/>
    <w:rsid w:val="00F50849"/>
    <w:rsid w:val="00F50F51"/>
    <w:rsid w:val="00F51318"/>
    <w:rsid w:val="00F51929"/>
    <w:rsid w:val="00F523A6"/>
    <w:rsid w:val="00F52631"/>
    <w:rsid w:val="00F52A4B"/>
    <w:rsid w:val="00F52F4E"/>
    <w:rsid w:val="00F533DB"/>
    <w:rsid w:val="00F5376A"/>
    <w:rsid w:val="00F53E2D"/>
    <w:rsid w:val="00F542D8"/>
    <w:rsid w:val="00F54367"/>
    <w:rsid w:val="00F548C8"/>
    <w:rsid w:val="00F54986"/>
    <w:rsid w:val="00F54DEB"/>
    <w:rsid w:val="00F55A3B"/>
    <w:rsid w:val="00F563B2"/>
    <w:rsid w:val="00F56848"/>
    <w:rsid w:val="00F56FA3"/>
    <w:rsid w:val="00F5765A"/>
    <w:rsid w:val="00F57A26"/>
    <w:rsid w:val="00F57A55"/>
    <w:rsid w:val="00F57C72"/>
    <w:rsid w:val="00F60802"/>
    <w:rsid w:val="00F611F0"/>
    <w:rsid w:val="00F61564"/>
    <w:rsid w:val="00F61614"/>
    <w:rsid w:val="00F6190D"/>
    <w:rsid w:val="00F61D1B"/>
    <w:rsid w:val="00F61FDE"/>
    <w:rsid w:val="00F62BB8"/>
    <w:rsid w:val="00F63DE6"/>
    <w:rsid w:val="00F64966"/>
    <w:rsid w:val="00F65A43"/>
    <w:rsid w:val="00F661A3"/>
    <w:rsid w:val="00F66544"/>
    <w:rsid w:val="00F669E3"/>
    <w:rsid w:val="00F670C3"/>
    <w:rsid w:val="00F67219"/>
    <w:rsid w:val="00F675AE"/>
    <w:rsid w:val="00F70225"/>
    <w:rsid w:val="00F703C3"/>
    <w:rsid w:val="00F703EE"/>
    <w:rsid w:val="00F709F5"/>
    <w:rsid w:val="00F711D2"/>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912"/>
    <w:rsid w:val="00F83C07"/>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382C"/>
    <w:rsid w:val="00F9419F"/>
    <w:rsid w:val="00F94683"/>
    <w:rsid w:val="00F9495D"/>
    <w:rsid w:val="00F94C7E"/>
    <w:rsid w:val="00F95013"/>
    <w:rsid w:val="00F9529E"/>
    <w:rsid w:val="00F95439"/>
    <w:rsid w:val="00F95663"/>
    <w:rsid w:val="00F9597B"/>
    <w:rsid w:val="00F96226"/>
    <w:rsid w:val="00F9632D"/>
    <w:rsid w:val="00F9650D"/>
    <w:rsid w:val="00F967D4"/>
    <w:rsid w:val="00F97645"/>
    <w:rsid w:val="00F976DD"/>
    <w:rsid w:val="00F9794E"/>
    <w:rsid w:val="00F97B15"/>
    <w:rsid w:val="00FA029F"/>
    <w:rsid w:val="00FA0509"/>
    <w:rsid w:val="00FA0E7C"/>
    <w:rsid w:val="00FA1D8F"/>
    <w:rsid w:val="00FA1E61"/>
    <w:rsid w:val="00FA2B5A"/>
    <w:rsid w:val="00FA2FA0"/>
    <w:rsid w:val="00FA35AF"/>
    <w:rsid w:val="00FA53C1"/>
    <w:rsid w:val="00FA5871"/>
    <w:rsid w:val="00FA5C32"/>
    <w:rsid w:val="00FA6225"/>
    <w:rsid w:val="00FA6686"/>
    <w:rsid w:val="00FA6AE1"/>
    <w:rsid w:val="00FA6BCC"/>
    <w:rsid w:val="00FA79A3"/>
    <w:rsid w:val="00FA7AA6"/>
    <w:rsid w:val="00FA7B16"/>
    <w:rsid w:val="00FA7C04"/>
    <w:rsid w:val="00FB035D"/>
    <w:rsid w:val="00FB0443"/>
    <w:rsid w:val="00FB16B3"/>
    <w:rsid w:val="00FB18E8"/>
    <w:rsid w:val="00FB1CBB"/>
    <w:rsid w:val="00FB1F59"/>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2D3C"/>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4FC8"/>
    <w:rsid w:val="00FF51D0"/>
    <w:rsid w:val="00FF52CC"/>
    <w:rsid w:val="00FF5593"/>
    <w:rsid w:val="00FF5929"/>
    <w:rsid w:val="00FF6227"/>
    <w:rsid w:val="00FF62EF"/>
    <w:rsid w:val="00FF68C4"/>
    <w:rsid w:val="00FF6D3E"/>
    <w:rsid w:val="00FF7E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0DC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F62"/>
    <w:pPr>
      <w:spacing w:after="160" w:line="259" w:lineRule="auto"/>
    </w:pPr>
    <w:rPr>
      <w:rFonts w:ascii="Times New Roman" w:eastAsiaTheme="minorHAnsi" w:hAnsi="Times New Roman" w:cstheme="minorBidi"/>
      <w:szCs w:val="22"/>
      <w:lang w:eastAsia="en-US"/>
    </w:rPr>
  </w:style>
  <w:style w:type="paragraph" w:styleId="Heading1">
    <w:name w:val="heading 1"/>
    <w:next w:val="Normal"/>
    <w:qFormat/>
    <w:rsid w:val="005B4282"/>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5B4282"/>
    <w:pPr>
      <w:numPr>
        <w:ilvl w:val="1"/>
      </w:numPr>
      <w:pBdr>
        <w:top w:val="none" w:sz="0" w:space="0" w:color="auto"/>
      </w:pBdr>
      <w:spacing w:before="180"/>
      <w:outlineLvl w:val="1"/>
    </w:pPr>
    <w:rPr>
      <w:sz w:val="32"/>
    </w:rPr>
  </w:style>
  <w:style w:type="paragraph" w:styleId="Heading3">
    <w:name w:val="heading 3"/>
    <w:basedOn w:val="Heading2"/>
    <w:next w:val="Normal"/>
    <w:qFormat/>
    <w:rsid w:val="005B4282"/>
    <w:pPr>
      <w:numPr>
        <w:ilvl w:val="2"/>
      </w:numPr>
      <w:spacing w:before="120"/>
      <w:outlineLvl w:val="2"/>
    </w:pPr>
    <w:rPr>
      <w:sz w:val="28"/>
    </w:rPr>
  </w:style>
  <w:style w:type="paragraph" w:styleId="Heading4">
    <w:name w:val="heading 4"/>
    <w:aliases w:val="h4"/>
    <w:basedOn w:val="Heading3"/>
    <w:next w:val="Normal"/>
    <w:qFormat/>
    <w:rsid w:val="005B4282"/>
    <w:pPr>
      <w:numPr>
        <w:ilvl w:val="3"/>
      </w:numPr>
      <w:outlineLvl w:val="3"/>
    </w:pPr>
    <w:rPr>
      <w:sz w:val="24"/>
    </w:rPr>
  </w:style>
  <w:style w:type="paragraph" w:styleId="Heading5">
    <w:name w:val="heading 5"/>
    <w:basedOn w:val="Heading4"/>
    <w:next w:val="Normal"/>
    <w:qFormat/>
    <w:rsid w:val="005B4282"/>
    <w:pPr>
      <w:numPr>
        <w:ilvl w:val="4"/>
      </w:numPr>
      <w:outlineLvl w:val="4"/>
    </w:pPr>
    <w:rPr>
      <w:sz w:val="22"/>
    </w:rPr>
  </w:style>
  <w:style w:type="paragraph" w:styleId="Heading6">
    <w:name w:val="heading 6"/>
    <w:basedOn w:val="H6"/>
    <w:next w:val="Normal"/>
    <w:qFormat/>
    <w:rsid w:val="005B4282"/>
    <w:pPr>
      <w:numPr>
        <w:ilvl w:val="5"/>
      </w:numPr>
      <w:outlineLvl w:val="5"/>
    </w:pPr>
  </w:style>
  <w:style w:type="paragraph" w:styleId="Heading7">
    <w:name w:val="heading 7"/>
    <w:basedOn w:val="H6"/>
    <w:next w:val="Normal"/>
    <w:qFormat/>
    <w:rsid w:val="005B4282"/>
    <w:pPr>
      <w:numPr>
        <w:ilvl w:val="6"/>
      </w:numPr>
      <w:outlineLvl w:val="6"/>
    </w:pPr>
  </w:style>
  <w:style w:type="paragraph" w:styleId="Heading8">
    <w:name w:val="heading 8"/>
    <w:basedOn w:val="Heading1"/>
    <w:next w:val="Normal"/>
    <w:qFormat/>
    <w:rsid w:val="005B4282"/>
    <w:pPr>
      <w:numPr>
        <w:ilvl w:val="7"/>
      </w:numPr>
      <w:outlineLvl w:val="7"/>
    </w:pPr>
  </w:style>
  <w:style w:type="paragraph" w:styleId="Heading9">
    <w:name w:val="heading 9"/>
    <w:basedOn w:val="Heading8"/>
    <w:next w:val="Normal"/>
    <w:qFormat/>
    <w:rsid w:val="005B4282"/>
    <w:pPr>
      <w:numPr>
        <w:ilvl w:val="8"/>
      </w:numPr>
      <w:outlineLvl w:val="8"/>
    </w:pPr>
  </w:style>
  <w:style w:type="character" w:default="1" w:styleId="DefaultParagraphFont">
    <w:name w:val="Default Paragraph Font"/>
    <w:uiPriority w:val="1"/>
    <w:semiHidden/>
    <w:unhideWhenUsed/>
    <w:rsid w:val="000B4F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4F62"/>
  </w:style>
  <w:style w:type="paragraph" w:styleId="TOC8">
    <w:name w:val="toc 8"/>
    <w:basedOn w:val="TOC1"/>
    <w:semiHidden/>
    <w:rsid w:val="005B4282"/>
    <w:pPr>
      <w:spacing w:before="180"/>
      <w:ind w:left="2693" w:hanging="2693"/>
    </w:pPr>
    <w:rPr>
      <w:b/>
    </w:rPr>
  </w:style>
  <w:style w:type="paragraph" w:styleId="TOC1">
    <w:name w:val="toc 1"/>
    <w:uiPriority w:val="39"/>
    <w:rsid w:val="005B42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5B42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B4282"/>
    <w:pPr>
      <w:ind w:left="1701" w:hanging="1701"/>
    </w:pPr>
  </w:style>
  <w:style w:type="paragraph" w:styleId="TOC4">
    <w:name w:val="toc 4"/>
    <w:basedOn w:val="TOC3"/>
    <w:semiHidden/>
    <w:rsid w:val="005B4282"/>
    <w:pPr>
      <w:ind w:left="1418" w:hanging="1418"/>
    </w:pPr>
  </w:style>
  <w:style w:type="paragraph" w:styleId="TOC3">
    <w:name w:val="toc 3"/>
    <w:basedOn w:val="TOC2"/>
    <w:uiPriority w:val="39"/>
    <w:rsid w:val="005B4282"/>
    <w:pPr>
      <w:ind w:left="1134" w:hanging="1134"/>
    </w:pPr>
  </w:style>
  <w:style w:type="paragraph" w:styleId="TOC2">
    <w:name w:val="toc 2"/>
    <w:basedOn w:val="TOC1"/>
    <w:uiPriority w:val="39"/>
    <w:rsid w:val="005B4282"/>
    <w:pPr>
      <w:keepNext w:val="0"/>
      <w:spacing w:before="0"/>
      <w:ind w:left="851" w:hanging="851"/>
    </w:pPr>
    <w:rPr>
      <w:sz w:val="20"/>
    </w:rPr>
  </w:style>
  <w:style w:type="paragraph" w:styleId="Index2">
    <w:name w:val="index 2"/>
    <w:basedOn w:val="Index1"/>
    <w:semiHidden/>
    <w:rsid w:val="005B4282"/>
    <w:pPr>
      <w:ind w:left="284"/>
    </w:pPr>
  </w:style>
  <w:style w:type="paragraph" w:styleId="Index1">
    <w:name w:val="index 1"/>
    <w:basedOn w:val="Normal"/>
    <w:semiHidden/>
    <w:rsid w:val="005B4282"/>
    <w:pPr>
      <w:keepLines/>
      <w:spacing w:after="0"/>
    </w:pPr>
  </w:style>
  <w:style w:type="paragraph" w:customStyle="1" w:styleId="ZH">
    <w:name w:val="ZH"/>
    <w:rsid w:val="005B42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B4282"/>
    <w:pPr>
      <w:outlineLvl w:val="9"/>
    </w:pPr>
  </w:style>
  <w:style w:type="paragraph" w:styleId="ListNumber2">
    <w:name w:val="List Number 2"/>
    <w:basedOn w:val="ListNumber"/>
    <w:rsid w:val="005B428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B428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B4282"/>
    <w:rPr>
      <w:b/>
      <w:position w:val="6"/>
      <w:sz w:val="16"/>
    </w:rPr>
  </w:style>
  <w:style w:type="paragraph" w:styleId="FootnoteText">
    <w:name w:val="footnote text"/>
    <w:basedOn w:val="Normal"/>
    <w:semiHidden/>
    <w:rsid w:val="005B4282"/>
    <w:pPr>
      <w:keepLines/>
      <w:spacing w:after="0"/>
      <w:ind w:left="454" w:hanging="454"/>
    </w:pPr>
    <w:rPr>
      <w:sz w:val="16"/>
    </w:rPr>
  </w:style>
  <w:style w:type="paragraph" w:customStyle="1" w:styleId="TAH">
    <w:name w:val="TAH"/>
    <w:basedOn w:val="TAC"/>
    <w:link w:val="TAHCar"/>
    <w:rsid w:val="005B4282"/>
    <w:rPr>
      <w:b/>
    </w:rPr>
  </w:style>
  <w:style w:type="paragraph" w:customStyle="1" w:styleId="TAC">
    <w:name w:val="TAC"/>
    <w:basedOn w:val="TAL"/>
    <w:link w:val="TACChar"/>
    <w:rsid w:val="005B4282"/>
    <w:pPr>
      <w:jc w:val="center"/>
    </w:pPr>
  </w:style>
  <w:style w:type="paragraph" w:customStyle="1" w:styleId="TF">
    <w:name w:val="TF"/>
    <w:basedOn w:val="TH"/>
    <w:rsid w:val="005B4282"/>
    <w:pPr>
      <w:keepNext w:val="0"/>
      <w:spacing w:before="0" w:after="240"/>
    </w:pPr>
  </w:style>
  <w:style w:type="paragraph" w:customStyle="1" w:styleId="NO">
    <w:name w:val="NO"/>
    <w:basedOn w:val="Normal"/>
    <w:rsid w:val="005B4282"/>
    <w:pPr>
      <w:keepLines/>
      <w:ind w:left="1135" w:hanging="851"/>
    </w:pPr>
  </w:style>
  <w:style w:type="paragraph" w:styleId="TOC9">
    <w:name w:val="toc 9"/>
    <w:basedOn w:val="TOC8"/>
    <w:semiHidden/>
    <w:rsid w:val="005B4282"/>
    <w:pPr>
      <w:ind w:left="1418" w:hanging="1418"/>
    </w:pPr>
  </w:style>
  <w:style w:type="paragraph" w:customStyle="1" w:styleId="EX">
    <w:name w:val="EX"/>
    <w:basedOn w:val="Normal"/>
    <w:rsid w:val="005B4282"/>
    <w:pPr>
      <w:keepLines/>
      <w:ind w:left="1702" w:hanging="1418"/>
    </w:pPr>
  </w:style>
  <w:style w:type="paragraph" w:customStyle="1" w:styleId="FP">
    <w:name w:val="FP"/>
    <w:basedOn w:val="Normal"/>
    <w:rsid w:val="005B4282"/>
    <w:pPr>
      <w:spacing w:after="0"/>
    </w:pPr>
  </w:style>
  <w:style w:type="paragraph" w:customStyle="1" w:styleId="LD">
    <w:name w:val="LD"/>
    <w:rsid w:val="005B428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B4282"/>
    <w:pPr>
      <w:spacing w:after="0"/>
    </w:pPr>
  </w:style>
  <w:style w:type="paragraph" w:customStyle="1" w:styleId="EW">
    <w:name w:val="EW"/>
    <w:basedOn w:val="EX"/>
    <w:rsid w:val="005B4282"/>
    <w:pPr>
      <w:spacing w:after="0"/>
    </w:pPr>
  </w:style>
  <w:style w:type="paragraph" w:styleId="TOC6">
    <w:name w:val="toc 6"/>
    <w:basedOn w:val="TOC5"/>
    <w:next w:val="Normal"/>
    <w:semiHidden/>
    <w:rsid w:val="005B4282"/>
    <w:pPr>
      <w:ind w:left="1985" w:hanging="1985"/>
    </w:pPr>
  </w:style>
  <w:style w:type="paragraph" w:styleId="TOC7">
    <w:name w:val="toc 7"/>
    <w:basedOn w:val="TOC6"/>
    <w:next w:val="Normal"/>
    <w:semiHidden/>
    <w:rsid w:val="005B4282"/>
    <w:pPr>
      <w:ind w:left="2268" w:hanging="2268"/>
    </w:pPr>
  </w:style>
  <w:style w:type="paragraph" w:styleId="ListBullet2">
    <w:name w:val="List Bullet 2"/>
    <w:basedOn w:val="ListBullet"/>
    <w:rsid w:val="005B4282"/>
    <w:pPr>
      <w:ind w:left="851"/>
    </w:pPr>
  </w:style>
  <w:style w:type="paragraph" w:styleId="ListBullet3">
    <w:name w:val="List Bullet 3"/>
    <w:basedOn w:val="ListBullet2"/>
    <w:rsid w:val="005B4282"/>
    <w:pPr>
      <w:ind w:left="1135"/>
    </w:pPr>
  </w:style>
  <w:style w:type="paragraph" w:styleId="ListNumber">
    <w:name w:val="List Number"/>
    <w:basedOn w:val="List"/>
    <w:rsid w:val="005B4282"/>
  </w:style>
  <w:style w:type="paragraph" w:customStyle="1" w:styleId="EQ">
    <w:name w:val="EQ"/>
    <w:basedOn w:val="Normal"/>
    <w:next w:val="Normal"/>
    <w:rsid w:val="005B4282"/>
    <w:pPr>
      <w:keepLines/>
      <w:tabs>
        <w:tab w:val="center" w:pos="4536"/>
        <w:tab w:val="right" w:pos="9072"/>
      </w:tabs>
    </w:pPr>
    <w:rPr>
      <w:noProof/>
    </w:rPr>
  </w:style>
  <w:style w:type="paragraph" w:customStyle="1" w:styleId="TH">
    <w:name w:val="TH"/>
    <w:basedOn w:val="Normal"/>
    <w:link w:val="THChar"/>
    <w:rsid w:val="005B4282"/>
    <w:pPr>
      <w:keepNext/>
      <w:keepLines/>
      <w:spacing w:before="60"/>
      <w:jc w:val="center"/>
    </w:pPr>
    <w:rPr>
      <w:rFonts w:ascii="Arial" w:hAnsi="Arial"/>
      <w:b/>
    </w:rPr>
  </w:style>
  <w:style w:type="paragraph" w:customStyle="1" w:styleId="NF">
    <w:name w:val="NF"/>
    <w:basedOn w:val="NO"/>
    <w:rsid w:val="005B4282"/>
    <w:pPr>
      <w:keepNext/>
      <w:spacing w:after="0"/>
    </w:pPr>
    <w:rPr>
      <w:rFonts w:ascii="Arial" w:hAnsi="Arial"/>
      <w:sz w:val="18"/>
    </w:rPr>
  </w:style>
  <w:style w:type="paragraph" w:customStyle="1" w:styleId="PL">
    <w:name w:val="PL"/>
    <w:rsid w:val="005B4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B4282"/>
    <w:pPr>
      <w:jc w:val="right"/>
    </w:pPr>
  </w:style>
  <w:style w:type="paragraph" w:customStyle="1" w:styleId="H6">
    <w:name w:val="H6"/>
    <w:basedOn w:val="Heading5"/>
    <w:next w:val="Normal"/>
    <w:rsid w:val="005B4282"/>
    <w:pPr>
      <w:ind w:left="1985" w:hanging="1985"/>
      <w:outlineLvl w:val="9"/>
    </w:pPr>
    <w:rPr>
      <w:sz w:val="20"/>
    </w:rPr>
  </w:style>
  <w:style w:type="paragraph" w:customStyle="1" w:styleId="TAN">
    <w:name w:val="TAN"/>
    <w:basedOn w:val="TAL"/>
    <w:rsid w:val="005B4282"/>
    <w:pPr>
      <w:ind w:left="851" w:hanging="851"/>
    </w:pPr>
  </w:style>
  <w:style w:type="paragraph" w:customStyle="1" w:styleId="TAL">
    <w:name w:val="TAL"/>
    <w:basedOn w:val="Normal"/>
    <w:rsid w:val="005B4282"/>
    <w:pPr>
      <w:keepNext/>
      <w:keepLines/>
      <w:spacing w:after="0"/>
    </w:pPr>
    <w:rPr>
      <w:rFonts w:ascii="Arial" w:hAnsi="Arial"/>
      <w:sz w:val="18"/>
    </w:rPr>
  </w:style>
  <w:style w:type="paragraph" w:customStyle="1" w:styleId="ZA">
    <w:name w:val="ZA"/>
    <w:rsid w:val="005B42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42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B42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B42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B4282"/>
    <w:pPr>
      <w:framePr w:wrap="notBeside" w:y="16161"/>
    </w:pPr>
  </w:style>
  <w:style w:type="character" w:customStyle="1" w:styleId="ZGSM">
    <w:name w:val="ZGSM"/>
    <w:rsid w:val="005B4282"/>
  </w:style>
  <w:style w:type="paragraph" w:styleId="List2">
    <w:name w:val="List 2"/>
    <w:basedOn w:val="List"/>
    <w:rsid w:val="005B4282"/>
    <w:pPr>
      <w:ind w:left="851"/>
    </w:pPr>
  </w:style>
  <w:style w:type="paragraph" w:customStyle="1" w:styleId="ZG">
    <w:name w:val="ZG"/>
    <w:rsid w:val="005B42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B4282"/>
    <w:pPr>
      <w:ind w:left="1135"/>
    </w:pPr>
  </w:style>
  <w:style w:type="paragraph" w:styleId="List4">
    <w:name w:val="List 4"/>
    <w:basedOn w:val="List3"/>
    <w:rsid w:val="005B4282"/>
    <w:pPr>
      <w:ind w:left="1418"/>
    </w:pPr>
  </w:style>
  <w:style w:type="paragraph" w:styleId="List5">
    <w:name w:val="List 5"/>
    <w:basedOn w:val="List4"/>
    <w:rsid w:val="005B4282"/>
    <w:pPr>
      <w:ind w:left="1702"/>
    </w:pPr>
  </w:style>
  <w:style w:type="paragraph" w:customStyle="1" w:styleId="EditorsNote">
    <w:name w:val="Editor's Note"/>
    <w:basedOn w:val="NO"/>
    <w:rsid w:val="005B4282"/>
    <w:rPr>
      <w:color w:val="FF0000"/>
    </w:rPr>
  </w:style>
  <w:style w:type="paragraph" w:styleId="List">
    <w:name w:val="List"/>
    <w:basedOn w:val="Normal"/>
    <w:rsid w:val="005B4282"/>
    <w:pPr>
      <w:ind w:left="568" w:hanging="284"/>
    </w:pPr>
  </w:style>
  <w:style w:type="paragraph" w:styleId="ListBullet">
    <w:name w:val="List Bullet"/>
    <w:basedOn w:val="List"/>
    <w:rsid w:val="005B4282"/>
  </w:style>
  <w:style w:type="paragraph" w:styleId="ListBullet4">
    <w:name w:val="List Bullet 4"/>
    <w:basedOn w:val="ListBullet3"/>
    <w:rsid w:val="005B4282"/>
    <w:pPr>
      <w:ind w:left="1418"/>
    </w:pPr>
  </w:style>
  <w:style w:type="paragraph" w:styleId="ListBullet5">
    <w:name w:val="List Bullet 5"/>
    <w:basedOn w:val="ListBullet4"/>
    <w:rsid w:val="005B4282"/>
    <w:pPr>
      <w:ind w:left="1702"/>
    </w:pPr>
  </w:style>
  <w:style w:type="paragraph" w:customStyle="1" w:styleId="B1">
    <w:name w:val="B1"/>
    <w:basedOn w:val="List"/>
    <w:link w:val="B10"/>
    <w:qFormat/>
    <w:rsid w:val="005B4282"/>
  </w:style>
  <w:style w:type="paragraph" w:customStyle="1" w:styleId="B2">
    <w:name w:val="B2"/>
    <w:basedOn w:val="List2"/>
    <w:rsid w:val="005B4282"/>
  </w:style>
  <w:style w:type="paragraph" w:customStyle="1" w:styleId="B3">
    <w:name w:val="B3"/>
    <w:basedOn w:val="List3"/>
    <w:rsid w:val="005B4282"/>
  </w:style>
  <w:style w:type="paragraph" w:customStyle="1" w:styleId="B4">
    <w:name w:val="B4"/>
    <w:basedOn w:val="List4"/>
    <w:rsid w:val="005B4282"/>
  </w:style>
  <w:style w:type="paragraph" w:customStyle="1" w:styleId="B5">
    <w:name w:val="B5"/>
    <w:basedOn w:val="List5"/>
    <w:rsid w:val="005B4282"/>
  </w:style>
  <w:style w:type="paragraph" w:styleId="Footer">
    <w:name w:val="footer"/>
    <w:basedOn w:val="Header"/>
    <w:rsid w:val="005B4282"/>
    <w:pPr>
      <w:jc w:val="center"/>
    </w:pPr>
    <w:rPr>
      <w:i/>
    </w:rPr>
  </w:style>
  <w:style w:type="paragraph" w:customStyle="1" w:styleId="ZTD">
    <w:name w:val="ZTD"/>
    <w:basedOn w:val="ZB"/>
    <w:rsid w:val="005B428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lang w:eastAsia="zh-CN"/>
    </w:rPr>
  </w:style>
  <w:style w:type="paragraph" w:customStyle="1" w:styleId="00BodyText">
    <w:name w:val="00 BodyText"/>
    <w:basedOn w:val="Normal"/>
    <w:rsid w:val="004E0821"/>
    <w:pPr>
      <w:spacing w:after="220"/>
    </w:pPr>
    <w:rPr>
      <w:rFonts w:ascii="Arial" w:hAnsi="Arial"/>
    </w:rPr>
  </w:style>
  <w:style w:type="paragraph" w:customStyle="1" w:styleId="11BodyText">
    <w:name w:val="11 BodyText"/>
    <w:basedOn w:val="Normal"/>
    <w:rsid w:val="004E0821"/>
    <w:pPr>
      <w:spacing w:after="220"/>
      <w:ind w:left="1298"/>
    </w:pPr>
    <w:rPr>
      <w:rFonts w:ascii="Arial" w:hAnsi="Arial"/>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C60D3B"/>
    <w:pPr>
      <w:numPr>
        <w:numId w:val="17"/>
      </w:numPr>
      <w:spacing w:before="120" w:after="240"/>
      <w:jc w:val="center"/>
    </w:pPr>
    <w:rPr>
      <w:b/>
      <w:bCs/>
      <w:lang w:val="en-GB"/>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spacing w:after="0"/>
    </w:pPr>
    <w:rPr>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spacing w:before="100" w:beforeAutospacing="1" w:after="100" w:afterAutospacing="1"/>
    </w:pPr>
    <w:rPr>
      <w:sz w:val="24"/>
      <w:szCs w:val="24"/>
      <w:lang w:eastAsia="zh-CN"/>
    </w:rPr>
  </w:style>
  <w:style w:type="character" w:customStyle="1" w:styleId="B10">
    <w:name w:val="B1 (文字)"/>
    <w:link w:val="B1"/>
    <w:rsid w:val="00670328"/>
    <w:rPr>
      <w:rFonts w:ascii="Times New Roman" w:eastAsia="Times New Roman" w:hAnsi="Times New Roman"/>
      <w:lang w:val="en-GB"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51173"/>
    <w:pPr>
      <w:spacing w:before="120" w:after="120"/>
      <w:ind w:left="720"/>
      <w:contextualSpacing/>
    </w:pPr>
    <w:rPr>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eastAsia="Times New Roman" w:hAnsi="Arial"/>
      <w:b/>
      <w:lang w:val="en-GB" w:eastAsia="en-US"/>
    </w:rPr>
  </w:style>
  <w:style w:type="character" w:customStyle="1" w:styleId="TACChar">
    <w:name w:val="TAC Char"/>
    <w:link w:val="TAC"/>
    <w:locked/>
    <w:rsid w:val="00404024"/>
    <w:rPr>
      <w:rFonts w:ascii="Arial" w:eastAsia="Times New Roman" w:hAnsi="Arial"/>
      <w:sz w:val="18"/>
      <w:lang w:val="en-GB" w:eastAsia="en-US"/>
    </w:rPr>
  </w:style>
  <w:style w:type="character" w:customStyle="1" w:styleId="TAHCar">
    <w:name w:val="TAH Car"/>
    <w:link w:val="TAH"/>
    <w:rsid w:val="00404024"/>
    <w:rPr>
      <w:rFonts w:ascii="Arial" w:eastAsia="Times New Roman" w:hAnsi="Arial"/>
      <w:b/>
      <w:sz w:val="18"/>
      <w:lang w:val="en-GB"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eastAsia="ja-JP"/>
    </w:rPr>
  </w:style>
  <w:style w:type="character" w:customStyle="1" w:styleId="bulletChar">
    <w:name w:val="bullet Char"/>
    <w:basedOn w:val="B10"/>
    <w:link w:val="bullet"/>
    <w:rsid w:val="00406366"/>
    <w:rPr>
      <w:rFonts w:ascii="Times New Roman" w:eastAsia="Times New Roman" w:hAnsi="Times New Roman"/>
      <w:lang w:val="en-GB"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51173"/>
    <w:rPr>
      <w:rFonts w:asciiTheme="minorHAnsi" w:eastAsiaTheme="minorHAnsi" w:hAnsiTheme="minorHAnsi" w:cstheme="minorBidi"/>
      <w:sz w:val="22"/>
      <w:szCs w:val="24"/>
      <w:lang w:eastAsia="en-US"/>
    </w:rPr>
  </w:style>
  <w:style w:type="paragraph" w:customStyle="1" w:styleId="References">
    <w:name w:val="References"/>
    <w:basedOn w:val="Normal"/>
    <w:rsid w:val="00F9419F"/>
    <w:pPr>
      <w:numPr>
        <w:numId w:val="3"/>
      </w:numPr>
      <w:snapToGrid w:val="0"/>
      <w:spacing w:after="60"/>
      <w:jc w:val="both"/>
    </w:pPr>
    <w:rPr>
      <w:szCs w:val="16"/>
    </w:rPr>
  </w:style>
  <w:style w:type="table" w:customStyle="1" w:styleId="GridTable4-Accent11">
    <w:name w:val="Grid Table 4 - Accent 11"/>
    <w:basedOn w:val="TableNormal"/>
    <w:uiPriority w:val="49"/>
    <w:rsid w:val="002F7D9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gure">
    <w:name w:val="Figure"/>
    <w:basedOn w:val="Normal"/>
    <w:next w:val="Caption"/>
    <w:link w:val="FigureChar"/>
    <w:qFormat/>
    <w:rsid w:val="00DF2EEE"/>
    <w:pPr>
      <w:jc w:val="center"/>
    </w:pPr>
    <w:rPr>
      <w:lang w:val="en-GB"/>
    </w:rPr>
  </w:style>
  <w:style w:type="character" w:styleId="Strong">
    <w:name w:val="Strong"/>
    <w:basedOn w:val="DefaultParagraphFont"/>
    <w:uiPriority w:val="22"/>
    <w:qFormat/>
    <w:rsid w:val="007E43A4"/>
    <w:rPr>
      <w:b/>
      <w:bCs/>
    </w:rPr>
  </w:style>
  <w:style w:type="character" w:customStyle="1" w:styleId="FigureChar">
    <w:name w:val="Figure Char"/>
    <w:basedOn w:val="DefaultParagraphFont"/>
    <w:link w:val="Figure"/>
    <w:rsid w:val="00DF2EEE"/>
    <w:rPr>
      <w:rFonts w:asciiTheme="minorHAnsi" w:eastAsiaTheme="minorHAnsi" w:hAnsiTheme="minorHAnsi" w:cstheme="minorBidi"/>
      <w:sz w:val="22"/>
      <w:szCs w:val="22"/>
      <w:lang w:val="en-GB" w:eastAsia="en-US"/>
    </w:rPr>
  </w:style>
  <w:style w:type="character" w:styleId="Hyperlink">
    <w:name w:val="Hyperlink"/>
    <w:uiPriority w:val="99"/>
    <w:qFormat/>
    <w:rsid w:val="00076C21"/>
    <w:rPr>
      <w:color w:val="0000FF"/>
      <w:u w:val="single"/>
    </w:rPr>
  </w:style>
  <w:style w:type="paragraph" w:customStyle="1" w:styleId="Proposal">
    <w:name w:val="Proposal"/>
    <w:basedOn w:val="Normal"/>
    <w:next w:val="Normal"/>
    <w:link w:val="ProposalChar"/>
    <w:qFormat/>
    <w:rsid w:val="00F42C2D"/>
    <w:pPr>
      <w:numPr>
        <w:numId w:val="28"/>
      </w:numPr>
      <w:ind w:left="0" w:firstLine="0"/>
    </w:pPr>
    <w:rPr>
      <w:b/>
    </w:rPr>
  </w:style>
  <w:style w:type="paragraph" w:styleId="TableofFigures">
    <w:name w:val="table of figures"/>
    <w:basedOn w:val="Normal"/>
    <w:next w:val="Normal"/>
    <w:uiPriority w:val="99"/>
    <w:unhideWhenUsed/>
    <w:rsid w:val="006E4066"/>
    <w:pPr>
      <w:tabs>
        <w:tab w:val="left" w:pos="1080"/>
        <w:tab w:val="left" w:pos="1411"/>
      </w:tabs>
    </w:pPr>
    <w:rPr>
      <w:rFonts w:cs="Times New Roman"/>
      <w:b/>
      <w:bCs/>
      <w:szCs w:val="24"/>
    </w:rPr>
  </w:style>
  <w:style w:type="character" w:customStyle="1" w:styleId="ProposalChar">
    <w:name w:val="Proposal Char"/>
    <w:basedOn w:val="DefaultParagraphFont"/>
    <w:link w:val="Proposal"/>
    <w:rsid w:val="00F42C2D"/>
    <w:rPr>
      <w:rFonts w:asciiTheme="minorHAnsi" w:eastAsiaTheme="minorHAnsi" w:hAnsiTheme="minorHAnsi" w:cstheme="minorBidi"/>
      <w:b/>
      <w:sz w:val="22"/>
      <w:szCs w:val="22"/>
      <w:lang w:eastAsia="en-US"/>
    </w:rPr>
  </w:style>
  <w:style w:type="character" w:customStyle="1" w:styleId="B1Zchn">
    <w:name w:val="B1 Zchn"/>
    <w:qFormat/>
    <w:rsid w:val="005E4972"/>
    <w:rPr>
      <w:lang w:eastAsia="en-US"/>
    </w:rPr>
  </w:style>
  <w:style w:type="paragraph" w:customStyle="1" w:styleId="Observation">
    <w:name w:val="Observation"/>
    <w:basedOn w:val="Proposal"/>
    <w:next w:val="Normal"/>
    <w:link w:val="ObservationChar"/>
    <w:qFormat/>
    <w:rsid w:val="00F42C2D"/>
    <w:pPr>
      <w:numPr>
        <w:numId w:val="45"/>
      </w:numPr>
      <w:ind w:left="0" w:firstLine="0"/>
    </w:pPr>
    <w:rPr>
      <w:lang w:val="en-GB"/>
    </w:rPr>
  </w:style>
  <w:style w:type="paragraph" w:styleId="TOCHeading">
    <w:name w:val="TOC Heading"/>
    <w:basedOn w:val="Heading1"/>
    <w:next w:val="Normal"/>
    <w:uiPriority w:val="39"/>
    <w:unhideWhenUsed/>
    <w:qFormat/>
    <w:rsid w:val="00F42C2D"/>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character" w:customStyle="1" w:styleId="ObservationChar">
    <w:name w:val="Observation Char"/>
    <w:basedOn w:val="ProposalChar"/>
    <w:link w:val="Observation"/>
    <w:rsid w:val="00F42C2D"/>
    <w:rPr>
      <w:rFonts w:asciiTheme="minorHAnsi" w:eastAsiaTheme="minorHAnsi" w:hAnsiTheme="minorHAnsi" w:cstheme="minorBidi"/>
      <w:b/>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5EEC18-C566-423A-8DBC-91EF7792F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3868</Words>
  <Characters>22048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2021-04-07T04:50:00Z</dcterms:created>
  <dcterms:modified xsi:type="dcterms:W3CDTF">2021-04-07T04:54:00Z</dcterms:modified>
</cp:coreProperties>
</file>