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_Hlk46151100"/>
    <w:p w14:paraId="4DAE1E4E" w14:textId="78F8BE39" w:rsidR="00E91F44" w:rsidRPr="00D74B92" w:rsidRDefault="008B2C7D" w:rsidP="00E91F44">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9264" behindDoc="0" locked="1" layoutInCell="1" allowOverlap="1" wp14:anchorId="62A18942" wp14:editId="6A1B98D8">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13081A"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 xml:space="preserve">3GPP TSG RAN WG1 </w:t>
      </w:r>
      <w:r w:rsidR="00E91F44" w:rsidRPr="00D74B92">
        <w:rPr>
          <w:rFonts w:ascii="Arial" w:hAnsi="Arial" w:cs="Arial"/>
          <w:b/>
          <w:kern w:val="2"/>
          <w:lang w:eastAsia="zh-CN"/>
        </w:rPr>
        <w:t>#</w:t>
      </w:r>
      <w:r w:rsidR="00E91F44">
        <w:rPr>
          <w:rFonts w:ascii="Arial" w:hAnsi="Arial" w:cs="Arial"/>
          <w:b/>
          <w:kern w:val="2"/>
          <w:lang w:eastAsia="zh-CN"/>
        </w:rPr>
        <w:t>104bis-e</w:t>
      </w:r>
      <w:r w:rsidR="00E91F44" w:rsidRPr="00D74B92">
        <w:rPr>
          <w:rFonts w:ascii="Arial" w:hAnsi="Arial" w:cs="Arial"/>
          <w:b/>
          <w:kern w:val="2"/>
          <w:lang w:eastAsia="zh-CN"/>
        </w:rPr>
        <w:tab/>
      </w:r>
      <w:r w:rsidR="00565587" w:rsidRPr="00565587">
        <w:rPr>
          <w:rFonts w:ascii="Arial" w:hAnsi="Arial" w:cs="Arial"/>
          <w:b/>
          <w:kern w:val="2"/>
          <w:lang w:eastAsia="zh-CN"/>
        </w:rPr>
        <w:t>R1-2102762</w:t>
      </w:r>
    </w:p>
    <w:p w14:paraId="2BCD7D70" w14:textId="77777777" w:rsidR="00E91F44" w:rsidRPr="007F5EC6" w:rsidRDefault="00E91F44" w:rsidP="00E91F44">
      <w:pPr>
        <w:jc w:val="left"/>
        <w:rPr>
          <w:rFonts w:ascii="Arial" w:hAnsi="Arial" w:cs="Arial"/>
          <w:b/>
          <w:kern w:val="2"/>
          <w:lang w:eastAsia="zh-CN"/>
        </w:rPr>
      </w:pPr>
      <w:r>
        <w:rPr>
          <w:rFonts w:ascii="Arial" w:hAnsi="Arial" w:cs="Arial"/>
          <w:b/>
          <w:kern w:val="2"/>
          <w:lang w:eastAsia="zh-CN"/>
        </w:rPr>
        <w:t>e-Meeting, April 12 – 20, 2021</w:t>
      </w:r>
    </w:p>
    <w:bookmarkEnd w:id="0"/>
    <w:p w14:paraId="7826937B" w14:textId="17FEE00C"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773DB7">
        <w:rPr>
          <w:rFonts w:ascii="Arial" w:hAnsi="Arial" w:cs="Arial"/>
          <w:b/>
          <w:lang w:eastAsia="zh-CN"/>
        </w:rPr>
        <w:t>8.1.2.2</w:t>
      </w:r>
    </w:p>
    <w:p w14:paraId="7AF4C819" w14:textId="0C2AE7F4"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0E1588">
        <w:rPr>
          <w:rFonts w:ascii="Arial" w:hAnsi="Arial" w:cs="Arial"/>
          <w:b/>
          <w:bCs/>
          <w:caps/>
          <w:szCs w:val="24"/>
          <w:shd w:val="clear" w:color="auto" w:fill="FFFFFF"/>
        </w:rPr>
        <w:t>Futurewei</w:t>
      </w:r>
    </w:p>
    <w:p w14:paraId="592199C5" w14:textId="45CCCA57"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4F016D" w:rsidRPr="004F016D">
        <w:rPr>
          <w:rFonts w:ascii="Arial" w:hAnsi="Arial" w:cs="Arial"/>
          <w:b/>
          <w:lang w:eastAsia="zh-CN"/>
        </w:rPr>
        <w:t>Inter-cell multi-TRP operation</w:t>
      </w:r>
    </w:p>
    <w:p w14:paraId="62BCD72B" w14:textId="6F1E521B"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50643ACB" w14:textId="240E3242" w:rsidR="00727FE0" w:rsidRDefault="00727FE0" w:rsidP="00727FE0">
      <w:pPr>
        <w:spacing w:beforeLines="50" w:before="120"/>
        <w:rPr>
          <w:lang w:val="en-GB"/>
        </w:rPr>
      </w:pPr>
      <w:r>
        <w:rPr>
          <w:lang w:val="en-GB"/>
        </w:rPr>
        <w:t xml:space="preserve">In 3GPP RAN Meeting #86, a new work item (WI) on Further enhancements on MIMO for NR (NR_FeMIMO, see </w:t>
      </w:r>
      <w:r w:rsidRPr="00747A26">
        <w:rPr>
          <w:lang w:val="en-GB"/>
        </w:rPr>
        <w:t>RP-193133</w:t>
      </w:r>
      <w:r>
        <w:rPr>
          <w:lang w:val="en-GB"/>
        </w:rPr>
        <w:t xml:space="preserve">) was approved. Among the multiple objectives in the WI, the following is concerned with </w:t>
      </w:r>
      <w:r w:rsidR="00492DE4">
        <w:rPr>
          <w:lang w:val="en-GB"/>
        </w:rPr>
        <w:t xml:space="preserve">inter-cell </w:t>
      </w:r>
      <w:r>
        <w:rPr>
          <w:lang w:val="en-GB"/>
        </w:rPr>
        <w:t>multi-TRP enhancements:</w:t>
      </w:r>
    </w:p>
    <w:p w14:paraId="30306D64" w14:textId="77777777" w:rsidR="00727FE0" w:rsidRPr="008413E4" w:rsidRDefault="00727FE0" w:rsidP="00727FE0">
      <w:pPr>
        <w:pStyle w:val="ListParagraph"/>
        <w:numPr>
          <w:ilvl w:val="0"/>
          <w:numId w:val="9"/>
        </w:numPr>
        <w:spacing w:after="0" w:line="240" w:lineRule="auto"/>
        <w:contextualSpacing w:val="0"/>
        <w:jc w:val="both"/>
        <w:rPr>
          <w:rFonts w:ascii="Times New Roman" w:hAnsi="Times New Roman"/>
          <w:i/>
        </w:rPr>
      </w:pPr>
      <w:r w:rsidRPr="008413E4">
        <w:rPr>
          <w:rFonts w:ascii="Times New Roman" w:hAnsi="Times New Roman"/>
          <w:i/>
        </w:rPr>
        <w:t>Enhancement on the support for multi-TRP deployment, targeting both FR1 and FR2:</w:t>
      </w:r>
    </w:p>
    <w:p w14:paraId="7D676DD4" w14:textId="77777777" w:rsidR="00727FE0" w:rsidRPr="008413E4" w:rsidRDefault="00727FE0" w:rsidP="00492DE4">
      <w:pPr>
        <w:pStyle w:val="ListParagraph"/>
        <w:numPr>
          <w:ilvl w:val="1"/>
          <w:numId w:val="9"/>
        </w:numPr>
        <w:spacing w:after="0" w:line="240" w:lineRule="auto"/>
        <w:contextualSpacing w:val="0"/>
        <w:jc w:val="both"/>
        <w:rPr>
          <w:rFonts w:ascii="Times New Roman" w:hAnsi="Times New Roman"/>
          <w:i/>
        </w:rPr>
      </w:pPr>
      <w:r w:rsidRPr="008413E4">
        <w:rPr>
          <w:rFonts w:ascii="Times New Roman" w:hAnsi="Times New Roman"/>
          <w:i/>
        </w:rPr>
        <w:t>Identify and specify QCL/TCI-related enhancements to enable inter-cell multi-TRP operations, assuming multi-DCI based multi-PDSCH reception</w:t>
      </w:r>
    </w:p>
    <w:p w14:paraId="6BD94375" w14:textId="77777777" w:rsidR="004969E5" w:rsidRDefault="00E91F44" w:rsidP="00492DE4">
      <w:pPr>
        <w:spacing w:beforeLines="50" w:before="120"/>
        <w:rPr>
          <w:lang w:val="en-GB"/>
        </w:rPr>
      </w:pPr>
      <w:r>
        <w:rPr>
          <w:lang w:val="en-GB"/>
        </w:rPr>
        <w:t>In 3GPP RAN1 Meeting #104-e, a new set of agreements were achieved.</w:t>
      </w:r>
      <w:r>
        <w:rPr>
          <w:rFonts w:hint="eastAsia"/>
          <w:lang w:val="en-GB"/>
        </w:rPr>
        <w:t xml:space="preserve"> </w:t>
      </w:r>
    </w:p>
    <w:p w14:paraId="2739E47F" w14:textId="77777777" w:rsidR="004969E5" w:rsidRPr="004969E5" w:rsidRDefault="004969E5" w:rsidP="004969E5">
      <w:pPr>
        <w:rPr>
          <w:b/>
          <w:bCs/>
          <w:i/>
          <w:iCs/>
          <w:lang w:eastAsia="x-none"/>
        </w:rPr>
      </w:pPr>
      <w:r w:rsidRPr="004969E5">
        <w:rPr>
          <w:b/>
          <w:bCs/>
          <w:i/>
          <w:iCs/>
          <w:highlight w:val="green"/>
          <w:lang w:eastAsia="x-none"/>
        </w:rPr>
        <w:t>Agreement</w:t>
      </w:r>
    </w:p>
    <w:p w14:paraId="72FFA68A" w14:textId="77777777" w:rsidR="004969E5" w:rsidRPr="004969E5" w:rsidRDefault="004969E5" w:rsidP="004969E5">
      <w:pPr>
        <w:rPr>
          <w:i/>
          <w:iCs/>
          <w:lang w:eastAsia="x-none"/>
        </w:rPr>
      </w:pPr>
      <w:r w:rsidRPr="004969E5">
        <w:rPr>
          <w:i/>
          <w:iCs/>
          <w:lang w:eastAsia="x-none"/>
        </w:rPr>
        <w:t>Non-serving cell information at least includes non-serving cell PCI to support inter-cell multi-DCI multi-TRP operation</w:t>
      </w:r>
    </w:p>
    <w:p w14:paraId="54A4E422" w14:textId="77777777" w:rsidR="004969E5" w:rsidRPr="004969E5" w:rsidRDefault="004969E5" w:rsidP="004969E5">
      <w:pPr>
        <w:pStyle w:val="ListParagraph"/>
        <w:numPr>
          <w:ilvl w:val="0"/>
          <w:numId w:val="23"/>
        </w:numPr>
        <w:shd w:val="clear" w:color="auto" w:fill="FFFFFF"/>
        <w:spacing w:after="0"/>
        <w:rPr>
          <w:rFonts w:ascii="Times New Roman" w:hAnsi="Times New Roman"/>
          <w:i/>
          <w:iCs/>
        </w:rPr>
      </w:pPr>
      <w:r w:rsidRPr="004969E5">
        <w:rPr>
          <w:rFonts w:ascii="Times New Roman" w:hAnsi="Times New Roman"/>
          <w:i/>
          <w:iCs/>
        </w:rPr>
        <w:t>FFS: Whether the indication of PCI is implicit or explicit</w:t>
      </w:r>
    </w:p>
    <w:p w14:paraId="68FC8FB6" w14:textId="77777777" w:rsidR="004969E5" w:rsidRPr="004969E5" w:rsidRDefault="004969E5" w:rsidP="004969E5">
      <w:pPr>
        <w:rPr>
          <w:b/>
          <w:bCs/>
          <w:i/>
          <w:iCs/>
          <w:lang w:eastAsia="zh-CN"/>
        </w:rPr>
      </w:pPr>
      <w:r w:rsidRPr="004969E5">
        <w:rPr>
          <w:b/>
          <w:bCs/>
          <w:i/>
          <w:iCs/>
          <w:lang w:eastAsia="zh-CN"/>
        </w:rPr>
        <w:t>Conclusion</w:t>
      </w:r>
    </w:p>
    <w:p w14:paraId="3C2227C9" w14:textId="77777777" w:rsidR="004969E5" w:rsidRPr="004969E5" w:rsidRDefault="004969E5" w:rsidP="004969E5">
      <w:pPr>
        <w:rPr>
          <w:bCs/>
          <w:i/>
          <w:iCs/>
          <w:lang w:eastAsia="zh-CN"/>
        </w:rPr>
      </w:pPr>
      <w:r w:rsidRPr="004969E5">
        <w:rPr>
          <w:bCs/>
          <w:i/>
          <w:iCs/>
          <w:lang w:eastAsia="zh-CN"/>
        </w:rPr>
        <w:t>Reuse Rel-15/16 QCL rule between the source and target RS/channel for non-serving cell RS/channel.</w:t>
      </w:r>
    </w:p>
    <w:p w14:paraId="71903C4C" w14:textId="77777777" w:rsidR="004969E5" w:rsidRPr="004969E5" w:rsidRDefault="004969E5" w:rsidP="004969E5">
      <w:pPr>
        <w:rPr>
          <w:b/>
          <w:bCs/>
          <w:i/>
          <w:iCs/>
          <w:highlight w:val="green"/>
          <w:lang w:eastAsia="zh-CN"/>
        </w:rPr>
      </w:pPr>
      <w:r w:rsidRPr="004969E5">
        <w:rPr>
          <w:b/>
          <w:bCs/>
          <w:i/>
          <w:iCs/>
          <w:highlight w:val="green"/>
          <w:lang w:eastAsia="zh-CN"/>
        </w:rPr>
        <w:t>Agreement</w:t>
      </w:r>
    </w:p>
    <w:p w14:paraId="456615D0" w14:textId="77777777" w:rsidR="004969E5" w:rsidRPr="004969E5" w:rsidRDefault="004969E5" w:rsidP="004969E5">
      <w:pPr>
        <w:rPr>
          <w:b/>
          <w:bCs/>
          <w:i/>
          <w:iCs/>
        </w:rPr>
      </w:pPr>
      <w:r w:rsidRPr="004969E5">
        <w:rPr>
          <w:i/>
          <w:iCs/>
        </w:rPr>
        <w:t xml:space="preserve">At least following non-serving cell SSB information are needed in inter-cell MTRP operation </w:t>
      </w:r>
    </w:p>
    <w:p w14:paraId="785F9D1B" w14:textId="77777777" w:rsidR="004969E5" w:rsidRPr="004969E5" w:rsidRDefault="004969E5" w:rsidP="004969E5">
      <w:pPr>
        <w:pStyle w:val="ListParagraph"/>
        <w:numPr>
          <w:ilvl w:val="0"/>
          <w:numId w:val="23"/>
        </w:numPr>
        <w:shd w:val="clear" w:color="auto" w:fill="FFFFFF"/>
        <w:spacing w:after="0"/>
        <w:rPr>
          <w:rFonts w:ascii="Times New Roman" w:hAnsi="Times New Roman"/>
          <w:i/>
          <w:iCs/>
        </w:rPr>
      </w:pPr>
      <w:r w:rsidRPr="004969E5">
        <w:rPr>
          <w:rFonts w:ascii="Times New Roman" w:hAnsi="Times New Roman"/>
          <w:i/>
          <w:iCs/>
        </w:rPr>
        <w:t>SSB time domain position</w:t>
      </w:r>
    </w:p>
    <w:p w14:paraId="071B1F21" w14:textId="77777777" w:rsidR="004969E5" w:rsidRPr="004969E5" w:rsidRDefault="004969E5" w:rsidP="004969E5">
      <w:pPr>
        <w:pStyle w:val="ListParagraph"/>
        <w:numPr>
          <w:ilvl w:val="0"/>
          <w:numId w:val="23"/>
        </w:numPr>
        <w:shd w:val="clear" w:color="auto" w:fill="FFFFFF"/>
        <w:spacing w:after="0"/>
        <w:rPr>
          <w:rFonts w:ascii="Times New Roman" w:hAnsi="Times New Roman"/>
          <w:i/>
          <w:iCs/>
        </w:rPr>
      </w:pPr>
      <w:r w:rsidRPr="004969E5">
        <w:rPr>
          <w:rFonts w:ascii="Times New Roman" w:hAnsi="Times New Roman"/>
          <w:i/>
          <w:iCs/>
        </w:rPr>
        <w:t>SSB transmission periodicity</w:t>
      </w:r>
    </w:p>
    <w:p w14:paraId="3685F474" w14:textId="77777777" w:rsidR="004969E5" w:rsidRPr="004969E5" w:rsidRDefault="004969E5" w:rsidP="004969E5">
      <w:pPr>
        <w:pStyle w:val="ListParagraph"/>
        <w:numPr>
          <w:ilvl w:val="0"/>
          <w:numId w:val="23"/>
        </w:numPr>
        <w:shd w:val="clear" w:color="auto" w:fill="FFFFFF"/>
        <w:spacing w:after="0"/>
        <w:rPr>
          <w:rFonts w:ascii="Times New Roman" w:hAnsi="Times New Roman"/>
          <w:i/>
          <w:iCs/>
        </w:rPr>
      </w:pPr>
      <w:r w:rsidRPr="004969E5">
        <w:rPr>
          <w:rFonts w:ascii="Times New Roman" w:hAnsi="Times New Roman"/>
          <w:i/>
          <w:iCs/>
        </w:rPr>
        <w:t>SSB transmission power</w:t>
      </w:r>
    </w:p>
    <w:p w14:paraId="4BFFDA36" w14:textId="77777777" w:rsidR="004969E5" w:rsidRPr="004969E5" w:rsidRDefault="004969E5" w:rsidP="004969E5">
      <w:pPr>
        <w:pStyle w:val="paragraph"/>
        <w:spacing w:before="0" w:beforeAutospacing="0" w:after="0" w:afterAutospacing="0"/>
        <w:jc w:val="both"/>
        <w:textAlignment w:val="baseline"/>
        <w:rPr>
          <w:i/>
          <w:iCs/>
          <w:sz w:val="22"/>
          <w:szCs w:val="22"/>
        </w:rPr>
      </w:pPr>
      <w:r w:rsidRPr="004969E5">
        <w:rPr>
          <w:i/>
          <w:iCs/>
          <w:sz w:val="22"/>
          <w:szCs w:val="22"/>
        </w:rPr>
        <w:t>FFS: Other non-serving cell information</w:t>
      </w:r>
    </w:p>
    <w:p w14:paraId="31631BD1" w14:textId="77777777" w:rsidR="004969E5" w:rsidRPr="004969E5" w:rsidRDefault="004969E5" w:rsidP="004969E5">
      <w:pPr>
        <w:pStyle w:val="paragraph"/>
        <w:spacing w:before="0" w:beforeAutospacing="0" w:after="0" w:afterAutospacing="0"/>
        <w:jc w:val="both"/>
        <w:textAlignment w:val="baseline"/>
        <w:rPr>
          <w:i/>
          <w:iCs/>
          <w:sz w:val="22"/>
          <w:szCs w:val="22"/>
        </w:rPr>
      </w:pPr>
      <w:r w:rsidRPr="004969E5">
        <w:rPr>
          <w:i/>
          <w:iCs/>
          <w:sz w:val="22"/>
          <w:szCs w:val="22"/>
        </w:rPr>
        <w:t>FFS: Whether indication of these information is implicit or explicit</w:t>
      </w:r>
    </w:p>
    <w:p w14:paraId="52928494" w14:textId="77777777" w:rsidR="004969E5" w:rsidRPr="004969E5" w:rsidRDefault="004969E5" w:rsidP="004969E5">
      <w:pPr>
        <w:rPr>
          <w:i/>
          <w:iCs/>
          <w:lang w:eastAsia="zh-CN"/>
        </w:rPr>
      </w:pPr>
      <w:r w:rsidRPr="004969E5">
        <w:rPr>
          <w:rStyle w:val="Strong"/>
          <w:i/>
          <w:iCs/>
          <w:highlight w:val="green"/>
          <w:lang w:eastAsia="zh-CN"/>
        </w:rPr>
        <w:t>Agreement</w:t>
      </w:r>
    </w:p>
    <w:p w14:paraId="59F50BDD" w14:textId="77777777" w:rsidR="004969E5" w:rsidRPr="004969E5" w:rsidRDefault="004969E5" w:rsidP="004969E5">
      <w:pPr>
        <w:rPr>
          <w:i/>
          <w:iCs/>
          <w:lang w:eastAsia="zh-CN"/>
        </w:rPr>
      </w:pPr>
      <w:r w:rsidRPr="004969E5">
        <w:rPr>
          <w:i/>
          <w:iCs/>
          <w:lang w:eastAsia="zh-CN"/>
        </w:rPr>
        <w:t>For inter-cell MTRP operation, further discuss following options and down select in RAN1#104bis-e</w:t>
      </w:r>
    </w:p>
    <w:p w14:paraId="28D4FEEB" w14:textId="77777777" w:rsidR="004969E5" w:rsidRPr="004969E5" w:rsidRDefault="004969E5" w:rsidP="004969E5">
      <w:pPr>
        <w:pStyle w:val="ListParagraph"/>
        <w:numPr>
          <w:ilvl w:val="0"/>
          <w:numId w:val="23"/>
        </w:numPr>
        <w:shd w:val="clear" w:color="auto" w:fill="FFFFFF"/>
        <w:spacing w:after="0"/>
        <w:rPr>
          <w:rFonts w:ascii="Times New Roman" w:hAnsi="Times New Roman"/>
          <w:i/>
          <w:iCs/>
        </w:rPr>
      </w:pPr>
      <w:r w:rsidRPr="004969E5">
        <w:rPr>
          <w:rFonts w:ascii="Times New Roman" w:hAnsi="Times New Roman"/>
          <w:i/>
          <w:iCs/>
        </w:rPr>
        <w:t>Option1: Indicate/associate non-serving cell PCI in the TCI state</w:t>
      </w:r>
    </w:p>
    <w:p w14:paraId="0E444ADA" w14:textId="77777777" w:rsidR="004969E5" w:rsidRPr="004969E5" w:rsidRDefault="004969E5" w:rsidP="004969E5">
      <w:pPr>
        <w:pStyle w:val="ListParagraph"/>
        <w:numPr>
          <w:ilvl w:val="1"/>
          <w:numId w:val="23"/>
        </w:numPr>
        <w:shd w:val="clear" w:color="auto" w:fill="FFFFFF"/>
        <w:spacing w:after="0"/>
        <w:rPr>
          <w:rFonts w:ascii="Times New Roman" w:hAnsi="Times New Roman"/>
          <w:i/>
          <w:iCs/>
        </w:rPr>
      </w:pPr>
      <w:r w:rsidRPr="004969E5">
        <w:rPr>
          <w:rFonts w:ascii="Times New Roman" w:hAnsi="Times New Roman"/>
          <w:i/>
          <w:iCs/>
        </w:rPr>
        <w:t>FFS other non-serving cell information</w:t>
      </w:r>
    </w:p>
    <w:p w14:paraId="6CF839A0" w14:textId="77777777" w:rsidR="004969E5" w:rsidRPr="004969E5" w:rsidRDefault="004969E5" w:rsidP="004969E5">
      <w:pPr>
        <w:pStyle w:val="ListParagraph"/>
        <w:numPr>
          <w:ilvl w:val="0"/>
          <w:numId w:val="23"/>
        </w:numPr>
        <w:shd w:val="clear" w:color="auto" w:fill="FFFFFF"/>
        <w:spacing w:after="0"/>
        <w:rPr>
          <w:rFonts w:ascii="Times New Roman" w:hAnsi="Times New Roman"/>
          <w:i/>
          <w:iCs/>
        </w:rPr>
      </w:pPr>
      <w:r w:rsidRPr="004969E5">
        <w:rPr>
          <w:rFonts w:ascii="Times New Roman" w:hAnsi="Times New Roman"/>
          <w:i/>
          <w:iCs/>
        </w:rPr>
        <w:t>Option2: Introduce a flag to indicate whether a TCI state/QCL information is associated with non-serving cell information or serving cell</w:t>
      </w:r>
    </w:p>
    <w:p w14:paraId="09C7A451" w14:textId="77777777" w:rsidR="004969E5" w:rsidRPr="004969E5" w:rsidRDefault="004969E5" w:rsidP="004969E5">
      <w:pPr>
        <w:pStyle w:val="ListParagraph"/>
        <w:numPr>
          <w:ilvl w:val="1"/>
          <w:numId w:val="23"/>
        </w:numPr>
        <w:shd w:val="clear" w:color="auto" w:fill="FFFFFF"/>
        <w:spacing w:after="0"/>
        <w:rPr>
          <w:rFonts w:ascii="Times New Roman" w:hAnsi="Times New Roman"/>
          <w:i/>
          <w:iCs/>
        </w:rPr>
      </w:pPr>
      <w:r w:rsidRPr="004969E5">
        <w:rPr>
          <w:rFonts w:ascii="Times New Roman" w:hAnsi="Times New Roman"/>
          <w:i/>
          <w:iCs/>
        </w:rPr>
        <w:t>FFS: how the flag is linked to non-serving cell</w:t>
      </w:r>
    </w:p>
    <w:p w14:paraId="4AF76E33" w14:textId="77777777" w:rsidR="004969E5" w:rsidRPr="004969E5" w:rsidRDefault="004969E5" w:rsidP="004969E5">
      <w:pPr>
        <w:pStyle w:val="ListParagraph"/>
        <w:numPr>
          <w:ilvl w:val="0"/>
          <w:numId w:val="23"/>
        </w:numPr>
        <w:shd w:val="clear" w:color="auto" w:fill="FFFFFF"/>
        <w:spacing w:after="0"/>
        <w:rPr>
          <w:rFonts w:ascii="Times New Roman" w:hAnsi="Times New Roman"/>
          <w:i/>
          <w:iCs/>
        </w:rPr>
      </w:pPr>
      <w:r w:rsidRPr="004969E5">
        <w:rPr>
          <w:rFonts w:ascii="Times New Roman" w:hAnsi="Times New Roman"/>
          <w:i/>
          <w:iCs/>
        </w:rPr>
        <w:t>Option3: Explicit or implicit grouping of TCI states associated with non-serving cell information corresponding to the serving cell and the non-serving cell respectively.</w:t>
      </w:r>
    </w:p>
    <w:p w14:paraId="114B6BE7" w14:textId="77777777" w:rsidR="004969E5" w:rsidRPr="004969E5" w:rsidRDefault="004969E5" w:rsidP="004969E5">
      <w:pPr>
        <w:pStyle w:val="ListParagraph"/>
        <w:numPr>
          <w:ilvl w:val="1"/>
          <w:numId w:val="23"/>
        </w:numPr>
        <w:shd w:val="clear" w:color="auto" w:fill="FFFFFF"/>
        <w:spacing w:after="0"/>
        <w:rPr>
          <w:rFonts w:ascii="Times New Roman" w:hAnsi="Times New Roman"/>
          <w:i/>
          <w:iCs/>
        </w:rPr>
      </w:pPr>
      <w:r w:rsidRPr="004969E5">
        <w:rPr>
          <w:rFonts w:ascii="Times New Roman" w:hAnsi="Times New Roman"/>
          <w:i/>
          <w:iCs/>
        </w:rPr>
        <w:t>FFS: Each group is associated with a CORESETPoolIndex value.</w:t>
      </w:r>
    </w:p>
    <w:p w14:paraId="15773A70" w14:textId="77777777" w:rsidR="004969E5" w:rsidRPr="004969E5" w:rsidRDefault="004969E5" w:rsidP="004969E5">
      <w:pPr>
        <w:pStyle w:val="ListParagraph"/>
        <w:numPr>
          <w:ilvl w:val="1"/>
          <w:numId w:val="23"/>
        </w:numPr>
        <w:shd w:val="clear" w:color="auto" w:fill="FFFFFF"/>
        <w:spacing w:after="0"/>
        <w:rPr>
          <w:rFonts w:ascii="Times New Roman" w:hAnsi="Times New Roman"/>
          <w:i/>
          <w:iCs/>
        </w:rPr>
      </w:pPr>
      <w:r w:rsidRPr="004969E5">
        <w:rPr>
          <w:rFonts w:ascii="Times New Roman" w:hAnsi="Times New Roman"/>
          <w:i/>
          <w:iCs/>
        </w:rPr>
        <w:t>FFS: how to link the group of TCI states to non-serving cell.</w:t>
      </w:r>
    </w:p>
    <w:p w14:paraId="1A099309" w14:textId="77777777" w:rsidR="004969E5" w:rsidRPr="004969E5" w:rsidRDefault="004969E5" w:rsidP="004969E5">
      <w:pPr>
        <w:pStyle w:val="ListParagraph"/>
        <w:numPr>
          <w:ilvl w:val="0"/>
          <w:numId w:val="23"/>
        </w:numPr>
        <w:shd w:val="clear" w:color="auto" w:fill="FFFFFF"/>
        <w:spacing w:after="0"/>
        <w:rPr>
          <w:rFonts w:ascii="Times New Roman" w:hAnsi="Times New Roman"/>
          <w:i/>
          <w:iCs/>
        </w:rPr>
      </w:pPr>
      <w:r w:rsidRPr="004969E5">
        <w:rPr>
          <w:rFonts w:ascii="Times New Roman" w:hAnsi="Times New Roman"/>
          <w:i/>
          <w:iCs/>
        </w:rPr>
        <w:t>Option4: Re-index the non-serving cell RS, e.g., in the TCI state/QCL-Info, so that the UE can differentiate between a serving cell RS and a non-serving cell RS</w:t>
      </w:r>
    </w:p>
    <w:p w14:paraId="7C5A8A85" w14:textId="77777777" w:rsidR="004969E5" w:rsidRPr="004969E5" w:rsidRDefault="004969E5" w:rsidP="004969E5">
      <w:pPr>
        <w:pStyle w:val="ListParagraph"/>
        <w:numPr>
          <w:ilvl w:val="1"/>
          <w:numId w:val="23"/>
        </w:numPr>
        <w:shd w:val="clear" w:color="auto" w:fill="FFFFFF"/>
        <w:spacing w:after="0"/>
        <w:rPr>
          <w:rFonts w:ascii="Times New Roman" w:hAnsi="Times New Roman"/>
          <w:i/>
          <w:iCs/>
        </w:rPr>
      </w:pPr>
      <w:r w:rsidRPr="004969E5">
        <w:rPr>
          <w:rFonts w:ascii="Times New Roman" w:hAnsi="Times New Roman"/>
          <w:i/>
          <w:iCs/>
        </w:rPr>
        <w:t>Example: serving cell RSs are indexed from #0, #1, …, #N-1, while non-serving cell RSs are re-indexed from #N, #N+1, …</w:t>
      </w:r>
    </w:p>
    <w:p w14:paraId="388110BF" w14:textId="77777777" w:rsidR="004969E5" w:rsidRPr="004969E5" w:rsidRDefault="004969E5" w:rsidP="004969E5">
      <w:pPr>
        <w:pStyle w:val="ListParagraph"/>
        <w:numPr>
          <w:ilvl w:val="1"/>
          <w:numId w:val="23"/>
        </w:numPr>
        <w:shd w:val="clear" w:color="auto" w:fill="FFFFFF"/>
        <w:spacing w:after="0"/>
        <w:rPr>
          <w:rFonts w:ascii="Times New Roman" w:hAnsi="Times New Roman"/>
          <w:i/>
          <w:iCs/>
        </w:rPr>
      </w:pPr>
      <w:r w:rsidRPr="004969E5">
        <w:rPr>
          <w:rFonts w:ascii="Times New Roman" w:hAnsi="Times New Roman"/>
          <w:i/>
          <w:iCs/>
        </w:rPr>
        <w:t xml:space="preserve">FFS: detailed re-indexing rule(s) of non-serving cell RSs </w:t>
      </w:r>
    </w:p>
    <w:p w14:paraId="4A6C2FC0" w14:textId="77777777" w:rsidR="004969E5" w:rsidRPr="004969E5" w:rsidRDefault="004969E5" w:rsidP="004969E5">
      <w:pPr>
        <w:pStyle w:val="ListParagraph"/>
        <w:numPr>
          <w:ilvl w:val="0"/>
          <w:numId w:val="23"/>
        </w:numPr>
        <w:shd w:val="clear" w:color="auto" w:fill="FFFFFF"/>
        <w:spacing w:after="0"/>
        <w:rPr>
          <w:rFonts w:ascii="Times New Roman" w:hAnsi="Times New Roman"/>
          <w:i/>
          <w:iCs/>
        </w:rPr>
      </w:pPr>
      <w:r w:rsidRPr="004969E5">
        <w:rPr>
          <w:rFonts w:ascii="Times New Roman" w:hAnsi="Times New Roman"/>
          <w:i/>
          <w:iCs/>
        </w:rPr>
        <w:lastRenderedPageBreak/>
        <w:t xml:space="preserve">Option5: Introduce a new indicator (e.g., re-index the non-serving cell) to indicate the non-serving cell information that a TCI state/QCL information is associated with </w:t>
      </w:r>
    </w:p>
    <w:p w14:paraId="3370B3B7" w14:textId="77777777" w:rsidR="004969E5" w:rsidRPr="004969E5" w:rsidRDefault="004969E5" w:rsidP="004969E5">
      <w:pPr>
        <w:pStyle w:val="ListParagraph"/>
        <w:numPr>
          <w:ilvl w:val="1"/>
          <w:numId w:val="23"/>
        </w:numPr>
        <w:shd w:val="clear" w:color="auto" w:fill="FFFFFF"/>
        <w:spacing w:after="0"/>
        <w:rPr>
          <w:rFonts w:ascii="Times New Roman" w:hAnsi="Times New Roman"/>
          <w:i/>
          <w:iCs/>
        </w:rPr>
      </w:pPr>
      <w:r w:rsidRPr="004969E5">
        <w:rPr>
          <w:rFonts w:ascii="Times New Roman" w:hAnsi="Times New Roman"/>
          <w:i/>
          <w:iCs/>
        </w:rPr>
        <w:t>FFS: how the indicator is linked to non-serving cell</w:t>
      </w:r>
    </w:p>
    <w:p w14:paraId="05AB3A97" w14:textId="77777777" w:rsidR="004969E5" w:rsidRPr="004969E5" w:rsidRDefault="004969E5" w:rsidP="004969E5">
      <w:pPr>
        <w:pStyle w:val="ListParagraph"/>
        <w:numPr>
          <w:ilvl w:val="1"/>
          <w:numId w:val="23"/>
        </w:numPr>
        <w:shd w:val="clear" w:color="auto" w:fill="FFFFFF"/>
        <w:spacing w:after="0"/>
        <w:rPr>
          <w:rFonts w:ascii="Times New Roman" w:hAnsi="Times New Roman"/>
          <w:i/>
          <w:iCs/>
        </w:rPr>
      </w:pPr>
      <w:r w:rsidRPr="004969E5">
        <w:rPr>
          <w:rFonts w:ascii="Times New Roman" w:hAnsi="Times New Roman"/>
          <w:i/>
          <w:iCs/>
        </w:rPr>
        <w:t>Note: when there is only one non-serving cell, it means the same as Option2.</w:t>
      </w:r>
    </w:p>
    <w:p w14:paraId="5AD46397" w14:textId="77777777" w:rsidR="004969E5" w:rsidRPr="004969E5" w:rsidRDefault="004969E5" w:rsidP="004969E5">
      <w:pPr>
        <w:rPr>
          <w:b/>
          <w:bCs/>
          <w:i/>
          <w:iCs/>
          <w:lang w:eastAsia="zh-CN"/>
        </w:rPr>
      </w:pPr>
      <w:r w:rsidRPr="004969E5">
        <w:rPr>
          <w:b/>
          <w:bCs/>
          <w:i/>
          <w:iCs/>
          <w:highlight w:val="green"/>
          <w:lang w:eastAsia="zh-CN"/>
        </w:rPr>
        <w:t>Agreement</w:t>
      </w:r>
    </w:p>
    <w:p w14:paraId="20FD7B83" w14:textId="77777777" w:rsidR="004969E5" w:rsidRPr="004969E5" w:rsidRDefault="004969E5" w:rsidP="004969E5">
      <w:pPr>
        <w:rPr>
          <w:i/>
          <w:iCs/>
          <w:lang w:eastAsia="zh-CN"/>
        </w:rPr>
      </w:pPr>
      <w:r w:rsidRPr="004969E5">
        <w:rPr>
          <w:i/>
          <w:iCs/>
          <w:lang w:eastAsia="zh-CN"/>
        </w:rPr>
        <w:t>Agree on scheme1</w:t>
      </w:r>
    </w:p>
    <w:p w14:paraId="37781A65" w14:textId="77777777" w:rsidR="004969E5" w:rsidRPr="004969E5" w:rsidRDefault="004969E5" w:rsidP="004969E5">
      <w:pPr>
        <w:pStyle w:val="ListParagraph"/>
        <w:numPr>
          <w:ilvl w:val="0"/>
          <w:numId w:val="23"/>
        </w:numPr>
        <w:shd w:val="clear" w:color="auto" w:fill="FFFFFF"/>
        <w:spacing w:after="0"/>
        <w:rPr>
          <w:rFonts w:ascii="Times New Roman" w:hAnsi="Times New Roman"/>
          <w:i/>
          <w:iCs/>
        </w:rPr>
      </w:pPr>
      <w:r w:rsidRPr="004969E5">
        <w:rPr>
          <w:rFonts w:ascii="Times New Roman" w:hAnsi="Times New Roman"/>
          <w:i/>
          <w:iCs/>
        </w:rPr>
        <w:t>Scheme1: PDSCH/PDCCH from non-serving cell (PCI) associated with TCI state and/or QCL-info is rate matched around non-serving cell SSB with the same PCI</w:t>
      </w:r>
    </w:p>
    <w:p w14:paraId="15996B50" w14:textId="77777777" w:rsidR="004969E5" w:rsidRPr="004969E5" w:rsidRDefault="004969E5" w:rsidP="004969E5">
      <w:pPr>
        <w:pStyle w:val="ListParagraph"/>
        <w:numPr>
          <w:ilvl w:val="0"/>
          <w:numId w:val="23"/>
        </w:numPr>
        <w:shd w:val="clear" w:color="auto" w:fill="FFFFFF"/>
        <w:spacing w:after="0"/>
        <w:rPr>
          <w:rFonts w:ascii="Times New Roman" w:hAnsi="Times New Roman"/>
          <w:i/>
          <w:iCs/>
        </w:rPr>
      </w:pPr>
      <w:r w:rsidRPr="004969E5">
        <w:rPr>
          <w:rFonts w:ascii="Times New Roman" w:hAnsi="Times New Roman"/>
          <w:i/>
          <w:iCs/>
        </w:rPr>
        <w:t xml:space="preserve">FFS: whether PDSCH /PDCCH from serving cell (PCI) is rate matched around non-serving cell SSB </w:t>
      </w:r>
    </w:p>
    <w:p w14:paraId="39B68EA4" w14:textId="77777777" w:rsidR="004969E5" w:rsidRPr="004969E5" w:rsidRDefault="004969E5" w:rsidP="004969E5">
      <w:pPr>
        <w:pStyle w:val="ListParagraph"/>
        <w:numPr>
          <w:ilvl w:val="0"/>
          <w:numId w:val="23"/>
        </w:numPr>
        <w:shd w:val="clear" w:color="auto" w:fill="FFFFFF"/>
        <w:spacing w:after="0"/>
        <w:rPr>
          <w:rFonts w:ascii="Times New Roman" w:hAnsi="Times New Roman"/>
          <w:i/>
          <w:iCs/>
        </w:rPr>
      </w:pPr>
      <w:r w:rsidRPr="004969E5">
        <w:rPr>
          <w:rFonts w:ascii="Times New Roman" w:hAnsi="Times New Roman"/>
          <w:i/>
          <w:iCs/>
        </w:rPr>
        <w:t>FFS: whether PDSCH/PDCCH from non-serving cell (PCI) associated with TCI state and/or QCL-info is rate matched around serving cell SSB</w:t>
      </w:r>
    </w:p>
    <w:p w14:paraId="0CCD2B8A" w14:textId="77777777" w:rsidR="004969E5" w:rsidRPr="004969E5" w:rsidRDefault="004969E5" w:rsidP="004969E5">
      <w:pPr>
        <w:rPr>
          <w:rFonts w:eastAsia="DengXian"/>
          <w:b/>
          <w:bCs/>
          <w:i/>
          <w:iCs/>
          <w:lang w:eastAsia="zh-CN"/>
        </w:rPr>
      </w:pPr>
      <w:r w:rsidRPr="004969E5">
        <w:rPr>
          <w:rFonts w:eastAsia="DengXian"/>
          <w:b/>
          <w:bCs/>
          <w:i/>
          <w:iCs/>
          <w:lang w:eastAsia="zh-CN"/>
        </w:rPr>
        <w:t>Conclusion</w:t>
      </w:r>
    </w:p>
    <w:p w14:paraId="360C16DD" w14:textId="77777777" w:rsidR="004969E5" w:rsidRPr="004969E5" w:rsidRDefault="004969E5" w:rsidP="004969E5">
      <w:pPr>
        <w:rPr>
          <w:rFonts w:eastAsia="DengXian"/>
          <w:bCs/>
          <w:i/>
          <w:iCs/>
          <w:lang w:eastAsia="zh-CN"/>
        </w:rPr>
      </w:pPr>
      <w:r w:rsidRPr="004969E5">
        <w:rPr>
          <w:rFonts w:eastAsia="DengXian"/>
          <w:bCs/>
          <w:i/>
          <w:iCs/>
          <w:lang w:eastAsia="zh-CN"/>
        </w:rPr>
        <w:t>The UE may assume received DL transmission from multiple TRP within a CP in FR1 and FR2.</w:t>
      </w:r>
    </w:p>
    <w:p w14:paraId="08D5EBF0" w14:textId="77777777" w:rsidR="004969E5" w:rsidRPr="004969E5" w:rsidRDefault="004969E5" w:rsidP="004969E5">
      <w:pPr>
        <w:pStyle w:val="ListParagraph"/>
        <w:numPr>
          <w:ilvl w:val="0"/>
          <w:numId w:val="23"/>
        </w:numPr>
        <w:shd w:val="clear" w:color="auto" w:fill="FFFFFF"/>
        <w:spacing w:after="0"/>
        <w:rPr>
          <w:rFonts w:ascii="Times New Roman" w:hAnsi="Times New Roman"/>
          <w:i/>
          <w:iCs/>
        </w:rPr>
      </w:pPr>
      <w:r w:rsidRPr="004969E5">
        <w:rPr>
          <w:rFonts w:ascii="Times New Roman" w:hAnsi="Times New Roman"/>
          <w:i/>
          <w:iCs/>
        </w:rPr>
        <w:t>Note: This does not imply that RAN1 intends to ask RAN4 to tighten network synchronization requirements.</w:t>
      </w:r>
    </w:p>
    <w:p w14:paraId="1BA76490" w14:textId="08FDCF9A" w:rsidR="00492DE4" w:rsidRDefault="00492DE4" w:rsidP="00492DE4">
      <w:pPr>
        <w:spacing w:beforeLines="50" w:before="120"/>
        <w:rPr>
          <w:lang w:val="en-GB"/>
        </w:rPr>
      </w:pPr>
      <w:r>
        <w:rPr>
          <w:rFonts w:hint="eastAsia"/>
          <w:lang w:val="en-GB"/>
        </w:rPr>
        <w:t>In this contribution,</w:t>
      </w:r>
      <w:r>
        <w:rPr>
          <w:lang w:val="en-GB"/>
        </w:rPr>
        <w:t xml:space="preserve"> further discussions on inter-cell multi-TRP enhancements are provided.</w:t>
      </w:r>
    </w:p>
    <w:p w14:paraId="42597A6D" w14:textId="77777777" w:rsidR="001B5804" w:rsidRPr="00E62EA7" w:rsidRDefault="001B5804" w:rsidP="00773DB7">
      <w:pPr>
        <w:spacing w:beforeLines="50" w:before="120"/>
        <w:rPr>
          <w:lang w:val="en-GB"/>
        </w:rPr>
      </w:pPr>
    </w:p>
    <w:p w14:paraId="38A7F13E" w14:textId="5AF5918D" w:rsidR="00D05F0A" w:rsidRDefault="00773DB7" w:rsidP="00260236">
      <w:pPr>
        <w:pStyle w:val="Heading1"/>
      </w:pPr>
      <w:r>
        <w:t>Discussion</w:t>
      </w:r>
      <w:r w:rsidR="00A023A1">
        <w:t xml:space="preserve"> </w:t>
      </w:r>
    </w:p>
    <w:p w14:paraId="787339AF" w14:textId="77777777" w:rsidR="000924AF" w:rsidRDefault="000924AF" w:rsidP="000924AF">
      <w:pPr>
        <w:pStyle w:val="Heading2"/>
      </w:pPr>
      <w:r>
        <w:t>Discussion and clarification on “non-serving cell”</w:t>
      </w:r>
    </w:p>
    <w:p w14:paraId="42EC97BF" w14:textId="7A0A0DBE" w:rsidR="001C0437" w:rsidRDefault="00D92EF9" w:rsidP="00D73A25">
      <w:pPr>
        <w:pStyle w:val="ListParagraph"/>
        <w:spacing w:beforeLines="50" w:before="120"/>
        <w:ind w:left="0"/>
        <w:jc w:val="both"/>
        <w:rPr>
          <w:rFonts w:ascii="Times New Roman" w:hAnsi="Times New Roman"/>
        </w:rPr>
      </w:pPr>
      <w:r>
        <w:rPr>
          <w:rFonts w:ascii="Times New Roman" w:hAnsi="Times New Roman"/>
        </w:rPr>
        <w:t xml:space="preserve">First of all, the term “non-serving cell”, though widely used in the discussions so far, is not quite accurate and may cause confusion. Though it is understandable that it is to contrast with the well-defined “serving cell”, the so-called non-serving cell can serve the UE and transmit/receive with the UE. </w:t>
      </w:r>
      <w:r w:rsidR="001C0437">
        <w:rPr>
          <w:rFonts w:ascii="Times New Roman" w:hAnsi="Times New Roman"/>
        </w:rPr>
        <w:t xml:space="preserve">It would be </w:t>
      </w:r>
      <w:r w:rsidR="00D301BF">
        <w:rPr>
          <w:rFonts w:ascii="Times New Roman" w:hAnsi="Times New Roman"/>
        </w:rPr>
        <w:t>clearer</w:t>
      </w:r>
      <w:r w:rsidR="001C0437">
        <w:rPr>
          <w:rFonts w:ascii="Times New Roman" w:hAnsi="Times New Roman"/>
        </w:rPr>
        <w:t xml:space="preserve"> if RAN1 can differentiate the following:</w:t>
      </w:r>
    </w:p>
    <w:p w14:paraId="7ED623B5" w14:textId="74F2CEB6" w:rsidR="001C0437" w:rsidRDefault="001C0437" w:rsidP="001C0437">
      <w:pPr>
        <w:pStyle w:val="ListParagraph"/>
        <w:numPr>
          <w:ilvl w:val="0"/>
          <w:numId w:val="27"/>
        </w:numPr>
        <w:spacing w:beforeLines="50" w:before="120"/>
        <w:jc w:val="both"/>
        <w:rPr>
          <w:rFonts w:ascii="Times New Roman" w:hAnsi="Times New Roman"/>
        </w:rPr>
      </w:pPr>
      <w:r>
        <w:rPr>
          <w:rFonts w:ascii="Times New Roman" w:hAnsi="Times New Roman"/>
        </w:rPr>
        <w:t>Serving cell, configured as PCell or SCell for a UE</w:t>
      </w:r>
    </w:p>
    <w:p w14:paraId="21F1217E" w14:textId="0E273473" w:rsidR="001C0437" w:rsidRDefault="001C0437" w:rsidP="001C0437">
      <w:pPr>
        <w:pStyle w:val="ListParagraph"/>
        <w:numPr>
          <w:ilvl w:val="0"/>
          <w:numId w:val="27"/>
        </w:numPr>
        <w:spacing w:beforeLines="50" w:before="120"/>
        <w:jc w:val="both"/>
        <w:rPr>
          <w:rFonts w:ascii="Times New Roman" w:hAnsi="Times New Roman"/>
        </w:rPr>
      </w:pPr>
      <w:r>
        <w:rPr>
          <w:rFonts w:ascii="Times New Roman" w:hAnsi="Times New Roman"/>
        </w:rPr>
        <w:t xml:space="preserve">A cell that is not a PCell or </w:t>
      </w:r>
      <w:r w:rsidR="00D301BF">
        <w:rPr>
          <w:rFonts w:ascii="Times New Roman" w:hAnsi="Times New Roman"/>
        </w:rPr>
        <w:t>SCell but</w:t>
      </w:r>
      <w:r>
        <w:rPr>
          <w:rFonts w:ascii="Times New Roman" w:hAnsi="Times New Roman"/>
        </w:rPr>
        <w:t xml:space="preserve"> can transmit/receive signals/channels with the UE. This may be called as “cooperating cell” or “assisting cell”.</w:t>
      </w:r>
    </w:p>
    <w:p w14:paraId="6FF6DEE8" w14:textId="26C3ED9D" w:rsidR="001C0437" w:rsidRDefault="001C0437" w:rsidP="001C0437">
      <w:pPr>
        <w:pStyle w:val="ListParagraph"/>
        <w:numPr>
          <w:ilvl w:val="0"/>
          <w:numId w:val="27"/>
        </w:numPr>
        <w:spacing w:beforeLines="50" w:before="120"/>
        <w:jc w:val="both"/>
        <w:rPr>
          <w:rFonts w:ascii="Times New Roman" w:hAnsi="Times New Roman"/>
        </w:rPr>
      </w:pPr>
      <w:r>
        <w:rPr>
          <w:rFonts w:ascii="Times New Roman" w:hAnsi="Times New Roman"/>
        </w:rPr>
        <w:t>A cell that is not a PCell or SCell, cannot transmit/receive signals/channels with the UE, but it is one within the CoMP set for the UE. This may be called as “coordinated cell”.</w:t>
      </w:r>
    </w:p>
    <w:p w14:paraId="457F6079" w14:textId="6BF4FCDD" w:rsidR="001C0437" w:rsidRDefault="001C0437" w:rsidP="001C0437">
      <w:pPr>
        <w:pStyle w:val="ListParagraph"/>
        <w:numPr>
          <w:ilvl w:val="0"/>
          <w:numId w:val="27"/>
        </w:numPr>
        <w:spacing w:beforeLines="50" w:before="120"/>
        <w:jc w:val="both"/>
        <w:rPr>
          <w:rFonts w:ascii="Times New Roman" w:hAnsi="Times New Roman"/>
        </w:rPr>
      </w:pPr>
      <w:r>
        <w:rPr>
          <w:rFonts w:ascii="Times New Roman" w:hAnsi="Times New Roman"/>
        </w:rPr>
        <w:t>A cell that is not a PCell or SCell, cannot transmit/receive signals/channels with the UE, not within the CoMP</w:t>
      </w:r>
      <w:r w:rsidR="00770D5E">
        <w:rPr>
          <w:rFonts w:ascii="Times New Roman" w:hAnsi="Times New Roman"/>
        </w:rPr>
        <w:t xml:space="preserve"> set</w:t>
      </w:r>
      <w:r>
        <w:rPr>
          <w:rFonts w:ascii="Times New Roman" w:hAnsi="Times New Roman"/>
        </w:rPr>
        <w:t>, and may interfere the UE.</w:t>
      </w:r>
    </w:p>
    <w:p w14:paraId="1DEE4DE2" w14:textId="7B873846" w:rsidR="00D92EF9" w:rsidRDefault="001C0437" w:rsidP="00D73A25">
      <w:pPr>
        <w:pStyle w:val="ListParagraph"/>
        <w:spacing w:beforeLines="50" w:before="120"/>
        <w:ind w:left="0"/>
        <w:jc w:val="both"/>
        <w:rPr>
          <w:rFonts w:ascii="Times New Roman" w:hAnsi="Times New Roman"/>
        </w:rPr>
      </w:pPr>
      <w:r>
        <w:rPr>
          <w:rFonts w:ascii="Times New Roman" w:hAnsi="Times New Roman"/>
        </w:rPr>
        <w:t>Only the first one is a serving cell</w:t>
      </w:r>
      <w:r w:rsidR="00032972">
        <w:rPr>
          <w:rFonts w:ascii="Times New Roman" w:hAnsi="Times New Roman"/>
        </w:rPr>
        <w:t xml:space="preserve"> according to existing definition in the standards</w:t>
      </w:r>
      <w:r>
        <w:rPr>
          <w:rFonts w:ascii="Times New Roman" w:hAnsi="Times New Roman"/>
        </w:rPr>
        <w:t>, and the others are all non-serving. Clearly, a</w:t>
      </w:r>
      <w:r w:rsidR="0000100D">
        <w:rPr>
          <w:rFonts w:ascii="Times New Roman" w:hAnsi="Times New Roman"/>
        </w:rPr>
        <w:t xml:space="preserve"> better term may be needed</w:t>
      </w:r>
      <w:r>
        <w:rPr>
          <w:rFonts w:ascii="Times New Roman" w:hAnsi="Times New Roman"/>
        </w:rPr>
        <w:t xml:space="preserve"> for this WI</w:t>
      </w:r>
      <w:r w:rsidR="0000100D">
        <w:rPr>
          <w:rFonts w:ascii="Times New Roman" w:hAnsi="Times New Roman"/>
        </w:rPr>
        <w:t>, such as “cooperating cell”</w:t>
      </w:r>
      <w:r>
        <w:rPr>
          <w:rFonts w:ascii="Times New Roman" w:hAnsi="Times New Roman"/>
        </w:rPr>
        <w:t xml:space="preserve"> or “assisting cell”</w:t>
      </w:r>
      <w:r w:rsidR="0000100D">
        <w:rPr>
          <w:rFonts w:ascii="Times New Roman" w:hAnsi="Times New Roman"/>
        </w:rPr>
        <w:t>. The rest of the contribution still uses “non-serving cell”, but it should be understood that it means “cooperating cell” or the like.</w:t>
      </w:r>
    </w:p>
    <w:p w14:paraId="188E2BE4" w14:textId="6CAA60D1" w:rsidR="00BD5373" w:rsidRPr="00BD5373" w:rsidRDefault="00BD5373" w:rsidP="00BD5373">
      <w:pPr>
        <w:pStyle w:val="ListParagraph"/>
        <w:spacing w:beforeLines="50" w:before="120"/>
        <w:ind w:left="0"/>
        <w:jc w:val="both"/>
        <w:rPr>
          <w:rFonts w:ascii="Times New Roman" w:hAnsi="Times New Roman"/>
        </w:rPr>
      </w:pPr>
      <w:r w:rsidRPr="00BD5373">
        <w:rPr>
          <w:rFonts w:ascii="Times New Roman" w:hAnsi="Times New Roman"/>
          <w:b/>
          <w:u w:val="single"/>
        </w:rPr>
        <w:t xml:space="preserve">Proposal </w:t>
      </w:r>
      <w:r w:rsidR="00F75F40">
        <w:rPr>
          <w:rFonts w:ascii="Times New Roman" w:hAnsi="Times New Roman"/>
          <w:b/>
          <w:u w:val="single"/>
        </w:rPr>
        <w:t>1</w:t>
      </w:r>
      <w:r w:rsidRPr="00BD5373">
        <w:rPr>
          <w:rFonts w:ascii="Times New Roman" w:hAnsi="Times New Roman"/>
          <w:b/>
        </w:rPr>
        <w:t xml:space="preserve">: For inter-cell multi-TRP enhancement, </w:t>
      </w:r>
      <w:r>
        <w:rPr>
          <w:rFonts w:ascii="Times New Roman" w:hAnsi="Times New Roman"/>
          <w:b/>
        </w:rPr>
        <w:t>replace</w:t>
      </w:r>
      <w:r w:rsidRPr="00BD5373">
        <w:rPr>
          <w:rFonts w:ascii="Times New Roman" w:hAnsi="Times New Roman"/>
          <w:b/>
        </w:rPr>
        <w:t xml:space="preserve"> the term “non-serving cell”</w:t>
      </w:r>
      <w:r>
        <w:rPr>
          <w:rFonts w:ascii="Times New Roman" w:hAnsi="Times New Roman"/>
          <w:b/>
        </w:rPr>
        <w:t xml:space="preserve"> with “cooperating cell” or the like.</w:t>
      </w:r>
    </w:p>
    <w:p w14:paraId="060568B2" w14:textId="77777777" w:rsidR="00BD5373" w:rsidRDefault="00BD5373" w:rsidP="00D73A25">
      <w:pPr>
        <w:pStyle w:val="ListParagraph"/>
        <w:spacing w:beforeLines="50" w:before="120"/>
        <w:ind w:left="0"/>
        <w:jc w:val="both"/>
        <w:rPr>
          <w:rFonts w:ascii="Times New Roman" w:hAnsi="Times New Roman"/>
        </w:rPr>
      </w:pPr>
    </w:p>
    <w:p w14:paraId="161FBF16" w14:textId="05868CEF" w:rsidR="004969E5" w:rsidRDefault="00116643" w:rsidP="00D73A25">
      <w:pPr>
        <w:pStyle w:val="ListParagraph"/>
        <w:spacing w:beforeLines="50" w:before="120"/>
        <w:ind w:left="0"/>
        <w:jc w:val="both"/>
        <w:rPr>
          <w:rFonts w:ascii="Times New Roman" w:hAnsi="Times New Roman"/>
        </w:rPr>
      </w:pPr>
      <w:r>
        <w:rPr>
          <w:rFonts w:ascii="Times New Roman" w:hAnsi="Times New Roman"/>
        </w:rPr>
        <w:t xml:space="preserve">Furthermore, there were questions in the previous meeting about </w:t>
      </w:r>
      <w:r w:rsidR="006A2B47" w:rsidRPr="006A2B47">
        <w:rPr>
          <w:rFonts w:ascii="Times New Roman" w:hAnsi="Times New Roman"/>
        </w:rPr>
        <w:t xml:space="preserve">the motivation to use inter-cell </w:t>
      </w:r>
      <w:r w:rsidR="00326D5B">
        <w:rPr>
          <w:rFonts w:ascii="Times New Roman" w:hAnsi="Times New Roman"/>
        </w:rPr>
        <w:t>M-</w:t>
      </w:r>
      <w:r w:rsidR="006A2B47" w:rsidRPr="006A2B47">
        <w:rPr>
          <w:rFonts w:ascii="Times New Roman" w:hAnsi="Times New Roman"/>
        </w:rPr>
        <w:t>TRP</w:t>
      </w:r>
      <w:r>
        <w:rPr>
          <w:rFonts w:ascii="Times New Roman" w:hAnsi="Times New Roman"/>
        </w:rPr>
        <w:t xml:space="preserve">, i.e., a non-serving cell, </w:t>
      </w:r>
      <w:r w:rsidR="006A2B47" w:rsidRPr="006A2B47">
        <w:rPr>
          <w:rFonts w:ascii="Times New Roman" w:hAnsi="Times New Roman"/>
        </w:rPr>
        <w:t xml:space="preserve">instead of intra-cell </w:t>
      </w:r>
      <w:r w:rsidR="00B32AA1">
        <w:rPr>
          <w:rFonts w:ascii="Times New Roman" w:hAnsi="Times New Roman"/>
        </w:rPr>
        <w:t>M-</w:t>
      </w:r>
      <w:r w:rsidR="00B32AA1" w:rsidRPr="006A2B47">
        <w:rPr>
          <w:rFonts w:ascii="Times New Roman" w:hAnsi="Times New Roman"/>
        </w:rPr>
        <w:t>TRP</w:t>
      </w:r>
      <w:r>
        <w:rPr>
          <w:rFonts w:ascii="Times New Roman" w:hAnsi="Times New Roman"/>
        </w:rPr>
        <w:t>.</w:t>
      </w:r>
      <w:r w:rsidR="00515E79">
        <w:rPr>
          <w:rFonts w:ascii="Times New Roman" w:hAnsi="Times New Roman"/>
        </w:rPr>
        <w:t xml:space="preserve"> It is important to understand why a “cell” is needed here, from a UE perspective and also from the standards perspective. </w:t>
      </w:r>
      <w:r w:rsidR="00326D5B">
        <w:rPr>
          <w:rFonts w:ascii="Times New Roman" w:hAnsi="Times New Roman"/>
        </w:rPr>
        <w:t xml:space="preserve">This is related to the fundamental point we have made in our past contributions, that is, the deployment scenario, which is different from intra-cell M-TRP. </w:t>
      </w:r>
    </w:p>
    <w:p w14:paraId="492C74F8" w14:textId="2DAEF26C" w:rsidR="00326D5B" w:rsidRDefault="00326D5B" w:rsidP="00326D5B">
      <w:pPr>
        <w:pStyle w:val="ListParagraph"/>
        <w:numPr>
          <w:ilvl w:val="0"/>
          <w:numId w:val="26"/>
        </w:numPr>
        <w:spacing w:beforeLines="50" w:before="120"/>
        <w:jc w:val="both"/>
        <w:rPr>
          <w:rFonts w:ascii="Times New Roman" w:hAnsi="Times New Roman"/>
        </w:rPr>
      </w:pPr>
      <w:r>
        <w:rPr>
          <w:rFonts w:ascii="Times New Roman" w:hAnsi="Times New Roman"/>
        </w:rPr>
        <w:t>For intra-cell M-TRP:</w:t>
      </w:r>
    </w:p>
    <w:p w14:paraId="2B96EAC2" w14:textId="2BDF1033" w:rsidR="00326D5B" w:rsidRDefault="00326D5B" w:rsidP="00326D5B">
      <w:pPr>
        <w:pStyle w:val="ListParagraph"/>
        <w:spacing w:beforeLines="50" w:before="120"/>
        <w:ind w:left="360"/>
        <w:jc w:val="both"/>
        <w:rPr>
          <w:rFonts w:ascii="Times New Roman" w:hAnsi="Times New Roman"/>
        </w:rPr>
      </w:pPr>
      <w:r>
        <w:rPr>
          <w:rFonts w:ascii="Times New Roman" w:hAnsi="Times New Roman"/>
        </w:rPr>
        <w:t xml:space="preserve">Generally, fast/ideal backhaul and coordination can be assumed, tight/ideal time/frequency/phase synchronization can be assumed, and the distance between the TRPs is not large. Therefore, from the UE perspective, the TRPs share many common properties, such as the same time/frequency/phase </w:t>
      </w:r>
      <w:r>
        <w:rPr>
          <w:rFonts w:ascii="Times New Roman" w:hAnsi="Times New Roman"/>
        </w:rPr>
        <w:lastRenderedPageBreak/>
        <w:t>synchronization, and thus one source, i.e., one PCI/SSB is sufficient for the UE to communicate with the TRPs.</w:t>
      </w:r>
      <w:r w:rsidR="00826ACF">
        <w:rPr>
          <w:rFonts w:ascii="Times New Roman" w:hAnsi="Times New Roman"/>
        </w:rPr>
        <w:t xml:space="preserve"> An intra-cell TRP’s rough synchronization can be derived from the serving cell TRP</w:t>
      </w:r>
      <w:r w:rsidR="00D2644C">
        <w:rPr>
          <w:rFonts w:ascii="Times New Roman" w:hAnsi="Times New Roman"/>
        </w:rPr>
        <w:t>, and a signal/antenna port of the intra-cell TRP may be directly or indirectly QCLed to that of the serving cell TRP.</w:t>
      </w:r>
      <w:r w:rsidR="00AE5280">
        <w:rPr>
          <w:rFonts w:ascii="Times New Roman" w:hAnsi="Times New Roman"/>
        </w:rPr>
        <w:t xml:space="preserve"> Whether the intra-cell TRP has a PCI or not can be transparent to the UE.</w:t>
      </w:r>
    </w:p>
    <w:p w14:paraId="0AD69AFB" w14:textId="0F3FCA5F" w:rsidR="00326D5B" w:rsidRDefault="00326D5B" w:rsidP="00326D5B">
      <w:pPr>
        <w:pStyle w:val="ListParagraph"/>
        <w:numPr>
          <w:ilvl w:val="0"/>
          <w:numId w:val="26"/>
        </w:numPr>
        <w:spacing w:beforeLines="50" w:before="120"/>
        <w:jc w:val="both"/>
        <w:rPr>
          <w:rFonts w:ascii="Times New Roman" w:hAnsi="Times New Roman"/>
        </w:rPr>
      </w:pPr>
      <w:r>
        <w:rPr>
          <w:rFonts w:ascii="Times New Roman" w:hAnsi="Times New Roman"/>
        </w:rPr>
        <w:t>For inter-cell M-TRP:</w:t>
      </w:r>
    </w:p>
    <w:p w14:paraId="0AA4DB4F" w14:textId="51B48019" w:rsidR="00AE5280" w:rsidRDefault="00326D5B" w:rsidP="00AE5280">
      <w:pPr>
        <w:pStyle w:val="ListParagraph"/>
        <w:spacing w:beforeLines="50" w:before="120"/>
        <w:ind w:left="360"/>
        <w:jc w:val="both"/>
        <w:rPr>
          <w:rFonts w:ascii="Times New Roman" w:hAnsi="Times New Roman"/>
        </w:rPr>
      </w:pPr>
      <w:r>
        <w:rPr>
          <w:rFonts w:ascii="Times New Roman" w:hAnsi="Times New Roman"/>
        </w:rPr>
        <w:t xml:space="preserve">Generally, fast/ideal backhaul and coordination </w:t>
      </w:r>
      <w:r w:rsidR="00384FA0">
        <w:rPr>
          <w:rFonts w:ascii="Times New Roman" w:hAnsi="Times New Roman"/>
        </w:rPr>
        <w:t xml:space="preserve">may not </w:t>
      </w:r>
      <w:r>
        <w:rPr>
          <w:rFonts w:ascii="Times New Roman" w:hAnsi="Times New Roman"/>
        </w:rPr>
        <w:t xml:space="preserve">be assumed, tight/ideal time/frequency/phase synchronization </w:t>
      </w:r>
      <w:r w:rsidR="00384FA0">
        <w:rPr>
          <w:rFonts w:ascii="Times New Roman" w:hAnsi="Times New Roman"/>
        </w:rPr>
        <w:t xml:space="preserve">may not </w:t>
      </w:r>
      <w:r>
        <w:rPr>
          <w:rFonts w:ascii="Times New Roman" w:hAnsi="Times New Roman"/>
        </w:rPr>
        <w:t>be assumed, and the distance between the TRPs can be large. Therefore, from the UE perspective, most of the properties can be different for the TRPs, such as the time/frequency/phase synchronization</w:t>
      </w:r>
      <w:r w:rsidR="00C9407D">
        <w:rPr>
          <w:rFonts w:ascii="Times New Roman" w:hAnsi="Times New Roman"/>
        </w:rPr>
        <w:t xml:space="preserve"> and other large/small-scale channel properties. As a result, </w:t>
      </w:r>
      <w:r>
        <w:rPr>
          <w:rFonts w:ascii="Times New Roman" w:hAnsi="Times New Roman"/>
        </w:rPr>
        <w:t xml:space="preserve">one source, i.e., one PCI/SSB is </w:t>
      </w:r>
      <w:r w:rsidR="00C9407D">
        <w:rPr>
          <w:rFonts w:ascii="Times New Roman" w:hAnsi="Times New Roman"/>
        </w:rPr>
        <w:t xml:space="preserve">not </w:t>
      </w:r>
      <w:r>
        <w:rPr>
          <w:rFonts w:ascii="Times New Roman" w:hAnsi="Times New Roman"/>
        </w:rPr>
        <w:t>sufficient</w:t>
      </w:r>
      <w:r w:rsidR="00C9407D">
        <w:rPr>
          <w:rFonts w:ascii="Times New Roman" w:hAnsi="Times New Roman"/>
        </w:rPr>
        <w:t>, and TRP-specific sources, i.e., separate PCIs/SSBs,</w:t>
      </w:r>
      <w:r>
        <w:rPr>
          <w:rFonts w:ascii="Times New Roman" w:hAnsi="Times New Roman"/>
        </w:rPr>
        <w:t xml:space="preserve"> </w:t>
      </w:r>
      <w:r w:rsidR="00C9407D">
        <w:rPr>
          <w:rFonts w:ascii="Times New Roman" w:hAnsi="Times New Roman"/>
        </w:rPr>
        <w:t xml:space="preserve">are required </w:t>
      </w:r>
      <w:r>
        <w:rPr>
          <w:rFonts w:ascii="Times New Roman" w:hAnsi="Times New Roman"/>
        </w:rPr>
        <w:t>for the UE to communicate with the TRPs</w:t>
      </w:r>
      <w:r w:rsidR="00AE5280">
        <w:rPr>
          <w:rFonts w:ascii="Times New Roman" w:hAnsi="Times New Roman"/>
        </w:rPr>
        <w:t>, if the TRPs are allowed to be</w:t>
      </w:r>
      <w:r w:rsidR="00AE5280" w:rsidRPr="00D365AB">
        <w:rPr>
          <w:rFonts w:ascii="Times New Roman" w:hAnsi="Times New Roman"/>
        </w:rPr>
        <w:t xml:space="preserve"> potentially non-co-located, potentially non-ideal backhaul connected, and/or potentially standalone</w:t>
      </w:r>
      <w:r w:rsidR="00AE5280">
        <w:rPr>
          <w:rFonts w:ascii="Times New Roman" w:hAnsi="Times New Roman"/>
        </w:rPr>
        <w:t>,</w:t>
      </w:r>
      <w:r w:rsidR="00AE5280" w:rsidRPr="00D365AB">
        <w:rPr>
          <w:rFonts w:ascii="Times New Roman" w:hAnsi="Times New Roman"/>
        </w:rPr>
        <w:t xml:space="preserve"> with very different channel properties. Due to these different channel properties, they cannot be operating as totally transparent to UE as in intra-cell, co-located or nearly co-located, ideal backhaul connected TRP operating in a non-standalone fashion.</w:t>
      </w:r>
    </w:p>
    <w:p w14:paraId="26C9FD2C" w14:textId="14A31D0C" w:rsidR="00644039" w:rsidRDefault="00644039" w:rsidP="00D2644C">
      <w:pPr>
        <w:pStyle w:val="ListParagraph"/>
        <w:spacing w:beforeLines="50" w:before="120"/>
        <w:ind w:left="360"/>
        <w:jc w:val="both"/>
        <w:rPr>
          <w:rFonts w:ascii="Times New Roman" w:hAnsi="Times New Roman"/>
        </w:rPr>
      </w:pPr>
      <w:r>
        <w:rPr>
          <w:rFonts w:ascii="Times New Roman" w:hAnsi="Times New Roman"/>
        </w:rPr>
        <w:t xml:space="preserve">Although RAN1 has concluded that </w:t>
      </w:r>
      <w:r w:rsidRPr="00644039">
        <w:rPr>
          <w:rFonts w:ascii="Times New Roman" w:hAnsi="Times New Roman"/>
        </w:rPr>
        <w:t xml:space="preserve">UE may assume received DL transmission from multiple </w:t>
      </w:r>
      <w:r w:rsidR="005B6E65">
        <w:rPr>
          <w:rFonts w:ascii="Times New Roman" w:hAnsi="Times New Roman"/>
        </w:rPr>
        <w:t xml:space="preserve">inter-cell </w:t>
      </w:r>
      <w:r w:rsidRPr="00644039">
        <w:rPr>
          <w:rFonts w:ascii="Times New Roman" w:hAnsi="Times New Roman"/>
        </w:rPr>
        <w:t>TRP</w:t>
      </w:r>
      <w:r>
        <w:rPr>
          <w:rFonts w:ascii="Times New Roman" w:hAnsi="Times New Roman"/>
        </w:rPr>
        <w:t>s</w:t>
      </w:r>
      <w:r w:rsidR="004E0D06">
        <w:rPr>
          <w:rFonts w:ascii="Times New Roman" w:hAnsi="Times New Roman"/>
        </w:rPr>
        <w:t xml:space="preserve"> are within one CP</w:t>
      </w:r>
      <w:r w:rsidR="005B6E65">
        <w:rPr>
          <w:rFonts w:ascii="Times New Roman" w:hAnsi="Times New Roman"/>
        </w:rPr>
        <w:t xml:space="preserve">, it should </w:t>
      </w:r>
      <w:r w:rsidR="00473812">
        <w:rPr>
          <w:rFonts w:ascii="Times New Roman" w:hAnsi="Times New Roman"/>
        </w:rPr>
        <w:t>be appreciated that the properties for inter-cell M-TRPs are more different tha</w:t>
      </w:r>
      <w:r w:rsidR="00A1180F">
        <w:rPr>
          <w:rFonts w:ascii="Times New Roman" w:hAnsi="Times New Roman"/>
        </w:rPr>
        <w:t>n</w:t>
      </w:r>
      <w:r w:rsidR="00473812">
        <w:rPr>
          <w:rFonts w:ascii="Times New Roman" w:hAnsi="Times New Roman"/>
        </w:rPr>
        <w:t xml:space="preserve"> those for intra-cell M-TRPs. </w:t>
      </w:r>
      <w:r w:rsidR="00D2644C">
        <w:rPr>
          <w:rFonts w:ascii="Times New Roman" w:hAnsi="Times New Roman"/>
        </w:rPr>
        <w:t>A signal/antenna port of the inter-cell TRP shall not be directly or indirectly QCLed to that of the serving cell TRP.</w:t>
      </w:r>
    </w:p>
    <w:p w14:paraId="33E4BCE4" w14:textId="35554F51" w:rsidR="00F4399B" w:rsidRDefault="00F4399B" w:rsidP="00F4399B">
      <w:pPr>
        <w:pStyle w:val="ListParagraph"/>
        <w:spacing w:beforeLines="50" w:before="120"/>
        <w:ind w:left="0"/>
        <w:jc w:val="both"/>
        <w:rPr>
          <w:rFonts w:ascii="Times New Roman" w:hAnsi="Times New Roman"/>
        </w:rPr>
      </w:pPr>
      <w:r>
        <w:rPr>
          <w:rFonts w:ascii="Times New Roman" w:hAnsi="Times New Roman"/>
        </w:rPr>
        <w:t xml:space="preserve">Essentially, the QCL relationship widely used in intra-cell M-TRP is no longer suitable for inter-cell M-TRP. </w:t>
      </w:r>
      <w:r w:rsidR="00004201">
        <w:rPr>
          <w:rFonts w:ascii="Times New Roman" w:hAnsi="Times New Roman"/>
        </w:rPr>
        <w:t xml:space="preserve">In contrast to the term QCL, we may use a term </w:t>
      </w:r>
      <w:r w:rsidR="00004201" w:rsidRPr="00004201">
        <w:rPr>
          <w:rFonts w:ascii="Times New Roman" w:hAnsi="Times New Roman"/>
        </w:rPr>
        <w:t>non-co-location (NCL)</w:t>
      </w:r>
      <w:r w:rsidR="00D065DD">
        <w:rPr>
          <w:rFonts w:ascii="Times New Roman" w:hAnsi="Times New Roman"/>
        </w:rPr>
        <w:t xml:space="preserve"> for convenience</w:t>
      </w:r>
      <w:r w:rsidR="00004201">
        <w:rPr>
          <w:rFonts w:ascii="Times New Roman" w:hAnsi="Times New Roman"/>
        </w:rPr>
        <w:t>.</w:t>
      </w:r>
      <w:r w:rsidR="009677AE">
        <w:rPr>
          <w:rFonts w:ascii="Times New Roman" w:hAnsi="Times New Roman"/>
        </w:rPr>
        <w:t xml:space="preserve"> This term may or may not need to be introduced in 3GPP standards, but it can be useful</w:t>
      </w:r>
      <w:r w:rsidR="00D065DD">
        <w:rPr>
          <w:rFonts w:ascii="Times New Roman" w:hAnsi="Times New Roman"/>
        </w:rPr>
        <w:t>/convenient</w:t>
      </w:r>
      <w:r w:rsidR="009677AE">
        <w:rPr>
          <w:rFonts w:ascii="Times New Roman" w:hAnsi="Times New Roman"/>
        </w:rPr>
        <w:t xml:space="preserve"> in discussions to emphasize the fundamental difference between intra-cell M-TRP and inter-cell M-TRP.</w:t>
      </w:r>
      <w:r w:rsidR="00F75F40">
        <w:rPr>
          <w:rFonts w:ascii="Times New Roman" w:hAnsi="Times New Roman"/>
        </w:rPr>
        <w:t xml:space="preserve"> Therefore, for intra-cell M-TRP versus inter-cell M-TRP:</w:t>
      </w:r>
    </w:p>
    <w:p w14:paraId="0AB64143" w14:textId="29A4F7C1" w:rsidR="00F75F40" w:rsidRDefault="00F75F40" w:rsidP="00F75F40">
      <w:pPr>
        <w:pStyle w:val="ListParagraph"/>
        <w:numPr>
          <w:ilvl w:val="0"/>
          <w:numId w:val="26"/>
        </w:numPr>
        <w:spacing w:beforeLines="50" w:before="120"/>
        <w:jc w:val="both"/>
        <w:rPr>
          <w:rFonts w:ascii="Times New Roman" w:hAnsi="Times New Roman"/>
        </w:rPr>
      </w:pPr>
      <w:r>
        <w:rPr>
          <w:rFonts w:ascii="Times New Roman" w:hAnsi="Times New Roman"/>
        </w:rPr>
        <w:t xml:space="preserve">For an </w:t>
      </w:r>
      <w:r w:rsidRPr="00162DAB">
        <w:rPr>
          <w:rFonts w:ascii="Times New Roman" w:hAnsi="Times New Roman"/>
          <w:b/>
          <w:bCs/>
        </w:rPr>
        <w:t>intra-cell</w:t>
      </w:r>
      <w:r>
        <w:rPr>
          <w:rFonts w:ascii="Times New Roman" w:hAnsi="Times New Roman"/>
        </w:rPr>
        <w:t xml:space="preserve"> M-TRP, a signal/antenna port is directly or indirectly quasi-co-located (</w:t>
      </w:r>
      <w:r w:rsidRPr="00162DAB">
        <w:rPr>
          <w:rFonts w:ascii="Times New Roman" w:hAnsi="Times New Roman"/>
          <w:b/>
          <w:bCs/>
        </w:rPr>
        <w:t>QCL</w:t>
      </w:r>
      <w:r>
        <w:rPr>
          <w:rFonts w:ascii="Times New Roman" w:hAnsi="Times New Roman"/>
        </w:rPr>
        <w:t>ed) to the serving cell (i.e., the serving cell’s SSB).</w:t>
      </w:r>
    </w:p>
    <w:p w14:paraId="6A790252" w14:textId="2EAC10F6" w:rsidR="00F75F40" w:rsidRDefault="00F75F40" w:rsidP="00F75F40">
      <w:pPr>
        <w:pStyle w:val="ListParagraph"/>
        <w:numPr>
          <w:ilvl w:val="0"/>
          <w:numId w:val="26"/>
        </w:numPr>
        <w:spacing w:beforeLines="50" w:before="120"/>
        <w:jc w:val="both"/>
        <w:rPr>
          <w:rFonts w:ascii="Times New Roman" w:hAnsi="Times New Roman"/>
        </w:rPr>
      </w:pPr>
      <w:r>
        <w:rPr>
          <w:rFonts w:ascii="Times New Roman" w:hAnsi="Times New Roman"/>
        </w:rPr>
        <w:t xml:space="preserve">For an </w:t>
      </w:r>
      <w:r w:rsidRPr="00162DAB">
        <w:rPr>
          <w:rFonts w:ascii="Times New Roman" w:hAnsi="Times New Roman"/>
          <w:b/>
          <w:bCs/>
        </w:rPr>
        <w:t>inter-cell</w:t>
      </w:r>
      <w:r>
        <w:rPr>
          <w:rFonts w:ascii="Times New Roman" w:hAnsi="Times New Roman"/>
        </w:rPr>
        <w:t xml:space="preserve"> M-TRP, a signal/antenna port is </w:t>
      </w:r>
      <w:r w:rsidRPr="00004201">
        <w:rPr>
          <w:rFonts w:ascii="Times New Roman" w:hAnsi="Times New Roman"/>
        </w:rPr>
        <w:t>non-co-locat</w:t>
      </w:r>
      <w:r>
        <w:rPr>
          <w:rFonts w:ascii="Times New Roman" w:hAnsi="Times New Roman"/>
        </w:rPr>
        <w:t>ed</w:t>
      </w:r>
      <w:r w:rsidRPr="00004201">
        <w:rPr>
          <w:rFonts w:ascii="Times New Roman" w:hAnsi="Times New Roman"/>
        </w:rPr>
        <w:t xml:space="preserve"> (</w:t>
      </w:r>
      <w:r w:rsidRPr="00162DAB">
        <w:rPr>
          <w:rFonts w:ascii="Times New Roman" w:hAnsi="Times New Roman"/>
          <w:b/>
          <w:bCs/>
        </w:rPr>
        <w:t>NCL</w:t>
      </w:r>
      <w:r>
        <w:rPr>
          <w:rFonts w:ascii="Times New Roman" w:hAnsi="Times New Roman"/>
        </w:rPr>
        <w:t>ed</w:t>
      </w:r>
      <w:r w:rsidRPr="00004201">
        <w:rPr>
          <w:rFonts w:ascii="Times New Roman" w:hAnsi="Times New Roman"/>
        </w:rPr>
        <w:t>)</w:t>
      </w:r>
      <w:r>
        <w:rPr>
          <w:rFonts w:ascii="Times New Roman" w:hAnsi="Times New Roman"/>
        </w:rPr>
        <w:t xml:space="preserve"> to the serving cell (i.e., the serving cell’s SSB) and is directly or indirectly QCLed to </w:t>
      </w:r>
      <w:r w:rsidR="00B77F08">
        <w:rPr>
          <w:rFonts w:ascii="Times New Roman" w:hAnsi="Times New Roman"/>
        </w:rPr>
        <w:t>the</w:t>
      </w:r>
      <w:r>
        <w:rPr>
          <w:rFonts w:ascii="Times New Roman" w:hAnsi="Times New Roman"/>
        </w:rPr>
        <w:t xml:space="preserve"> </w:t>
      </w:r>
      <w:r w:rsidR="00B77F08">
        <w:rPr>
          <w:rFonts w:ascii="Times New Roman" w:hAnsi="Times New Roman"/>
        </w:rPr>
        <w:t>non-</w:t>
      </w:r>
      <w:r>
        <w:rPr>
          <w:rFonts w:ascii="Times New Roman" w:hAnsi="Times New Roman"/>
        </w:rPr>
        <w:t>serving cell’s SSB.</w:t>
      </w:r>
    </w:p>
    <w:p w14:paraId="1890DDF7" w14:textId="77777777" w:rsidR="00326D5B" w:rsidRDefault="00326D5B" w:rsidP="00326D5B">
      <w:pPr>
        <w:pStyle w:val="ListParagraph"/>
        <w:spacing w:beforeLines="50" w:before="120"/>
        <w:ind w:left="360"/>
        <w:jc w:val="both"/>
        <w:rPr>
          <w:rFonts w:ascii="Times New Roman" w:hAnsi="Times New Roman"/>
        </w:rPr>
      </w:pPr>
    </w:p>
    <w:p w14:paraId="790B561C" w14:textId="3074AE45" w:rsidR="00116643" w:rsidRPr="00BD5373" w:rsidRDefault="00592623" w:rsidP="00D73A25">
      <w:pPr>
        <w:pStyle w:val="ListParagraph"/>
        <w:spacing w:beforeLines="50" w:before="120"/>
        <w:ind w:left="0"/>
        <w:jc w:val="both"/>
        <w:rPr>
          <w:rFonts w:ascii="Times New Roman" w:hAnsi="Times New Roman"/>
        </w:rPr>
      </w:pPr>
      <w:r w:rsidRPr="00BD5373">
        <w:rPr>
          <w:rFonts w:ascii="Times New Roman" w:hAnsi="Times New Roman"/>
          <w:b/>
          <w:u w:val="single"/>
        </w:rPr>
        <w:t>Proposal 2</w:t>
      </w:r>
      <w:r w:rsidRPr="00BD5373">
        <w:rPr>
          <w:rFonts w:ascii="Times New Roman" w:hAnsi="Times New Roman"/>
          <w:b/>
        </w:rPr>
        <w:t xml:space="preserve">: For </w:t>
      </w:r>
      <w:r w:rsidR="00AD2F03">
        <w:rPr>
          <w:rFonts w:ascii="Times New Roman" w:hAnsi="Times New Roman"/>
          <w:b/>
        </w:rPr>
        <w:t xml:space="preserve">an </w:t>
      </w:r>
      <w:r w:rsidRPr="00BD5373">
        <w:rPr>
          <w:rFonts w:ascii="Times New Roman" w:hAnsi="Times New Roman"/>
          <w:b/>
        </w:rPr>
        <w:t>inter-cell TRP</w:t>
      </w:r>
      <w:r w:rsidR="00AD2F03">
        <w:rPr>
          <w:rFonts w:ascii="Times New Roman" w:hAnsi="Times New Roman"/>
          <w:b/>
        </w:rPr>
        <w:t xml:space="preserve">, </w:t>
      </w:r>
      <w:r w:rsidR="00AD2F03" w:rsidRPr="00AD2F03">
        <w:rPr>
          <w:rFonts w:ascii="Times New Roman" w:hAnsi="Times New Roman"/>
          <w:b/>
        </w:rPr>
        <w:t>a signal/antenna port is non-co-located (NCLed) to the serving cell (i.e., the serving cell’s SSB) and is directly or indirectly QCLed to the non-serving cell’s SSB</w:t>
      </w:r>
      <w:r w:rsidR="00BD5373">
        <w:rPr>
          <w:rFonts w:ascii="Times New Roman" w:hAnsi="Times New Roman"/>
          <w:b/>
        </w:rPr>
        <w:t>.</w:t>
      </w:r>
    </w:p>
    <w:p w14:paraId="512DB0A0" w14:textId="77777777" w:rsidR="000F0079" w:rsidRDefault="000F0079" w:rsidP="00D73A25">
      <w:pPr>
        <w:pStyle w:val="ListParagraph"/>
        <w:spacing w:beforeLines="50" w:before="120"/>
        <w:ind w:left="0"/>
        <w:jc w:val="both"/>
        <w:rPr>
          <w:rFonts w:ascii="Times New Roman" w:hAnsi="Times New Roman"/>
        </w:rPr>
      </w:pPr>
    </w:p>
    <w:p w14:paraId="1FD272E9" w14:textId="35C5E684" w:rsidR="000924AF" w:rsidRDefault="000924AF" w:rsidP="000924AF">
      <w:pPr>
        <w:pStyle w:val="Heading2"/>
      </w:pPr>
      <w:r>
        <w:t>PCI</w:t>
      </w:r>
      <w:r w:rsidR="00064A09">
        <w:t xml:space="preserve"> indication</w:t>
      </w:r>
    </w:p>
    <w:p w14:paraId="58D1B995" w14:textId="2358EE29" w:rsidR="0082113E" w:rsidRDefault="0082113E" w:rsidP="0082113E">
      <w:pPr>
        <w:pStyle w:val="ListParagraph"/>
        <w:spacing w:beforeLines="50" w:before="120"/>
        <w:ind w:left="0"/>
        <w:jc w:val="both"/>
        <w:rPr>
          <w:rFonts w:ascii="Times New Roman" w:hAnsi="Times New Roman"/>
        </w:rPr>
      </w:pPr>
      <w:r>
        <w:rPr>
          <w:rFonts w:ascii="Times New Roman" w:hAnsi="Times New Roman"/>
        </w:rPr>
        <w:t>As agreed, non-serving PCI needs to be included for inter-cell M-TRP operation, but whether the indication of PCI should be implicit or explicit needs to be decided. For this purpose, we can revisit/reuse some relevant Rel-16 design if possible.</w:t>
      </w:r>
    </w:p>
    <w:p w14:paraId="5F3308DF" w14:textId="4B65B2E3" w:rsidR="0082113E" w:rsidRDefault="0082113E" w:rsidP="0082113E">
      <w:pPr>
        <w:pStyle w:val="ListParagraph"/>
        <w:spacing w:beforeLines="50" w:before="120"/>
        <w:ind w:left="0"/>
        <w:jc w:val="both"/>
        <w:rPr>
          <w:rFonts w:ascii="Times New Roman" w:hAnsi="Times New Roman"/>
        </w:rPr>
      </w:pPr>
      <w:r w:rsidRPr="00D76896">
        <w:rPr>
          <w:rFonts w:ascii="Times New Roman" w:hAnsi="Times New Roman"/>
        </w:rPr>
        <w:t>In Rel-16 design, the SSB of an inter-cell TRP cannot be configured/acquired based on existing standardized mechanisms for serving cells (PCell and SCells)</w:t>
      </w:r>
      <w:r>
        <w:rPr>
          <w:rFonts w:ascii="Times New Roman" w:hAnsi="Times New Roman"/>
        </w:rPr>
        <w:t xml:space="preserve"> in most of the features. The exception is for the UE sounding procedure for positioning purposes, so that the UE can transmit SRS based on the pathloss to a neighboring/non-serving cell</w:t>
      </w:r>
      <w:r w:rsidR="00954ADF">
        <w:rPr>
          <w:rFonts w:ascii="Times New Roman" w:hAnsi="Times New Roman"/>
        </w:rPr>
        <w:t xml:space="preserve">, called </w:t>
      </w:r>
      <w:r w:rsidR="00EB5B85">
        <w:rPr>
          <w:rFonts w:ascii="Times New Roman" w:hAnsi="Times New Roman"/>
        </w:rPr>
        <w:t>NC</w:t>
      </w:r>
      <w:r w:rsidR="00954ADF">
        <w:rPr>
          <w:rFonts w:ascii="Times New Roman" w:hAnsi="Times New Roman"/>
        </w:rPr>
        <w:t>ell</w:t>
      </w:r>
      <w:r>
        <w:rPr>
          <w:rFonts w:ascii="Times New Roman" w:hAnsi="Times New Roman"/>
        </w:rPr>
        <w:t>. Some related excerpts from TS38.214 and TS38.331 are:</w:t>
      </w:r>
    </w:p>
    <w:tbl>
      <w:tblPr>
        <w:tblW w:w="909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90"/>
      </w:tblGrid>
      <w:tr w:rsidR="0082113E" w14:paraId="1E41300A" w14:textId="77777777" w:rsidTr="00F0357D">
        <w:trPr>
          <w:trHeight w:val="6117"/>
        </w:trPr>
        <w:tc>
          <w:tcPr>
            <w:tcW w:w="9090" w:type="dxa"/>
          </w:tcPr>
          <w:p w14:paraId="43E837DE" w14:textId="77777777" w:rsidR="0082113E" w:rsidRPr="00C94652" w:rsidRDefault="0082113E" w:rsidP="00F0357D">
            <w:pPr>
              <w:keepNext/>
              <w:keepLines/>
              <w:autoSpaceDE/>
              <w:autoSpaceDN/>
              <w:adjustRightInd/>
              <w:snapToGrid/>
              <w:spacing w:before="120" w:after="180"/>
              <w:ind w:left="58"/>
              <w:jc w:val="left"/>
              <w:outlineLvl w:val="3"/>
              <w:rPr>
                <w:rFonts w:ascii="Arial" w:hAnsi="Arial"/>
                <w:sz w:val="24"/>
                <w:szCs w:val="20"/>
                <w:lang w:val="x-none"/>
              </w:rPr>
            </w:pPr>
            <w:bookmarkStart w:id="3" w:name="_Toc52457846"/>
            <w:bookmarkStart w:id="4" w:name="_Toc45810636"/>
            <w:bookmarkStart w:id="5" w:name="_Toc36645587"/>
            <w:bookmarkStart w:id="6" w:name="_Toc29674357"/>
            <w:bookmarkStart w:id="7" w:name="_Toc29673364"/>
            <w:bookmarkStart w:id="8" w:name="_Toc29673223"/>
            <w:r w:rsidRPr="00C94652">
              <w:rPr>
                <w:rFonts w:ascii="Arial" w:hAnsi="Arial"/>
                <w:sz w:val="24"/>
                <w:szCs w:val="20"/>
                <w:lang w:val="x-none"/>
              </w:rPr>
              <w:lastRenderedPageBreak/>
              <w:t>6.2.1.4</w:t>
            </w:r>
            <w:r w:rsidRPr="00C94652">
              <w:rPr>
                <w:rFonts w:ascii="Arial" w:hAnsi="Arial"/>
                <w:sz w:val="24"/>
                <w:szCs w:val="20"/>
                <w:lang w:val="x-none"/>
              </w:rPr>
              <w:tab/>
              <w:t>UE sounding procedure for positioning purposes</w:t>
            </w:r>
          </w:p>
          <w:p w14:paraId="3EB405DB" w14:textId="77777777" w:rsidR="0082113E" w:rsidRDefault="0082113E" w:rsidP="00F0357D">
            <w:pPr>
              <w:autoSpaceDE/>
              <w:autoSpaceDN/>
              <w:adjustRightInd/>
              <w:snapToGrid/>
              <w:spacing w:after="180"/>
              <w:ind w:left="58"/>
              <w:jc w:val="left"/>
              <w:rPr>
                <w:sz w:val="20"/>
                <w:szCs w:val="20"/>
                <w:lang w:val="en-GB"/>
              </w:rPr>
            </w:pPr>
            <w:r w:rsidRPr="00C94652">
              <w:rPr>
                <w:sz w:val="20"/>
                <w:szCs w:val="20"/>
                <w:lang w:val="en-GB"/>
              </w:rPr>
              <w:t xml:space="preserve">When the SRS is configured by the higher layer parameter </w:t>
            </w:r>
            <w:r w:rsidRPr="00C94652">
              <w:rPr>
                <w:i/>
                <w:iCs/>
                <w:sz w:val="20"/>
                <w:szCs w:val="20"/>
                <w:lang w:val="en-GB"/>
              </w:rPr>
              <w:t>SRS-PosResource-r16</w:t>
            </w:r>
            <w:r w:rsidRPr="00C94652">
              <w:rPr>
                <w:sz w:val="20"/>
                <w:szCs w:val="20"/>
                <w:lang w:val="en-GB"/>
              </w:rPr>
              <w:t xml:space="preserve"> and if the higher layer parameter </w:t>
            </w:r>
            <w:r w:rsidRPr="00C94652">
              <w:rPr>
                <w:i/>
                <w:sz w:val="20"/>
                <w:szCs w:val="20"/>
                <w:lang w:val="en-GB"/>
              </w:rPr>
              <w:t xml:space="preserve">spatialRelationInfoPos-r16 </w:t>
            </w:r>
            <w:r w:rsidRPr="00C94652">
              <w:rPr>
                <w:sz w:val="20"/>
                <w:szCs w:val="20"/>
                <w:lang w:val="en-GB"/>
              </w:rPr>
              <w:t>is configured</w:t>
            </w:r>
            <w:r w:rsidRPr="00C94652">
              <w:rPr>
                <w:i/>
                <w:sz w:val="20"/>
                <w:szCs w:val="20"/>
                <w:lang w:val="en-GB"/>
              </w:rPr>
              <w:t xml:space="preserve">, </w:t>
            </w:r>
            <w:r w:rsidRPr="00C94652">
              <w:rPr>
                <w:sz w:val="20"/>
                <w:szCs w:val="20"/>
                <w:lang w:val="en-GB"/>
              </w:rPr>
              <w:t xml:space="preserve">it contains the ID of the configuration fields of a reference RS according to Clause 6.3.2 of [TS 38.331]. The reference RS can be an SRS configured by the higher layer parameter </w:t>
            </w:r>
            <w:r w:rsidRPr="00C94652">
              <w:rPr>
                <w:i/>
                <w:iCs/>
                <w:sz w:val="20"/>
                <w:szCs w:val="20"/>
                <w:lang w:val="en-GB"/>
              </w:rPr>
              <w:t>SRS-Resource</w:t>
            </w:r>
            <w:r w:rsidRPr="00C94652">
              <w:rPr>
                <w:sz w:val="20"/>
                <w:szCs w:val="20"/>
                <w:lang w:val="en-GB"/>
              </w:rPr>
              <w:t xml:space="preserve"> or </w:t>
            </w:r>
            <w:r w:rsidRPr="00C94652">
              <w:rPr>
                <w:i/>
                <w:iCs/>
                <w:sz w:val="20"/>
                <w:szCs w:val="20"/>
                <w:lang w:val="en-GB"/>
              </w:rPr>
              <w:t>SRS-PosResource-r16</w:t>
            </w:r>
            <w:r w:rsidRPr="00C94652">
              <w:rPr>
                <w:sz w:val="20"/>
                <w:szCs w:val="20"/>
                <w:lang w:val="en-GB"/>
              </w:rPr>
              <w:t xml:space="preserve">, CSI-RS, SS/PBCH block, or a DL PRS configured on a serving cell or a SS/PBCH block or a DL PRS configured on a non-serving cell. </w:t>
            </w:r>
          </w:p>
          <w:p w14:paraId="1B5183F8" w14:textId="77777777" w:rsidR="0082113E" w:rsidRPr="008F0A5A" w:rsidRDefault="0082113E" w:rsidP="00F0357D">
            <w:pPr>
              <w:rPr>
                <w:sz w:val="18"/>
                <w:szCs w:val="18"/>
              </w:rPr>
            </w:pPr>
            <w:r w:rsidRPr="008F0A5A">
              <w:rPr>
                <w:sz w:val="20"/>
                <w:szCs w:val="20"/>
              </w:rPr>
              <w:t>The UE is not expected to transmit multiple SRS resources with different spatial relations in the same OFDM symbol.</w:t>
            </w:r>
          </w:p>
          <w:p w14:paraId="214079AB" w14:textId="77777777" w:rsidR="0082113E" w:rsidRPr="008F0A5A" w:rsidRDefault="0082113E" w:rsidP="00F0357D">
            <w:pPr>
              <w:rPr>
                <w:sz w:val="20"/>
                <w:szCs w:val="20"/>
              </w:rPr>
            </w:pPr>
            <w:r w:rsidRPr="008F0A5A">
              <w:rPr>
                <w:sz w:val="20"/>
                <w:szCs w:val="20"/>
              </w:rPr>
              <w:t xml:space="preserve">If the UE is not configured with the higher layer parameter </w:t>
            </w:r>
            <w:r w:rsidRPr="008F0A5A">
              <w:rPr>
                <w:i/>
                <w:sz w:val="20"/>
                <w:szCs w:val="20"/>
              </w:rPr>
              <w:t>spatialRelationInfoPos-r16</w:t>
            </w:r>
            <w:r w:rsidRPr="008F0A5A">
              <w:rPr>
                <w:sz w:val="20"/>
                <w:szCs w:val="20"/>
              </w:rPr>
              <w:t xml:space="preserve"> the UE may use a fixed spatial domain transmission filter for transmissions of the SRS configured by the higher layer parameter </w:t>
            </w:r>
            <w:r w:rsidRPr="008F0A5A">
              <w:rPr>
                <w:i/>
                <w:iCs/>
                <w:sz w:val="20"/>
                <w:szCs w:val="20"/>
              </w:rPr>
              <w:t xml:space="preserve">SRS-PosResource-r16 </w:t>
            </w:r>
            <w:r w:rsidRPr="008F0A5A">
              <w:rPr>
                <w:sz w:val="20"/>
                <w:szCs w:val="20"/>
              </w:rPr>
              <w:t xml:space="preserve">across multiple SRS resources or it may use a different spatial domain transmission filter across multiple SRS resources. </w:t>
            </w:r>
          </w:p>
          <w:p w14:paraId="41884DEB" w14:textId="77777777" w:rsidR="0082113E" w:rsidRPr="008F0A5A" w:rsidRDefault="0082113E" w:rsidP="00F0357D">
            <w:pPr>
              <w:rPr>
                <w:sz w:val="20"/>
                <w:szCs w:val="20"/>
              </w:rPr>
            </w:pPr>
            <w:r w:rsidRPr="008F0A5A">
              <w:rPr>
                <w:sz w:val="20"/>
                <w:szCs w:val="20"/>
              </w:rPr>
              <w:t xml:space="preserve">The UE is only expected to transmit an SRS configured the by the higher layer parameter </w:t>
            </w:r>
            <w:r w:rsidRPr="008F0A5A">
              <w:rPr>
                <w:i/>
                <w:iCs/>
                <w:sz w:val="20"/>
                <w:szCs w:val="20"/>
              </w:rPr>
              <w:t xml:space="preserve">SRS-PosResource-r16 </w:t>
            </w:r>
            <w:r w:rsidRPr="008F0A5A">
              <w:rPr>
                <w:sz w:val="20"/>
                <w:szCs w:val="20"/>
              </w:rPr>
              <w:t>within the active UL BWP of the UE.</w:t>
            </w:r>
          </w:p>
          <w:p w14:paraId="2521FE13" w14:textId="77777777" w:rsidR="0082113E" w:rsidRPr="008F0A5A" w:rsidRDefault="0082113E" w:rsidP="00F0357D">
            <w:pPr>
              <w:rPr>
                <w:sz w:val="20"/>
                <w:szCs w:val="20"/>
              </w:rPr>
            </w:pPr>
            <w:r w:rsidRPr="008F0A5A">
              <w:rPr>
                <w:sz w:val="20"/>
                <w:szCs w:val="20"/>
              </w:rPr>
              <w:t xml:space="preserve">When the configuration of SRS is done by the higher layer parameter </w:t>
            </w:r>
            <w:r w:rsidRPr="008F0A5A">
              <w:rPr>
                <w:i/>
                <w:iCs/>
                <w:sz w:val="20"/>
                <w:szCs w:val="20"/>
              </w:rPr>
              <w:t>SRS-PosResource-r16</w:t>
            </w:r>
            <w:r w:rsidRPr="008F0A5A">
              <w:rPr>
                <w:sz w:val="20"/>
                <w:szCs w:val="20"/>
              </w:rPr>
              <w:t xml:space="preserve">, the UE can only be provided with a single RS source in </w:t>
            </w:r>
            <w:r w:rsidRPr="008F0A5A">
              <w:rPr>
                <w:i/>
                <w:sz w:val="20"/>
                <w:szCs w:val="20"/>
              </w:rPr>
              <w:t>spatialRelationInfoPos-r16</w:t>
            </w:r>
            <w:r w:rsidRPr="008F0A5A">
              <w:rPr>
                <w:sz w:val="20"/>
                <w:szCs w:val="20"/>
              </w:rPr>
              <w:t xml:space="preserve"> per SRS resource for positioning.</w:t>
            </w:r>
          </w:p>
          <w:p w14:paraId="241CE03E" w14:textId="77777777" w:rsidR="0082113E" w:rsidRPr="008F0A5A" w:rsidRDefault="0082113E" w:rsidP="00F0357D">
            <w:pPr>
              <w:rPr>
                <w:sz w:val="20"/>
                <w:szCs w:val="20"/>
              </w:rPr>
            </w:pPr>
            <w:r w:rsidRPr="008F0A5A">
              <w:rPr>
                <w:sz w:val="20"/>
                <w:szCs w:val="20"/>
              </w:rPr>
              <w:t xml:space="preserve">For operation on the same carrier, if an SRS configured by the higher parameter </w:t>
            </w:r>
            <w:r w:rsidRPr="008F0A5A">
              <w:rPr>
                <w:i/>
                <w:iCs/>
                <w:sz w:val="20"/>
                <w:szCs w:val="20"/>
              </w:rPr>
              <w:t xml:space="preserve">SRS-PosResource-r16 </w:t>
            </w:r>
            <w:r w:rsidRPr="008F0A5A">
              <w:rPr>
                <w:sz w:val="20"/>
                <w:szCs w:val="20"/>
              </w:rPr>
              <w:t xml:space="preserve">collides with a scheduled PUSCH, the SRS is dropped in the symbols where the collision occurs. </w:t>
            </w:r>
          </w:p>
          <w:p w14:paraId="02D36CFD" w14:textId="77777777" w:rsidR="0082113E" w:rsidRPr="00C94652" w:rsidRDefault="0082113E" w:rsidP="00F0357D">
            <w:pPr>
              <w:rPr>
                <w:lang w:val="en-GB"/>
              </w:rPr>
            </w:pPr>
            <w:r w:rsidRPr="008F0A5A">
              <w:rPr>
                <w:sz w:val="20"/>
                <w:szCs w:val="20"/>
              </w:rPr>
              <w:t xml:space="preserve">The UE does not expect to be configured with </w:t>
            </w:r>
            <w:r w:rsidRPr="008F0A5A">
              <w:rPr>
                <w:i/>
                <w:sz w:val="20"/>
                <w:szCs w:val="20"/>
              </w:rPr>
              <w:t>SRS-PosResource-r16</w:t>
            </w:r>
            <w:r w:rsidRPr="008F0A5A">
              <w:rPr>
                <w:sz w:val="20"/>
                <w:szCs w:val="20"/>
              </w:rPr>
              <w:t xml:space="preserve"> on a BWP not configured with PUSCH/PUCCH transmission.</w:t>
            </w:r>
          </w:p>
          <w:tbl>
            <w:tblPr>
              <w:tblW w:w="8737"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37"/>
            </w:tblGrid>
            <w:tr w:rsidR="0082113E" w14:paraId="63321502" w14:textId="77777777" w:rsidTr="00F0357D">
              <w:tc>
                <w:tcPr>
                  <w:tcW w:w="8737" w:type="dxa"/>
                  <w:tcBorders>
                    <w:top w:val="single" w:sz="4" w:space="0" w:color="auto"/>
                    <w:left w:val="single" w:sz="4" w:space="0" w:color="auto"/>
                    <w:bottom w:val="single" w:sz="4" w:space="0" w:color="auto"/>
                    <w:right w:val="single" w:sz="4" w:space="0" w:color="auto"/>
                  </w:tcBorders>
                  <w:hideMark/>
                </w:tcPr>
                <w:p w14:paraId="0408DDD0" w14:textId="77777777" w:rsidR="0082113E" w:rsidRDefault="0082113E" w:rsidP="00F0357D">
                  <w:pPr>
                    <w:pStyle w:val="TAH"/>
                    <w:ind w:left="360"/>
                    <w:rPr>
                      <w:szCs w:val="22"/>
                    </w:rPr>
                  </w:pPr>
                  <w:r>
                    <w:rPr>
                      <w:i/>
                      <w:szCs w:val="22"/>
                    </w:rPr>
                    <w:t xml:space="preserve">SSB-InfoNCell </w:t>
                  </w:r>
                  <w:r>
                    <w:rPr>
                      <w:szCs w:val="22"/>
                    </w:rPr>
                    <w:t>field descriptions</w:t>
                  </w:r>
                </w:p>
              </w:tc>
            </w:tr>
            <w:tr w:rsidR="0082113E" w14:paraId="589D5B8A" w14:textId="77777777" w:rsidTr="00F0357D">
              <w:tc>
                <w:tcPr>
                  <w:tcW w:w="8737" w:type="dxa"/>
                  <w:tcBorders>
                    <w:top w:val="single" w:sz="4" w:space="0" w:color="auto"/>
                    <w:left w:val="single" w:sz="4" w:space="0" w:color="auto"/>
                    <w:bottom w:val="single" w:sz="4" w:space="0" w:color="auto"/>
                    <w:right w:val="single" w:sz="4" w:space="0" w:color="auto"/>
                  </w:tcBorders>
                  <w:hideMark/>
                </w:tcPr>
                <w:p w14:paraId="135CD126" w14:textId="77777777" w:rsidR="0082113E" w:rsidRDefault="0082113E" w:rsidP="00F0357D">
                  <w:pPr>
                    <w:pStyle w:val="TAL"/>
                    <w:rPr>
                      <w:szCs w:val="22"/>
                    </w:rPr>
                  </w:pPr>
                  <w:r>
                    <w:rPr>
                      <w:b/>
                      <w:i/>
                      <w:szCs w:val="22"/>
                    </w:rPr>
                    <w:t>physicalCellId</w:t>
                  </w:r>
                </w:p>
                <w:p w14:paraId="6AD06AC8" w14:textId="77777777" w:rsidR="0082113E" w:rsidRDefault="0082113E" w:rsidP="00F0357D">
                  <w:pPr>
                    <w:pStyle w:val="TAL"/>
                    <w:rPr>
                      <w:szCs w:val="22"/>
                    </w:rPr>
                  </w:pPr>
                  <w:r>
                    <w:rPr>
                      <w:szCs w:val="18"/>
                    </w:rPr>
                    <w:t>This field specifies the physical cell ID of the neighbour cell for which SSB configuration is provided.</w:t>
                  </w:r>
                </w:p>
              </w:tc>
            </w:tr>
            <w:tr w:rsidR="0082113E" w14:paraId="6F80C844" w14:textId="77777777" w:rsidTr="00F0357D">
              <w:tc>
                <w:tcPr>
                  <w:tcW w:w="8737" w:type="dxa"/>
                  <w:tcBorders>
                    <w:top w:val="single" w:sz="4" w:space="0" w:color="auto"/>
                    <w:left w:val="single" w:sz="4" w:space="0" w:color="auto"/>
                    <w:bottom w:val="single" w:sz="4" w:space="0" w:color="auto"/>
                    <w:right w:val="single" w:sz="4" w:space="0" w:color="auto"/>
                  </w:tcBorders>
                  <w:hideMark/>
                </w:tcPr>
                <w:p w14:paraId="27CD91BB" w14:textId="77777777" w:rsidR="0082113E" w:rsidRDefault="0082113E" w:rsidP="00F0357D">
                  <w:pPr>
                    <w:pStyle w:val="TAL"/>
                    <w:rPr>
                      <w:b/>
                      <w:i/>
                      <w:szCs w:val="22"/>
                    </w:rPr>
                  </w:pPr>
                  <w:r>
                    <w:rPr>
                      <w:b/>
                      <w:i/>
                      <w:szCs w:val="22"/>
                    </w:rPr>
                    <w:t>ssb-IndexNcell</w:t>
                  </w:r>
                </w:p>
                <w:p w14:paraId="145C692F" w14:textId="77777777" w:rsidR="0082113E" w:rsidRDefault="0082113E" w:rsidP="00F0357D">
                  <w:pPr>
                    <w:pStyle w:val="TAL"/>
                    <w:rPr>
                      <w:i/>
                      <w:szCs w:val="22"/>
                    </w:rPr>
                  </w:pPr>
                  <w:r>
                    <w:rPr>
                      <w:szCs w:val="18"/>
                    </w:rPr>
                    <w:t xml:space="preserve">This field specifies the index of the SSB for a neighbour cell. See TS 38.213 [13]. </w:t>
                  </w:r>
                  <w:r>
                    <w:t xml:space="preserve">If this field is absent, the UE determines the </w:t>
                  </w:r>
                  <w:r>
                    <w:rPr>
                      <w:i/>
                      <w:iCs/>
                    </w:rPr>
                    <w:t>ssb-IndexNcell</w:t>
                  </w:r>
                  <w:r>
                    <w:t xml:space="preserve"> of the </w:t>
                  </w:r>
                  <w:r>
                    <w:rPr>
                      <w:i/>
                      <w:szCs w:val="22"/>
                    </w:rPr>
                    <w:t>physicalCellId</w:t>
                  </w:r>
                </w:p>
                <w:p w14:paraId="383BF708" w14:textId="77777777" w:rsidR="0082113E" w:rsidRDefault="0082113E" w:rsidP="00F0357D">
                  <w:pPr>
                    <w:pStyle w:val="TAL"/>
                    <w:rPr>
                      <w:b/>
                      <w:i/>
                      <w:szCs w:val="22"/>
                    </w:rPr>
                  </w:pPr>
                  <w:r>
                    <w:t>based on its SSB measurement from the cell.</w:t>
                  </w:r>
                </w:p>
              </w:tc>
            </w:tr>
            <w:tr w:rsidR="0082113E" w14:paraId="4D446B9F" w14:textId="77777777" w:rsidTr="00F0357D">
              <w:tc>
                <w:tcPr>
                  <w:tcW w:w="8737" w:type="dxa"/>
                  <w:tcBorders>
                    <w:top w:val="single" w:sz="4" w:space="0" w:color="auto"/>
                    <w:left w:val="single" w:sz="4" w:space="0" w:color="auto"/>
                    <w:bottom w:val="single" w:sz="4" w:space="0" w:color="auto"/>
                    <w:right w:val="single" w:sz="4" w:space="0" w:color="auto"/>
                  </w:tcBorders>
                  <w:hideMark/>
                </w:tcPr>
                <w:p w14:paraId="3A8FDB27" w14:textId="77777777" w:rsidR="0082113E" w:rsidRDefault="0082113E" w:rsidP="00F0357D">
                  <w:pPr>
                    <w:pStyle w:val="TAL"/>
                    <w:rPr>
                      <w:b/>
                      <w:i/>
                      <w:szCs w:val="22"/>
                    </w:rPr>
                  </w:pPr>
                  <w:r>
                    <w:rPr>
                      <w:b/>
                      <w:i/>
                      <w:szCs w:val="22"/>
                    </w:rPr>
                    <w:t>ssb-Configuration</w:t>
                  </w:r>
                </w:p>
                <w:p w14:paraId="3BD74A26" w14:textId="77777777" w:rsidR="0082113E" w:rsidRDefault="0082113E" w:rsidP="00F0357D">
                  <w:pPr>
                    <w:pStyle w:val="TAL"/>
                    <w:rPr>
                      <w:b/>
                      <w:sz w:val="16"/>
                      <w:szCs w:val="22"/>
                    </w:rPr>
                  </w:pPr>
                  <w:r>
                    <w:rPr>
                      <w:szCs w:val="18"/>
                    </w:rPr>
                    <w:t xml:space="preserve">This field specifies the full configuration of the SSB. If this field is absent, the UE obtains the configuration for the SSB from </w:t>
                  </w:r>
                  <w:r>
                    <w:rPr>
                      <w:i/>
                      <w:szCs w:val="18"/>
                    </w:rPr>
                    <w:t>nr-SSB-Config</w:t>
                  </w:r>
                  <w:r>
                    <w:rPr>
                      <w:iCs/>
                      <w:szCs w:val="18"/>
                    </w:rPr>
                    <w:t xml:space="preserve"> received as part of DL PRS assistance data in LPP</w:t>
                  </w:r>
                  <w:r>
                    <w:rPr>
                      <w:i/>
                      <w:szCs w:val="18"/>
                    </w:rPr>
                    <w:t>,</w:t>
                  </w:r>
                  <w:r>
                    <w:rPr>
                      <w:szCs w:val="18"/>
                    </w:rPr>
                    <w:t xml:space="preserve"> see TS 37.355 [49], by looking up the corresponding SSB configuration using the field </w:t>
                  </w:r>
                  <w:r>
                    <w:rPr>
                      <w:i/>
                      <w:szCs w:val="18"/>
                    </w:rPr>
                    <w:t>physicalCellId</w:t>
                  </w:r>
                  <w:r>
                    <w:rPr>
                      <w:szCs w:val="18"/>
                    </w:rPr>
                    <w:t>.</w:t>
                  </w:r>
                </w:p>
              </w:tc>
            </w:tr>
          </w:tbl>
          <w:p w14:paraId="54E1881B" w14:textId="77777777" w:rsidR="0082113E" w:rsidRDefault="0082113E" w:rsidP="00F0357D">
            <w:pPr>
              <w:pStyle w:val="PL"/>
              <w:ind w:left="58"/>
            </w:pPr>
            <w:r>
              <w:t xml:space="preserve">    pathlossReferenceRS-Pos-r16                 </w:t>
            </w:r>
            <w:r>
              <w:rPr>
                <w:color w:val="993366"/>
              </w:rPr>
              <w:t>CHOICE</w:t>
            </w:r>
            <w:r>
              <w:t xml:space="preserve"> {</w:t>
            </w:r>
          </w:p>
          <w:p w14:paraId="6B2F4960" w14:textId="77777777" w:rsidR="0082113E" w:rsidRDefault="0082113E" w:rsidP="00F0357D">
            <w:pPr>
              <w:pStyle w:val="PL"/>
              <w:ind w:left="58"/>
            </w:pPr>
            <w:r>
              <w:t xml:space="preserve">        ssb-IndexServing-r16                        SSB-Index,</w:t>
            </w:r>
          </w:p>
          <w:p w14:paraId="101ED25A" w14:textId="77777777" w:rsidR="0082113E" w:rsidRDefault="0082113E" w:rsidP="00F0357D">
            <w:pPr>
              <w:pStyle w:val="PL"/>
              <w:ind w:left="58"/>
            </w:pPr>
            <w:r>
              <w:t xml:space="preserve">        ssb-Ncell-r16                               SSB-InfoNcell-r16,</w:t>
            </w:r>
          </w:p>
          <w:p w14:paraId="09787E85" w14:textId="77777777" w:rsidR="0082113E" w:rsidRDefault="0082113E" w:rsidP="00F0357D">
            <w:pPr>
              <w:pStyle w:val="PL"/>
              <w:ind w:left="58"/>
            </w:pPr>
            <w:r>
              <w:t xml:space="preserve">        dl-PRS-r16                                  DL-PRS-Info-r16</w:t>
            </w:r>
          </w:p>
          <w:p w14:paraId="6E9A7427" w14:textId="77777777" w:rsidR="0082113E" w:rsidRDefault="0082113E" w:rsidP="00F0357D">
            <w:pPr>
              <w:pStyle w:val="PL"/>
              <w:ind w:left="58"/>
              <w:rPr>
                <w:color w:val="808080"/>
              </w:rPr>
            </w:pPr>
            <w:r>
              <w:t xml:space="preserve">    }                                                                                                   </w:t>
            </w:r>
            <w:r>
              <w:rPr>
                <w:color w:val="993366"/>
              </w:rPr>
              <w:t>OPTIONAL</w:t>
            </w:r>
            <w:r>
              <w:t xml:space="preserve">, </w:t>
            </w:r>
            <w:r>
              <w:rPr>
                <w:color w:val="808080"/>
              </w:rPr>
              <w:t>-- Need M</w:t>
            </w:r>
          </w:p>
          <w:tbl>
            <w:tblPr>
              <w:tblW w:w="8737"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37"/>
            </w:tblGrid>
            <w:tr w:rsidR="0082113E" w14:paraId="50CB6BE4" w14:textId="77777777" w:rsidTr="00F0357D">
              <w:tc>
                <w:tcPr>
                  <w:tcW w:w="8737" w:type="dxa"/>
                  <w:tcBorders>
                    <w:top w:val="single" w:sz="4" w:space="0" w:color="auto"/>
                    <w:left w:val="single" w:sz="4" w:space="0" w:color="auto"/>
                    <w:bottom w:val="single" w:sz="4" w:space="0" w:color="auto"/>
                    <w:right w:val="single" w:sz="4" w:space="0" w:color="auto"/>
                  </w:tcBorders>
                  <w:hideMark/>
                </w:tcPr>
                <w:p w14:paraId="3666F315" w14:textId="77777777" w:rsidR="0082113E" w:rsidRDefault="0082113E" w:rsidP="00F0357D">
                  <w:pPr>
                    <w:pStyle w:val="TAL"/>
                    <w:rPr>
                      <w:b/>
                      <w:i/>
                      <w:szCs w:val="18"/>
                      <w:lang w:eastAsia="sv-SE"/>
                    </w:rPr>
                  </w:pPr>
                  <w:r>
                    <w:rPr>
                      <w:b/>
                      <w:i/>
                      <w:szCs w:val="18"/>
                      <w:lang w:eastAsia="sv-SE"/>
                    </w:rPr>
                    <w:t>ssb-IndexSevingcell</w:t>
                  </w:r>
                </w:p>
                <w:p w14:paraId="26882A4C" w14:textId="77777777" w:rsidR="0082113E" w:rsidRDefault="0082113E" w:rsidP="00F0357D">
                  <w:pPr>
                    <w:pStyle w:val="TAL"/>
                    <w:rPr>
                      <w:b/>
                      <w:i/>
                      <w:szCs w:val="18"/>
                      <w:lang w:eastAsia="sv-SE"/>
                    </w:rPr>
                  </w:pPr>
                  <w:r>
                    <w:rPr>
                      <w:szCs w:val="18"/>
                      <w:lang w:eastAsia="sv-SE"/>
                    </w:rPr>
                    <w:t>Indicates SSB index belonging to a serving cell</w:t>
                  </w:r>
                </w:p>
              </w:tc>
            </w:tr>
            <w:tr w:rsidR="0082113E" w14:paraId="78B3CBEC" w14:textId="77777777" w:rsidTr="00F0357D">
              <w:tc>
                <w:tcPr>
                  <w:tcW w:w="8737" w:type="dxa"/>
                  <w:tcBorders>
                    <w:top w:val="single" w:sz="4" w:space="0" w:color="auto"/>
                    <w:left w:val="single" w:sz="4" w:space="0" w:color="auto"/>
                    <w:bottom w:val="single" w:sz="4" w:space="0" w:color="auto"/>
                    <w:right w:val="single" w:sz="4" w:space="0" w:color="auto"/>
                  </w:tcBorders>
                  <w:hideMark/>
                </w:tcPr>
                <w:p w14:paraId="26F6F235" w14:textId="77777777" w:rsidR="0082113E" w:rsidRDefault="0082113E" w:rsidP="00F0357D">
                  <w:pPr>
                    <w:pStyle w:val="TAL"/>
                    <w:rPr>
                      <w:b/>
                      <w:bCs/>
                      <w:i/>
                      <w:iCs/>
                      <w:lang w:eastAsia="zh-CN"/>
                    </w:rPr>
                  </w:pPr>
                  <w:r>
                    <w:rPr>
                      <w:b/>
                      <w:bCs/>
                      <w:i/>
                      <w:iCs/>
                      <w:lang w:eastAsia="zh-CN"/>
                    </w:rPr>
                    <w:t>ssb-NCell</w:t>
                  </w:r>
                </w:p>
                <w:p w14:paraId="6AB68FB4" w14:textId="77777777" w:rsidR="0082113E" w:rsidRDefault="0082113E" w:rsidP="00F0357D">
                  <w:pPr>
                    <w:pStyle w:val="TAL"/>
                    <w:rPr>
                      <w:rFonts w:eastAsia="Times New Roman"/>
                      <w:b/>
                      <w:i/>
                      <w:szCs w:val="18"/>
                      <w:lang w:eastAsia="sv-SE"/>
                    </w:rPr>
                  </w:pPr>
                  <w:r>
                    <w:rPr>
                      <w:bCs/>
                      <w:iCs/>
                      <w:lang w:eastAsia="zh-CN"/>
                    </w:rPr>
                    <w:t>This field indicates a SSB configuration from neighboring cell</w:t>
                  </w:r>
                </w:p>
              </w:tc>
            </w:tr>
          </w:tbl>
          <w:p w14:paraId="24A30D47" w14:textId="77777777" w:rsidR="0082113E" w:rsidRDefault="0082113E" w:rsidP="00F0357D">
            <w:pPr>
              <w:keepNext/>
              <w:keepLines/>
              <w:autoSpaceDE/>
              <w:autoSpaceDN/>
              <w:adjustRightInd/>
              <w:snapToGrid/>
              <w:spacing w:before="120" w:after="180"/>
              <w:jc w:val="left"/>
              <w:outlineLvl w:val="3"/>
              <w:rPr>
                <w:rFonts w:ascii="Arial" w:hAnsi="Arial"/>
                <w:sz w:val="24"/>
                <w:szCs w:val="20"/>
                <w:lang w:val="x-none"/>
              </w:rPr>
            </w:pPr>
          </w:p>
        </w:tc>
      </w:tr>
    </w:tbl>
    <w:bookmarkEnd w:id="3"/>
    <w:bookmarkEnd w:id="4"/>
    <w:bookmarkEnd w:id="5"/>
    <w:bookmarkEnd w:id="6"/>
    <w:bookmarkEnd w:id="7"/>
    <w:bookmarkEnd w:id="8"/>
    <w:p w14:paraId="45DCC1E7" w14:textId="3CF003EC" w:rsidR="0082113E" w:rsidRDefault="00954ADF" w:rsidP="00162DAB">
      <w:pPr>
        <w:pStyle w:val="ListParagraph"/>
        <w:spacing w:beforeLines="50" w:before="120"/>
        <w:ind w:left="0"/>
        <w:jc w:val="both"/>
        <w:rPr>
          <w:rFonts w:ascii="Times New Roman" w:hAnsi="Times New Roman"/>
          <w:lang w:val="en-US"/>
        </w:rPr>
      </w:pPr>
      <w:r>
        <w:rPr>
          <w:rFonts w:ascii="Times New Roman" w:hAnsi="Times New Roman"/>
          <w:lang w:val="en-US"/>
        </w:rPr>
        <w:t xml:space="preserve">The PCI </w:t>
      </w:r>
      <w:bookmarkStart w:id="9" w:name="_Hlk67575279"/>
      <w:r w:rsidRPr="00954ADF">
        <w:rPr>
          <w:rFonts w:ascii="Times New Roman" w:hAnsi="Times New Roman"/>
          <w:lang w:val="en-US"/>
        </w:rPr>
        <w:t>physicalCellId</w:t>
      </w:r>
      <w:r>
        <w:rPr>
          <w:rFonts w:ascii="Times New Roman" w:hAnsi="Times New Roman"/>
          <w:lang w:val="en-US"/>
        </w:rPr>
        <w:t xml:space="preserve"> </w:t>
      </w:r>
      <w:bookmarkEnd w:id="9"/>
      <w:r>
        <w:rPr>
          <w:rFonts w:ascii="Times New Roman" w:hAnsi="Times New Roman"/>
          <w:lang w:val="en-US"/>
        </w:rPr>
        <w:t xml:space="preserve">is included in the RRC configuration. </w:t>
      </w:r>
      <w:r w:rsidR="0082113E">
        <w:rPr>
          <w:rFonts w:ascii="Times New Roman" w:hAnsi="Times New Roman"/>
          <w:lang w:val="en-US"/>
        </w:rPr>
        <w:t xml:space="preserve">It seems that this </w:t>
      </w:r>
      <w:r>
        <w:rPr>
          <w:rFonts w:ascii="Times New Roman" w:hAnsi="Times New Roman"/>
          <w:lang w:val="en-US"/>
        </w:rPr>
        <w:t xml:space="preserve">explicit configuration mechanism already exists in the standards and </w:t>
      </w:r>
      <w:r w:rsidR="0082113E">
        <w:rPr>
          <w:rFonts w:ascii="Times New Roman" w:hAnsi="Times New Roman"/>
          <w:lang w:val="en-US"/>
        </w:rPr>
        <w:t xml:space="preserve">could be </w:t>
      </w:r>
      <w:r>
        <w:rPr>
          <w:rFonts w:ascii="Times New Roman" w:hAnsi="Times New Roman"/>
          <w:lang w:val="en-US"/>
        </w:rPr>
        <w:t>directly reused</w:t>
      </w:r>
      <w:r w:rsidR="0082113E">
        <w:rPr>
          <w:rFonts w:ascii="Times New Roman" w:hAnsi="Times New Roman"/>
          <w:lang w:val="en-US"/>
        </w:rPr>
        <w:t xml:space="preserve"> for the enhancements. </w:t>
      </w:r>
    </w:p>
    <w:p w14:paraId="6A81C935" w14:textId="55664CF1" w:rsidR="00954ADF" w:rsidRPr="009300E4" w:rsidRDefault="00954ADF" w:rsidP="0082113E">
      <w:pPr>
        <w:pStyle w:val="ListParagraph"/>
        <w:spacing w:beforeLines="50" w:before="120"/>
        <w:ind w:left="0"/>
        <w:jc w:val="both"/>
        <w:rPr>
          <w:rFonts w:ascii="Times New Roman" w:hAnsi="Times New Roman"/>
          <w:lang w:val="en-US"/>
        </w:rPr>
      </w:pPr>
      <w:r>
        <w:rPr>
          <w:rFonts w:ascii="Times New Roman" w:hAnsi="Times New Roman"/>
          <w:lang w:val="en-US"/>
        </w:rPr>
        <w:t xml:space="preserve">On the other hand, for implicit indication of PCI, it may not </w:t>
      </w:r>
      <w:r w:rsidR="00FF4BCB">
        <w:rPr>
          <w:rFonts w:ascii="Times New Roman" w:hAnsi="Times New Roman"/>
          <w:lang w:val="en-US"/>
        </w:rPr>
        <w:t xml:space="preserve">include the field </w:t>
      </w:r>
      <w:r w:rsidR="00FF4BCB" w:rsidRPr="00954ADF">
        <w:rPr>
          <w:rFonts w:ascii="Times New Roman" w:hAnsi="Times New Roman"/>
          <w:lang w:val="en-US"/>
        </w:rPr>
        <w:t>physicalCellId</w:t>
      </w:r>
      <w:r w:rsidR="00FF4BCB">
        <w:rPr>
          <w:rFonts w:ascii="Times New Roman" w:hAnsi="Times New Roman"/>
          <w:lang w:val="en-US"/>
        </w:rPr>
        <w:t>, but the serving cell still needs to configure other fields for the non-serving cell, such as SSB, so that the UE can search the SSB and acquire the PCI. The justification for the implicit indication</w:t>
      </w:r>
      <w:r w:rsidR="00516A3C">
        <w:rPr>
          <w:rFonts w:ascii="Times New Roman" w:hAnsi="Times New Roman"/>
          <w:lang w:val="en-US"/>
        </w:rPr>
        <w:t xml:space="preserve"> of PCI</w:t>
      </w:r>
      <w:r w:rsidR="00FF4BCB">
        <w:rPr>
          <w:rFonts w:ascii="Times New Roman" w:hAnsi="Times New Roman"/>
          <w:lang w:val="en-US"/>
        </w:rPr>
        <w:t xml:space="preserve">, however, is questionable. The </w:t>
      </w:r>
      <w:r w:rsidR="001D3F75">
        <w:rPr>
          <w:rFonts w:ascii="Times New Roman" w:hAnsi="Times New Roman"/>
          <w:lang w:val="en-US"/>
        </w:rPr>
        <w:t xml:space="preserve">saved </w:t>
      </w:r>
      <w:r w:rsidR="00FF4BCB">
        <w:rPr>
          <w:rFonts w:ascii="Times New Roman" w:hAnsi="Times New Roman"/>
          <w:lang w:val="en-US"/>
        </w:rPr>
        <w:t xml:space="preserve">RRC configuration overhead is almost negligible. The UE search may have higher detection error probability and longer latency. </w:t>
      </w:r>
      <w:r w:rsidR="00C657E6">
        <w:rPr>
          <w:rFonts w:ascii="Times New Roman" w:hAnsi="Times New Roman"/>
          <w:lang w:val="en-US"/>
        </w:rPr>
        <w:t>Therefore, we support explicit configuration of the PCI.</w:t>
      </w:r>
    </w:p>
    <w:p w14:paraId="471DD9A2" w14:textId="77777777" w:rsidR="0082113E" w:rsidRDefault="0082113E" w:rsidP="00D73A25">
      <w:pPr>
        <w:pStyle w:val="ListParagraph"/>
        <w:spacing w:beforeLines="50" w:before="120"/>
        <w:ind w:left="0"/>
        <w:jc w:val="both"/>
        <w:rPr>
          <w:rFonts w:ascii="Times New Roman" w:hAnsi="Times New Roman"/>
        </w:rPr>
      </w:pPr>
    </w:p>
    <w:p w14:paraId="7F8808FE" w14:textId="75801FB5" w:rsidR="00565D02" w:rsidRPr="00BD5373" w:rsidRDefault="00565D02" w:rsidP="00565D02">
      <w:pPr>
        <w:pStyle w:val="ListParagraph"/>
        <w:spacing w:beforeLines="50" w:before="120"/>
        <w:ind w:left="0"/>
        <w:jc w:val="both"/>
        <w:rPr>
          <w:rFonts w:ascii="Times New Roman" w:hAnsi="Times New Roman"/>
        </w:rPr>
      </w:pPr>
      <w:r w:rsidRPr="00BD5373">
        <w:rPr>
          <w:rFonts w:ascii="Times New Roman" w:hAnsi="Times New Roman"/>
          <w:b/>
          <w:u w:val="single"/>
        </w:rPr>
        <w:t xml:space="preserve">Proposal </w:t>
      </w:r>
      <w:r>
        <w:rPr>
          <w:rFonts w:ascii="Times New Roman" w:hAnsi="Times New Roman"/>
          <w:b/>
          <w:u w:val="single"/>
        </w:rPr>
        <w:t>3</w:t>
      </w:r>
      <w:r w:rsidRPr="00BD5373">
        <w:rPr>
          <w:rFonts w:ascii="Times New Roman" w:hAnsi="Times New Roman"/>
          <w:b/>
        </w:rPr>
        <w:t xml:space="preserve">: </w:t>
      </w:r>
      <w:r w:rsidR="00066EF9">
        <w:rPr>
          <w:rFonts w:ascii="Times New Roman" w:hAnsi="Times New Roman"/>
          <w:b/>
        </w:rPr>
        <w:t>Explicitly configure the non-serving cell PCI</w:t>
      </w:r>
      <w:r w:rsidR="00FF4BCB">
        <w:rPr>
          <w:rFonts w:ascii="Times New Roman" w:hAnsi="Times New Roman"/>
          <w:b/>
        </w:rPr>
        <w:t xml:space="preserve"> as </w:t>
      </w:r>
      <w:r w:rsidR="00FF4BCB" w:rsidRPr="00FF4BCB">
        <w:rPr>
          <w:rFonts w:ascii="Times New Roman" w:hAnsi="Times New Roman"/>
          <w:b/>
        </w:rPr>
        <w:t>physicalCellId</w:t>
      </w:r>
      <w:r w:rsidR="00066EF9">
        <w:rPr>
          <w:rFonts w:ascii="Times New Roman" w:hAnsi="Times New Roman"/>
          <w:b/>
        </w:rPr>
        <w:t>, reusing Rel-16 mechanism as much as possible</w:t>
      </w:r>
      <w:r>
        <w:rPr>
          <w:rFonts w:ascii="Times New Roman" w:hAnsi="Times New Roman"/>
          <w:b/>
        </w:rPr>
        <w:t>.</w:t>
      </w:r>
    </w:p>
    <w:p w14:paraId="72E6EB01" w14:textId="39078858" w:rsidR="000924AF" w:rsidRDefault="000924AF" w:rsidP="00D73A25">
      <w:pPr>
        <w:pStyle w:val="ListParagraph"/>
        <w:spacing w:beforeLines="50" w:before="120"/>
        <w:ind w:left="0"/>
        <w:jc w:val="both"/>
        <w:rPr>
          <w:rFonts w:ascii="Times New Roman" w:hAnsi="Times New Roman"/>
        </w:rPr>
      </w:pPr>
    </w:p>
    <w:p w14:paraId="2BACCE1E" w14:textId="0888658F" w:rsidR="00064A09" w:rsidRDefault="00064A09" w:rsidP="00064A09">
      <w:pPr>
        <w:pStyle w:val="Heading2"/>
      </w:pPr>
      <w:r>
        <w:lastRenderedPageBreak/>
        <w:t>Other non-serving cell information</w:t>
      </w:r>
    </w:p>
    <w:p w14:paraId="62283923" w14:textId="77777777" w:rsidR="00A942D1" w:rsidRDefault="00C7088B" w:rsidP="00D73A25">
      <w:pPr>
        <w:pStyle w:val="ListParagraph"/>
        <w:spacing w:beforeLines="50" w:before="120"/>
        <w:ind w:left="0"/>
        <w:jc w:val="both"/>
        <w:rPr>
          <w:rFonts w:ascii="Times New Roman" w:hAnsi="Times New Roman"/>
        </w:rPr>
      </w:pPr>
      <w:r>
        <w:rPr>
          <w:rFonts w:ascii="Times New Roman" w:hAnsi="Times New Roman"/>
        </w:rPr>
        <w:t xml:space="preserve">In the past meeting, SSB time domain position, SSB transmission periodicity, and SSB transmission power have been agreed, in which the SSB time domain position and SSB transmission periodicity can be used to search the SSB, and SSB transmission power can be used for UL power control. </w:t>
      </w:r>
    </w:p>
    <w:p w14:paraId="2F59AEF0" w14:textId="1E6920A1" w:rsidR="00954ADF" w:rsidRDefault="00A942D1" w:rsidP="00D73A25">
      <w:pPr>
        <w:pStyle w:val="ListParagraph"/>
        <w:spacing w:beforeLines="50" w:before="120"/>
        <w:ind w:left="0"/>
        <w:jc w:val="both"/>
        <w:rPr>
          <w:rFonts w:ascii="Times New Roman" w:hAnsi="Times New Roman"/>
        </w:rPr>
      </w:pPr>
      <w:r w:rsidRPr="0050475C">
        <w:rPr>
          <w:rFonts w:ascii="Times New Roman" w:hAnsi="Times New Roman"/>
        </w:rPr>
        <w:t xml:space="preserve">As analyzed above, Rel-17 design should reuse the Rel-16 scheme for neighbor cell SSB/RS configuration as much as possible. However, in Rel-16, the neighbor cell’s may have different parameters such as BWP bandwidth, SCS, etc., than the serving cell’s, and hence those parameters may need to be configured for the UE. In Rel-17 M-TRP, however, those parameters are </w:t>
      </w:r>
      <w:r>
        <w:rPr>
          <w:rFonts w:ascii="Times New Roman" w:hAnsi="Times New Roman"/>
        </w:rPr>
        <w:t>aligned with the serving cell and can be derived by the UE without configuration</w:t>
      </w:r>
      <w:r w:rsidRPr="0050475C">
        <w:rPr>
          <w:rFonts w:ascii="Times New Roman" w:hAnsi="Times New Roman"/>
        </w:rPr>
        <w:t>, and hence the UE may ignore those parameters, or to avoid any ambiguity, those parameters may be removed from the configuration.</w:t>
      </w:r>
      <w:r w:rsidR="00D301BF">
        <w:rPr>
          <w:rFonts w:ascii="Times New Roman" w:hAnsi="Times New Roman"/>
        </w:rPr>
        <w:t xml:space="preserve"> </w:t>
      </w:r>
      <w:r w:rsidR="00B11B28">
        <w:rPr>
          <w:rFonts w:ascii="Times New Roman" w:hAnsi="Times New Roman"/>
        </w:rPr>
        <w:t>In addition, the SSB index for the non-serving cell may be needed.</w:t>
      </w:r>
      <w:r w:rsidR="0050475C" w:rsidRPr="0050475C">
        <w:rPr>
          <w:rFonts w:ascii="Times New Roman" w:hAnsi="Times New Roman"/>
        </w:rPr>
        <w:tab/>
      </w:r>
    </w:p>
    <w:p w14:paraId="6C3FD0C9" w14:textId="1113D20F" w:rsidR="00954ADF" w:rsidRDefault="00954ADF" w:rsidP="00D73A25">
      <w:pPr>
        <w:pStyle w:val="ListParagraph"/>
        <w:spacing w:beforeLines="50" w:before="120"/>
        <w:ind w:left="0"/>
        <w:jc w:val="both"/>
        <w:rPr>
          <w:rFonts w:ascii="Times New Roman" w:hAnsi="Times New Roman"/>
          <w:lang w:val="en-US"/>
        </w:rPr>
      </w:pPr>
      <w:r>
        <w:rPr>
          <w:rFonts w:ascii="Times New Roman" w:hAnsi="Times New Roman"/>
          <w:lang w:val="en-US"/>
        </w:rPr>
        <w:t xml:space="preserve">Once the non-serving cell’s PCI/SSB are </w:t>
      </w:r>
      <w:r w:rsidR="00B11B28">
        <w:rPr>
          <w:rFonts w:ascii="Times New Roman" w:hAnsi="Times New Roman"/>
          <w:lang w:val="en-US"/>
        </w:rPr>
        <w:t>acquired by</w:t>
      </w:r>
      <w:r>
        <w:rPr>
          <w:rFonts w:ascii="Times New Roman" w:hAnsi="Times New Roman"/>
          <w:lang w:val="en-US"/>
        </w:rPr>
        <w:t xml:space="preserve"> the UE, the</w:t>
      </w:r>
      <w:r w:rsidR="00B11B28">
        <w:rPr>
          <w:rFonts w:ascii="Times New Roman" w:hAnsi="Times New Roman"/>
          <w:lang w:val="en-US"/>
        </w:rPr>
        <w:t xml:space="preserve"> non-serving cell can be considered as connected with the UE, and the UE</w:t>
      </w:r>
      <w:r>
        <w:rPr>
          <w:rFonts w:ascii="Times New Roman" w:hAnsi="Times New Roman"/>
          <w:lang w:val="en-US"/>
        </w:rPr>
        <w:t xml:space="preserve"> may be further configured </w:t>
      </w:r>
      <w:r w:rsidR="00B11B28">
        <w:rPr>
          <w:rFonts w:ascii="Times New Roman" w:hAnsi="Times New Roman"/>
          <w:lang w:val="en-US"/>
        </w:rPr>
        <w:t>with other RS/channels and</w:t>
      </w:r>
      <w:r>
        <w:rPr>
          <w:rFonts w:ascii="Times New Roman" w:hAnsi="Times New Roman"/>
          <w:lang w:val="en-US"/>
        </w:rPr>
        <w:t xml:space="preserve"> QCL/TCI</w:t>
      </w:r>
      <w:r w:rsidR="00B11B28">
        <w:rPr>
          <w:rFonts w:ascii="Times New Roman" w:hAnsi="Times New Roman"/>
          <w:lang w:val="en-US"/>
        </w:rPr>
        <w:t xml:space="preserve"> just the same way as the serving cell or intra-cell M-TRP</w:t>
      </w:r>
      <w:r>
        <w:rPr>
          <w:rFonts w:ascii="Times New Roman" w:hAnsi="Times New Roman"/>
          <w:lang w:val="en-US"/>
        </w:rPr>
        <w:t xml:space="preserve">. Therefore, the Rel-16 scheme for </w:t>
      </w:r>
      <w:r w:rsidRPr="00D2485B">
        <w:rPr>
          <w:rFonts w:ascii="Times New Roman" w:hAnsi="Times New Roman"/>
          <w:lang w:val="en-US"/>
        </w:rPr>
        <w:t>RS</w:t>
      </w:r>
      <w:r w:rsidR="00B11B28">
        <w:rPr>
          <w:rFonts w:ascii="Times New Roman" w:hAnsi="Times New Roman"/>
          <w:lang w:val="en-US"/>
        </w:rPr>
        <w:t>/channel/QCL/TCI</w:t>
      </w:r>
      <w:r w:rsidRPr="00D2485B">
        <w:rPr>
          <w:rFonts w:ascii="Times New Roman" w:hAnsi="Times New Roman"/>
          <w:lang w:val="en-US"/>
        </w:rPr>
        <w:t xml:space="preserve"> configuration</w:t>
      </w:r>
      <w:r>
        <w:rPr>
          <w:rFonts w:ascii="Times New Roman" w:hAnsi="Times New Roman"/>
          <w:lang w:val="en-US"/>
        </w:rPr>
        <w:t xml:space="preserve"> can be reused</w:t>
      </w:r>
      <w:r w:rsidRPr="00D2485B">
        <w:rPr>
          <w:rFonts w:ascii="Times New Roman" w:hAnsi="Times New Roman"/>
          <w:lang w:val="en-US"/>
        </w:rPr>
        <w:t xml:space="preserve"> as much as possible</w:t>
      </w:r>
      <w:r>
        <w:rPr>
          <w:rFonts w:ascii="Times New Roman" w:hAnsi="Times New Roman"/>
          <w:lang w:val="en-US"/>
        </w:rPr>
        <w:t>.</w:t>
      </w:r>
    </w:p>
    <w:p w14:paraId="406E385B" w14:textId="77777777" w:rsidR="00D301BF" w:rsidRDefault="00D301BF" w:rsidP="00D73A25">
      <w:pPr>
        <w:pStyle w:val="ListParagraph"/>
        <w:spacing w:beforeLines="50" w:before="120"/>
        <w:ind w:left="0"/>
        <w:jc w:val="both"/>
        <w:rPr>
          <w:rFonts w:ascii="Times New Roman" w:hAnsi="Times New Roman"/>
          <w:lang w:val="en-US"/>
        </w:rPr>
      </w:pPr>
    </w:p>
    <w:p w14:paraId="61FE31CF" w14:textId="460A1005" w:rsidR="00B11B28" w:rsidRDefault="00B11B28" w:rsidP="00D73A25">
      <w:pPr>
        <w:pStyle w:val="ListParagraph"/>
        <w:spacing w:beforeLines="50" w:before="120"/>
        <w:ind w:left="0"/>
        <w:jc w:val="both"/>
        <w:rPr>
          <w:rFonts w:ascii="Times New Roman" w:hAnsi="Times New Roman"/>
          <w:b/>
        </w:rPr>
      </w:pPr>
      <w:r w:rsidRPr="00BD5373">
        <w:rPr>
          <w:rFonts w:ascii="Times New Roman" w:hAnsi="Times New Roman"/>
          <w:b/>
          <w:u w:val="single"/>
        </w:rPr>
        <w:t xml:space="preserve">Proposal </w:t>
      </w:r>
      <w:r>
        <w:rPr>
          <w:rFonts w:ascii="Times New Roman" w:hAnsi="Times New Roman"/>
          <w:b/>
          <w:u w:val="single"/>
        </w:rPr>
        <w:t>4</w:t>
      </w:r>
      <w:r w:rsidRPr="00BD5373">
        <w:rPr>
          <w:rFonts w:ascii="Times New Roman" w:hAnsi="Times New Roman"/>
          <w:b/>
        </w:rPr>
        <w:t xml:space="preserve">: </w:t>
      </w:r>
      <w:r>
        <w:rPr>
          <w:rFonts w:ascii="Times New Roman" w:hAnsi="Times New Roman"/>
          <w:b/>
        </w:rPr>
        <w:t xml:space="preserve">Explicitly configure the non-serving cell </w:t>
      </w:r>
      <w:r w:rsidRPr="00B11B28">
        <w:rPr>
          <w:rFonts w:ascii="Times New Roman" w:hAnsi="Times New Roman"/>
          <w:b/>
        </w:rPr>
        <w:t>SSB index</w:t>
      </w:r>
      <w:r w:rsidR="00C11A93">
        <w:rPr>
          <w:rFonts w:ascii="Times New Roman" w:hAnsi="Times New Roman"/>
          <w:b/>
        </w:rPr>
        <w:t>.</w:t>
      </w:r>
    </w:p>
    <w:p w14:paraId="0B1575A6" w14:textId="77777777" w:rsidR="00C11A93" w:rsidRDefault="00C11A93" w:rsidP="00D73A25">
      <w:pPr>
        <w:pStyle w:val="ListParagraph"/>
        <w:spacing w:beforeLines="50" w:before="120"/>
        <w:ind w:left="0"/>
        <w:jc w:val="both"/>
        <w:rPr>
          <w:rFonts w:ascii="Times New Roman" w:hAnsi="Times New Roman"/>
        </w:rPr>
      </w:pPr>
    </w:p>
    <w:p w14:paraId="73ACCAA1" w14:textId="5FE5CD00" w:rsidR="00064A09" w:rsidRDefault="00064A09" w:rsidP="00064A09">
      <w:pPr>
        <w:pStyle w:val="Heading2"/>
      </w:pPr>
      <w:r>
        <w:t>QCL/TCI</w:t>
      </w:r>
      <w:r w:rsidR="00D365AB">
        <w:t xml:space="preserve"> and NCL</w:t>
      </w:r>
    </w:p>
    <w:p w14:paraId="34D35D3D" w14:textId="2BFCDCF0" w:rsidR="00064A09" w:rsidRDefault="00AE5280" w:rsidP="00D73A25">
      <w:pPr>
        <w:pStyle w:val="ListParagraph"/>
        <w:spacing w:beforeLines="50" w:before="120"/>
        <w:ind w:left="0"/>
        <w:jc w:val="both"/>
        <w:rPr>
          <w:rFonts w:ascii="Times New Roman" w:hAnsi="Times New Roman"/>
        </w:rPr>
      </w:pPr>
      <w:r>
        <w:rPr>
          <w:rFonts w:ascii="Times New Roman" w:hAnsi="Times New Roman"/>
        </w:rPr>
        <w:t>We further discuss QCL/TCI, NCL, and the five options.</w:t>
      </w:r>
    </w:p>
    <w:p w14:paraId="16940314" w14:textId="1A36FBE2" w:rsidR="00D065DD" w:rsidRPr="00D065DD" w:rsidRDefault="00FE7397" w:rsidP="00D065DD">
      <w:pPr>
        <w:spacing w:beforeLines="50" w:before="120"/>
      </w:pPr>
      <w:r w:rsidRPr="00D065DD">
        <w:t>QCL is defined as a relationship between different antenna ports</w:t>
      </w:r>
      <w:r w:rsidR="00D751BE" w:rsidRPr="00D065DD">
        <w:t>, and via QCL, the signals, channels, and resources of a cell can be linked together</w:t>
      </w:r>
      <w:r w:rsidRPr="00D065DD">
        <w:t xml:space="preserve">. </w:t>
      </w:r>
      <w:r w:rsidR="00D065DD" w:rsidRPr="00D065DD">
        <w:t xml:space="preserve">Then TRS/CSI-RS/DMRS/SRS of the inter-cell TRP can be QCLed to the SSB, directly or indirectly via other RS. For example, in the case of SDM with overlapping time/frequency resources, the multiple PDSCH DMRS ports are QCLed to TRS/CSI-RS of the respective TRPs (e.g., QCL Type A), and the TRS/CSI-RS are further QCLed to the SSBs of the respective TRPs (e.g., QCL Type C); in this case, the PDSCH DMRS ports are QCLed to the SSBs </w:t>
      </w:r>
      <w:r w:rsidR="00D065DD" w:rsidRPr="00D065DD">
        <w:rPr>
          <w:u w:val="single"/>
        </w:rPr>
        <w:t>indirectly</w:t>
      </w:r>
      <w:r w:rsidR="00D065DD" w:rsidRPr="00D065DD">
        <w:t xml:space="preserve"> but the TRS/CSI-RS are QCLed to the SSBs </w:t>
      </w:r>
      <w:r w:rsidR="00D065DD" w:rsidRPr="00D065DD">
        <w:rPr>
          <w:u w:val="single"/>
        </w:rPr>
        <w:t>directly</w:t>
      </w:r>
      <w:r w:rsidR="00D065DD" w:rsidRPr="00D065DD">
        <w:t xml:space="preserve">. For another example, in the case of SDM with overlapping time/frequency resources, the multiple PDSCH DMRS ports may be </w:t>
      </w:r>
      <w:r w:rsidR="00D065DD" w:rsidRPr="00D065DD">
        <w:rPr>
          <w:u w:val="single"/>
        </w:rPr>
        <w:t>directly</w:t>
      </w:r>
      <w:r w:rsidR="00D065DD" w:rsidRPr="00D065DD">
        <w:t xml:space="preserve"> QCLed to the SSBs of the respective TRPs (e.g., QCL Type </w:t>
      </w:r>
      <w:r w:rsidR="00076E54">
        <w:t>C</w:t>
      </w:r>
      <w:r w:rsidR="00D065DD" w:rsidRPr="00D065DD">
        <w:t>). Note that the PDSCH DMRS ports cannot be in one CDM group as they are for inter-cell TRPs, and DMRS ports in one CDM groups should be QCLed to the same source RS directly or indirectly. Likewise, PDCCH DMRS ports also need to have such QCL/TCI states configured, but the PDCCH DMRS ports for one PDCCH are all from one TRP (except for SFN). FDM/TDM can also be considered in similar but generally simpler ways.</w:t>
      </w:r>
    </w:p>
    <w:p w14:paraId="4746E564" w14:textId="31436E61" w:rsidR="00D065DD" w:rsidRDefault="00D065DD" w:rsidP="00D065DD">
      <w:pPr>
        <w:pStyle w:val="ListParagraph"/>
        <w:spacing w:beforeLines="50" w:before="120"/>
        <w:ind w:left="0"/>
        <w:jc w:val="both"/>
        <w:rPr>
          <w:rFonts w:ascii="Times New Roman" w:hAnsi="Times New Roman"/>
        </w:rPr>
      </w:pPr>
      <w:r>
        <w:rPr>
          <w:rFonts w:ascii="Times New Roman" w:hAnsi="Times New Roman"/>
        </w:rPr>
        <w:t xml:space="preserve">In addition, the UL signal relation to some other signals, such as the pathloss RS relation, the spatial relation info, the relation defined by SRI, associated CSI-RS for SRS, </w:t>
      </w:r>
      <w:r w:rsidR="001D0442">
        <w:rPr>
          <w:rFonts w:ascii="Times New Roman" w:hAnsi="Times New Roman"/>
        </w:rPr>
        <w:t xml:space="preserve">DMRS and its associated channel, </w:t>
      </w:r>
      <w:r>
        <w:rPr>
          <w:rFonts w:ascii="Times New Roman" w:hAnsi="Times New Roman"/>
        </w:rPr>
        <w:t xml:space="preserve">etc., may be generally viewed as extended QCL relation. Thus, each UL signal, such as SRS and PUCCH/PUSCH DMRS, can be “QCLed” to a SSB directly or indirectly. </w:t>
      </w:r>
    </w:p>
    <w:p w14:paraId="05DAFFFA" w14:textId="52E7A4E7" w:rsidR="00D065DD" w:rsidRDefault="00D065DD" w:rsidP="00D065DD">
      <w:pPr>
        <w:pStyle w:val="ListParagraph"/>
        <w:spacing w:beforeLines="50" w:before="120"/>
        <w:ind w:left="0"/>
        <w:jc w:val="both"/>
        <w:rPr>
          <w:rFonts w:ascii="Times New Roman" w:hAnsi="Times New Roman"/>
        </w:rPr>
      </w:pPr>
      <w:r>
        <w:rPr>
          <w:rFonts w:ascii="Times New Roman" w:hAnsi="Times New Roman"/>
        </w:rPr>
        <w:t>Th</w:t>
      </w:r>
      <w:r w:rsidR="00065C8C">
        <w:rPr>
          <w:rFonts w:ascii="Times New Roman" w:hAnsi="Times New Roman"/>
        </w:rPr>
        <w:t>erefore</w:t>
      </w:r>
      <w:r>
        <w:rPr>
          <w:rFonts w:ascii="Times New Roman" w:hAnsi="Times New Roman"/>
        </w:rPr>
        <w:t>, for the serving cell and for the non-serving cell separately,</w:t>
      </w:r>
      <w:r w:rsidRPr="00E418A9">
        <w:rPr>
          <w:rFonts w:ascii="Times New Roman" w:hAnsi="Times New Roman"/>
        </w:rPr>
        <w:t xml:space="preserve"> all existing QCL types and DL-UL spatial relation info and SRI and PL RS relation</w:t>
      </w:r>
      <w:r>
        <w:rPr>
          <w:rFonts w:ascii="Times New Roman" w:hAnsi="Times New Roman"/>
        </w:rPr>
        <w:t>, and all</w:t>
      </w:r>
      <w:r w:rsidRPr="00E418A9">
        <w:rPr>
          <w:rFonts w:ascii="Times New Roman" w:hAnsi="Times New Roman"/>
        </w:rPr>
        <w:t xml:space="preserve"> </w:t>
      </w:r>
      <w:r>
        <w:rPr>
          <w:rFonts w:ascii="Times New Roman" w:hAnsi="Times New Roman"/>
        </w:rPr>
        <w:t xml:space="preserve">signals such as </w:t>
      </w:r>
      <w:r w:rsidRPr="00E418A9">
        <w:rPr>
          <w:rFonts w:ascii="Times New Roman" w:hAnsi="Times New Roman"/>
        </w:rPr>
        <w:t>SSB, TRS, CSI-RS</w:t>
      </w:r>
      <w:r>
        <w:rPr>
          <w:rFonts w:ascii="Times New Roman" w:hAnsi="Times New Roman"/>
        </w:rPr>
        <w:t>, SRS</w:t>
      </w:r>
      <w:r w:rsidRPr="00E418A9">
        <w:rPr>
          <w:rFonts w:ascii="Times New Roman" w:hAnsi="Times New Roman"/>
        </w:rPr>
        <w:t>,  DL DMRS, SRS, and UL DMRS</w:t>
      </w:r>
      <w:r>
        <w:rPr>
          <w:rFonts w:ascii="Times New Roman" w:hAnsi="Times New Roman"/>
        </w:rPr>
        <w:t>, as well as the associated channels and resources, can be linked directly or indirectly via QCL/TCI within each cell.</w:t>
      </w:r>
    </w:p>
    <w:p w14:paraId="1A7689D4" w14:textId="2D69701F" w:rsidR="00FE7397" w:rsidRDefault="00FE7397" w:rsidP="00D365AB">
      <w:pPr>
        <w:pStyle w:val="ListParagraph"/>
        <w:spacing w:beforeLines="50" w:before="120"/>
        <w:ind w:left="0"/>
        <w:jc w:val="both"/>
        <w:rPr>
          <w:rFonts w:ascii="Times New Roman" w:hAnsi="Times New Roman"/>
        </w:rPr>
      </w:pPr>
      <w:r>
        <w:rPr>
          <w:rFonts w:ascii="Times New Roman" w:hAnsi="Times New Roman"/>
        </w:rPr>
        <w:t>The standard also specifies that:</w:t>
      </w:r>
    </w:p>
    <w:p w14:paraId="2902144A" w14:textId="338E5E11" w:rsidR="00FE7397" w:rsidRDefault="00FE7397" w:rsidP="00FE7397">
      <w:pPr>
        <w:pBdr>
          <w:top w:val="single" w:sz="4" w:space="1" w:color="auto"/>
          <w:left w:val="single" w:sz="4" w:space="4" w:color="auto"/>
          <w:bottom w:val="single" w:sz="4" w:space="1" w:color="auto"/>
          <w:right w:val="single" w:sz="4" w:space="4" w:color="auto"/>
        </w:pBdr>
      </w:pPr>
      <w:r>
        <w:t>TS 38.211</w:t>
      </w:r>
    </w:p>
    <w:p w14:paraId="0E9E7805" w14:textId="46C5B01D" w:rsidR="00FE7397" w:rsidRPr="00FE7397" w:rsidRDefault="00FE7397" w:rsidP="00FE7397">
      <w:pPr>
        <w:pBdr>
          <w:top w:val="single" w:sz="4" w:space="1" w:color="auto"/>
          <w:left w:val="single" w:sz="4" w:space="4" w:color="auto"/>
          <w:bottom w:val="single" w:sz="4" w:space="1" w:color="auto"/>
          <w:right w:val="single" w:sz="4" w:space="4" w:color="auto"/>
        </w:pBdr>
        <w:rPr>
          <w:i/>
          <w:iCs/>
        </w:rPr>
      </w:pPr>
      <w:r w:rsidRPr="00FE7397">
        <w:rPr>
          <w:i/>
          <w:iCs/>
        </w:rPr>
        <w:t>The UE shall not assume that two antenna ports are quasi co-located with respect to any QCL type unless specified otherwise.</w:t>
      </w:r>
    </w:p>
    <w:p w14:paraId="2C154B5D" w14:textId="22DE92C4" w:rsidR="00FE7397" w:rsidRDefault="001D3F75" w:rsidP="00112D22">
      <w:pPr>
        <w:spacing w:beforeLines="50" w:before="120"/>
      </w:pPr>
      <w:r>
        <w:t xml:space="preserve">This essentially specifies that signals, channels, and resources are NCLed unless otherwise specified. </w:t>
      </w:r>
      <w:r w:rsidR="00FE7397">
        <w:t xml:space="preserve">For inter-cell M-TRP, the signals, channels, and resources from different cells experience different channels and should not be mixed, i.e., should not be QCLed, or should be NCLed. </w:t>
      </w:r>
      <w:r w:rsidR="00D065DD">
        <w:t xml:space="preserve">It is critical to ensure that that </w:t>
      </w:r>
      <w:r w:rsidR="00D065DD">
        <w:lastRenderedPageBreak/>
        <w:t xml:space="preserve">the signals, channels, and resources from different cells are NCLed, otherwise the inter-cell M-TRP operation can lead to errors, and the NCL relationship should also expand to cover DL-UL spatial relation info, PL RS relation, linkage via SRI, </w:t>
      </w:r>
      <w:r w:rsidR="001D0442">
        <w:t>associated CSI-RS for SRS, DMRS and its associated channel, etc. That is, a signal, channel, and resource “QCLed” to a SSB directly or indirectly shall be “NCLed” to any signal, channel, and resource “QCLed” to another SSB directly or indirectly, where the “QCL” and “NCL” are generalized to cover all abovementioned relationship.</w:t>
      </w:r>
    </w:p>
    <w:p w14:paraId="749837B8" w14:textId="3E2BD253" w:rsidR="00FE7397" w:rsidRDefault="0054422C" w:rsidP="00112D22">
      <w:pPr>
        <w:spacing w:beforeLines="50" w:before="120"/>
      </w:pPr>
      <w:r>
        <w:t>Clearly, via the QCL/TCI and NCL relationship, with two cells, all signals, channels, and resources form two separate groups, with no QCL/TCI relationship across the groups.</w:t>
      </w:r>
      <w:r w:rsidR="00FE4887">
        <w:t xml:space="preserve"> This implies that implicit grouping in inter-cell M-TRP is feasible.</w:t>
      </w:r>
      <w:r w:rsidR="00870619">
        <w:t xml:space="preserve"> Thus, any explicit grouping, such as via an explicit group ID, is not necessary.</w:t>
      </w:r>
    </w:p>
    <w:p w14:paraId="43EDB195" w14:textId="28173F88" w:rsidR="007268E1" w:rsidRPr="00870619" w:rsidRDefault="007268E1" w:rsidP="00870619">
      <w:pPr>
        <w:spacing w:beforeLines="50" w:before="120"/>
      </w:pPr>
      <w:r w:rsidRPr="00870619">
        <w:t>With the non-serving SSB configured to the UE</w:t>
      </w:r>
      <w:r w:rsidR="00870619">
        <w:t xml:space="preserve"> and based on the above analysis</w:t>
      </w:r>
      <w:r w:rsidRPr="00870619">
        <w:t>, it is questionable whether the CORESET pool indexes are still needed. The UE can link PDCCH</w:t>
      </w:r>
      <w:r w:rsidR="00881708" w:rsidRPr="00870619">
        <w:t xml:space="preserve"> (via PDCCH’s CORESET configuration and/or SS set configuration)</w:t>
      </w:r>
      <w:r w:rsidRPr="00870619">
        <w:t xml:space="preserve"> as well as other transmissions/receptions to the inter-cell TRP via the QCL relation to the non-serving SSB, and hence the CORESET pool indexes </w:t>
      </w:r>
      <w:r w:rsidR="00870619">
        <w:t>do</w:t>
      </w:r>
      <w:r w:rsidRPr="00870619">
        <w:t xml:space="preserve"> not need to be explicitly configured in this case.</w:t>
      </w:r>
      <w:r w:rsidR="00E64A37">
        <w:t xml:space="preserve"> In fact, the CORESET pool index is an explicit ID used in Rel-16 to differentiate </w:t>
      </w:r>
      <w:r w:rsidR="00BC6EC6">
        <w:t>intra-cell TRPs, i.e., an alternative TRP ID</w:t>
      </w:r>
      <w:r w:rsidR="00F46BDA">
        <w:t xml:space="preserve"> or implicit TRP ID</w:t>
      </w:r>
      <w:r w:rsidR="00BC6EC6">
        <w:t xml:space="preserve">. This was necessary for Rel-16 as an intra-cell TRP does not have any ID. However, </w:t>
      </w:r>
      <w:r w:rsidR="00F010B9">
        <w:t>for Rel-17 inter-cell M-TRP,</w:t>
      </w:r>
      <w:r w:rsidR="00223CEC">
        <w:t xml:space="preserve"> the inter-cell TRP already has an ID --- PCI, and there is no reason to introduce any other ID. </w:t>
      </w:r>
      <w:r w:rsidR="006D681A">
        <w:t>Though some suggest to reuse the Rel-16 mechanism, we’d like to point out that the scenarios are different and the CORESET pool index is redundant and not needed.</w:t>
      </w:r>
    </w:p>
    <w:p w14:paraId="5F870A45" w14:textId="6A354E23" w:rsidR="00FA7478" w:rsidRDefault="00F0357D" w:rsidP="00AD3488">
      <w:pPr>
        <w:spacing w:beforeLines="50" w:before="120"/>
      </w:pPr>
      <w:r>
        <w:t>Hence, for the 5 options, all explicit indexing/grouping options are not needed. What is necessary includes some rewording of Option 1 and Option 3 as follows:</w:t>
      </w:r>
    </w:p>
    <w:p w14:paraId="1A038FE6" w14:textId="7395C443" w:rsidR="00F0357D" w:rsidRDefault="00481658" w:rsidP="00AD3488">
      <w:pPr>
        <w:spacing w:beforeLines="50" w:before="120"/>
      </w:pPr>
      <w:r w:rsidRPr="004969E5">
        <w:rPr>
          <w:i/>
          <w:iCs/>
        </w:rPr>
        <w:t xml:space="preserve">Indicate/associate non-serving cell PCI </w:t>
      </w:r>
      <w:r>
        <w:rPr>
          <w:i/>
          <w:iCs/>
        </w:rPr>
        <w:t>via QCL/</w:t>
      </w:r>
      <w:r w:rsidRPr="004969E5">
        <w:rPr>
          <w:i/>
          <w:iCs/>
        </w:rPr>
        <w:t>TCI state</w:t>
      </w:r>
      <w:r>
        <w:rPr>
          <w:i/>
          <w:iCs/>
        </w:rPr>
        <w:t xml:space="preserve">, which </w:t>
      </w:r>
      <w:r w:rsidRPr="004969E5">
        <w:rPr>
          <w:i/>
          <w:iCs/>
        </w:rPr>
        <w:t>implicit</w:t>
      </w:r>
      <w:r>
        <w:rPr>
          <w:i/>
          <w:iCs/>
        </w:rPr>
        <w:t>ly</w:t>
      </w:r>
      <w:r w:rsidRPr="004969E5">
        <w:rPr>
          <w:i/>
          <w:iCs/>
        </w:rPr>
        <w:t xml:space="preserve"> group</w:t>
      </w:r>
      <w:r>
        <w:rPr>
          <w:i/>
          <w:iCs/>
        </w:rPr>
        <w:t>s all RSs, channels, resources, and</w:t>
      </w:r>
      <w:r w:rsidRPr="004969E5">
        <w:rPr>
          <w:i/>
          <w:iCs/>
        </w:rPr>
        <w:t xml:space="preserve"> TCI states to the serving cell and the non-serving cell respectively</w:t>
      </w:r>
      <w:r>
        <w:rPr>
          <w:i/>
          <w:iCs/>
        </w:rPr>
        <w:t>.</w:t>
      </w:r>
    </w:p>
    <w:p w14:paraId="1E6D1F52" w14:textId="1608901C" w:rsidR="00AD3488" w:rsidRPr="00AD3488" w:rsidRDefault="00D846F2" w:rsidP="00AD3488">
      <w:pPr>
        <w:spacing w:beforeLines="50" w:before="120"/>
      </w:pPr>
      <w:r>
        <w:t>We have the following proposals:</w:t>
      </w:r>
    </w:p>
    <w:p w14:paraId="7320205F" w14:textId="61292F08" w:rsidR="00AD364B" w:rsidRPr="00D846F2" w:rsidRDefault="00AD364B" w:rsidP="00AD364B">
      <w:pPr>
        <w:pStyle w:val="ListParagraph"/>
        <w:spacing w:beforeLines="50" w:before="120"/>
        <w:ind w:left="0"/>
        <w:jc w:val="both"/>
        <w:rPr>
          <w:rFonts w:ascii="Times New Roman" w:eastAsia="SimSun" w:hAnsi="Times New Roman"/>
          <w:lang w:val="en-US"/>
        </w:rPr>
      </w:pPr>
      <w:r w:rsidRPr="00D846F2">
        <w:rPr>
          <w:rFonts w:ascii="Times New Roman" w:hAnsi="Times New Roman"/>
          <w:b/>
          <w:u w:val="single"/>
        </w:rPr>
        <w:t xml:space="preserve">Proposal </w:t>
      </w:r>
      <w:r w:rsidR="002874C6">
        <w:rPr>
          <w:rFonts w:ascii="Times New Roman" w:hAnsi="Times New Roman"/>
          <w:b/>
          <w:u w:val="single"/>
        </w:rPr>
        <w:t>5</w:t>
      </w:r>
      <w:r w:rsidRPr="00D846F2">
        <w:rPr>
          <w:rFonts w:ascii="Times New Roman" w:hAnsi="Times New Roman"/>
          <w:b/>
        </w:rPr>
        <w:t xml:space="preserve">: For inter-cell multi-TRP, </w:t>
      </w:r>
      <w:bookmarkStart w:id="10" w:name="_Hlk53748112"/>
      <w:r w:rsidR="00F97D2D">
        <w:rPr>
          <w:rFonts w:ascii="Times New Roman" w:hAnsi="Times New Roman"/>
          <w:b/>
        </w:rPr>
        <w:t>generalize</w:t>
      </w:r>
      <w:r w:rsidR="00F97D2D" w:rsidRPr="00D846F2">
        <w:rPr>
          <w:rFonts w:ascii="Times New Roman" w:hAnsi="Times New Roman"/>
          <w:b/>
        </w:rPr>
        <w:t xml:space="preserve"> </w:t>
      </w:r>
      <w:r w:rsidRPr="00D846F2">
        <w:rPr>
          <w:rFonts w:ascii="Times New Roman" w:hAnsi="Times New Roman"/>
          <w:b/>
        </w:rPr>
        <w:t xml:space="preserve">QCL types </w:t>
      </w:r>
      <w:r w:rsidR="00F97D2D">
        <w:rPr>
          <w:rFonts w:ascii="Times New Roman" w:hAnsi="Times New Roman"/>
          <w:b/>
        </w:rPr>
        <w:t>to include</w:t>
      </w:r>
      <w:r w:rsidR="00F97D2D" w:rsidRPr="00D846F2">
        <w:rPr>
          <w:rFonts w:ascii="Times New Roman" w:hAnsi="Times New Roman"/>
          <w:b/>
        </w:rPr>
        <w:t xml:space="preserve"> </w:t>
      </w:r>
      <w:r w:rsidRPr="00D846F2">
        <w:rPr>
          <w:rFonts w:ascii="Times New Roman" w:hAnsi="Times New Roman"/>
          <w:b/>
        </w:rPr>
        <w:t>all existing QCL types</w:t>
      </w:r>
      <w:r w:rsidR="00E55C00">
        <w:rPr>
          <w:rFonts w:ascii="Times New Roman" w:hAnsi="Times New Roman"/>
          <w:b/>
        </w:rPr>
        <w:t>,</w:t>
      </w:r>
      <w:r w:rsidRPr="00D846F2">
        <w:rPr>
          <w:rFonts w:ascii="Times New Roman" w:hAnsi="Times New Roman"/>
          <w:b/>
        </w:rPr>
        <w:t xml:space="preserve"> DL-UL spatial relation info</w:t>
      </w:r>
      <w:r w:rsidR="00E55C00">
        <w:rPr>
          <w:rFonts w:ascii="Times New Roman" w:hAnsi="Times New Roman"/>
          <w:b/>
        </w:rPr>
        <w:t>,</w:t>
      </w:r>
      <w:r w:rsidRPr="00D846F2">
        <w:rPr>
          <w:rFonts w:ascii="Times New Roman" w:hAnsi="Times New Roman"/>
          <w:b/>
        </w:rPr>
        <w:t xml:space="preserve"> SRI </w:t>
      </w:r>
      <w:r w:rsidR="00E55C00">
        <w:rPr>
          <w:rFonts w:ascii="Times New Roman" w:hAnsi="Times New Roman"/>
          <w:b/>
        </w:rPr>
        <w:t xml:space="preserve">relation, CSI-RS and SRS association, </w:t>
      </w:r>
      <w:r w:rsidRPr="00D846F2">
        <w:rPr>
          <w:rFonts w:ascii="Times New Roman" w:hAnsi="Times New Roman"/>
          <w:b/>
        </w:rPr>
        <w:t>and PL RS relation</w:t>
      </w:r>
      <w:bookmarkEnd w:id="10"/>
      <w:r w:rsidRPr="00D846F2">
        <w:rPr>
          <w:rFonts w:ascii="Times New Roman" w:hAnsi="Times New Roman"/>
          <w:b/>
        </w:rPr>
        <w:t>.</w:t>
      </w:r>
    </w:p>
    <w:p w14:paraId="72009F03" w14:textId="736CEC5E" w:rsidR="00FA7ECC" w:rsidRDefault="00FA7ECC" w:rsidP="004328CF">
      <w:pPr>
        <w:pStyle w:val="ListParagraph"/>
        <w:spacing w:beforeLines="50" w:before="120"/>
        <w:ind w:left="0"/>
        <w:jc w:val="both"/>
        <w:rPr>
          <w:rFonts w:ascii="Times New Roman" w:hAnsi="Times New Roman"/>
          <w:lang w:val="en-US"/>
        </w:rPr>
      </w:pPr>
      <w:r w:rsidRPr="00D846F2">
        <w:rPr>
          <w:rFonts w:ascii="Times New Roman" w:hAnsi="Times New Roman"/>
          <w:b/>
          <w:u w:val="single"/>
        </w:rPr>
        <w:t xml:space="preserve">Proposal </w:t>
      </w:r>
      <w:r w:rsidR="00877F0E">
        <w:rPr>
          <w:rFonts w:ascii="Times New Roman" w:hAnsi="Times New Roman"/>
          <w:b/>
          <w:u w:val="single"/>
        </w:rPr>
        <w:t>6</w:t>
      </w:r>
      <w:r w:rsidRPr="00D846F2">
        <w:rPr>
          <w:rFonts w:ascii="Times New Roman" w:hAnsi="Times New Roman"/>
          <w:b/>
        </w:rPr>
        <w:t xml:space="preserve">: </w:t>
      </w:r>
      <w:r w:rsidR="002874C6" w:rsidRPr="002874C6">
        <w:rPr>
          <w:rFonts w:ascii="Times New Roman" w:hAnsi="Times New Roman"/>
          <w:b/>
        </w:rPr>
        <w:t>Indicate/associate non-serving cell PCI via QCL/TCI state, which implicitly groups all RSs, channels, resources, and TCI states to the serving cell and the non-serving cell respectively.</w:t>
      </w:r>
      <w:r w:rsidR="003B5FD2">
        <w:rPr>
          <w:rFonts w:ascii="Times New Roman" w:hAnsi="Times New Roman"/>
          <w:b/>
        </w:rPr>
        <w:t xml:space="preserve"> CORESET pool index is not necessary.</w:t>
      </w:r>
    </w:p>
    <w:p w14:paraId="111EFF36" w14:textId="6D3171FD" w:rsidR="00D95299" w:rsidRDefault="00D95299" w:rsidP="004328CF">
      <w:pPr>
        <w:pStyle w:val="ListParagraph"/>
        <w:spacing w:beforeLines="50" w:before="120"/>
        <w:ind w:left="0"/>
        <w:jc w:val="both"/>
        <w:rPr>
          <w:rFonts w:ascii="Times New Roman" w:hAnsi="Times New Roman"/>
          <w:lang w:val="en-US"/>
        </w:rPr>
      </w:pPr>
    </w:p>
    <w:p w14:paraId="5B9900BC" w14:textId="77777777" w:rsidR="007C4735" w:rsidRPr="007C4735" w:rsidRDefault="007C4735" w:rsidP="007C4735">
      <w:pPr>
        <w:spacing w:beforeLines="50" w:before="120"/>
      </w:pPr>
    </w:p>
    <w:p w14:paraId="1A801C54" w14:textId="5BBF2CFF" w:rsidR="004B3422" w:rsidRPr="00E27CC0" w:rsidRDefault="004B3422" w:rsidP="004B3422">
      <w:pPr>
        <w:pStyle w:val="Heading1"/>
        <w:tabs>
          <w:tab w:val="clear" w:pos="432"/>
        </w:tabs>
      </w:pPr>
      <w:bookmarkStart w:id="11" w:name="_Ref129681832"/>
      <w:r>
        <w:t>Conclusion</w:t>
      </w:r>
    </w:p>
    <w:p w14:paraId="2DAADC2F" w14:textId="2DFC9D12" w:rsidR="00B44264" w:rsidRDefault="00E93024" w:rsidP="00322207">
      <w:r w:rsidRPr="007F5EC6">
        <w:t>In this contribution, we</w:t>
      </w:r>
      <w:r>
        <w:t xml:space="preserve"> </w:t>
      </w:r>
      <w:r w:rsidR="009E3A88">
        <w:t xml:space="preserve">discussed </w:t>
      </w:r>
      <w:r w:rsidR="00C942E9">
        <w:rPr>
          <w:lang w:val="en-GB"/>
        </w:rPr>
        <w:t>i</w:t>
      </w:r>
      <w:r w:rsidR="00C942E9" w:rsidRPr="00773DB7">
        <w:rPr>
          <w:lang w:val="en-GB"/>
        </w:rPr>
        <w:t>nter-cell multi-TRP operation</w:t>
      </w:r>
      <w:r w:rsidR="00C942E9">
        <w:rPr>
          <w:lang w:val="en-GB"/>
        </w:rPr>
        <w:t xml:space="preserve">. </w:t>
      </w:r>
      <w:r w:rsidR="009E3A88">
        <w:t>The following are proposed:</w:t>
      </w:r>
    </w:p>
    <w:bookmarkEnd w:id="11"/>
    <w:p w14:paraId="5C5E6FFD" w14:textId="77777777" w:rsidR="00D1073A" w:rsidRPr="00BD5373" w:rsidRDefault="00D1073A" w:rsidP="00D1073A">
      <w:pPr>
        <w:pStyle w:val="ListParagraph"/>
        <w:spacing w:beforeLines="50" w:before="120"/>
        <w:ind w:left="0"/>
        <w:jc w:val="both"/>
        <w:rPr>
          <w:rFonts w:ascii="Times New Roman" w:hAnsi="Times New Roman"/>
        </w:rPr>
      </w:pPr>
      <w:r w:rsidRPr="00BD5373">
        <w:rPr>
          <w:rFonts w:ascii="Times New Roman" w:hAnsi="Times New Roman"/>
          <w:b/>
          <w:u w:val="single"/>
        </w:rPr>
        <w:t xml:space="preserve">Proposal </w:t>
      </w:r>
      <w:r>
        <w:rPr>
          <w:rFonts w:ascii="Times New Roman" w:hAnsi="Times New Roman"/>
          <w:b/>
          <w:u w:val="single"/>
        </w:rPr>
        <w:t>1</w:t>
      </w:r>
      <w:r w:rsidRPr="00BD5373">
        <w:rPr>
          <w:rFonts w:ascii="Times New Roman" w:hAnsi="Times New Roman"/>
          <w:b/>
        </w:rPr>
        <w:t xml:space="preserve">: For inter-cell multi-TRP enhancement, </w:t>
      </w:r>
      <w:r>
        <w:rPr>
          <w:rFonts w:ascii="Times New Roman" w:hAnsi="Times New Roman"/>
          <w:b/>
        </w:rPr>
        <w:t>replace</w:t>
      </w:r>
      <w:r w:rsidRPr="00BD5373">
        <w:rPr>
          <w:rFonts w:ascii="Times New Roman" w:hAnsi="Times New Roman"/>
          <w:b/>
        </w:rPr>
        <w:t xml:space="preserve"> the term “non-serving cell”</w:t>
      </w:r>
      <w:r>
        <w:rPr>
          <w:rFonts w:ascii="Times New Roman" w:hAnsi="Times New Roman"/>
          <w:b/>
        </w:rPr>
        <w:t xml:space="preserve"> with “cooperating cell” or the like.</w:t>
      </w:r>
    </w:p>
    <w:p w14:paraId="087CA738" w14:textId="77777777" w:rsidR="00D1073A" w:rsidRPr="00BD5373" w:rsidRDefault="00D1073A" w:rsidP="00D1073A">
      <w:pPr>
        <w:pStyle w:val="ListParagraph"/>
        <w:spacing w:beforeLines="50" w:before="120"/>
        <w:ind w:left="0"/>
        <w:jc w:val="both"/>
        <w:rPr>
          <w:rFonts w:ascii="Times New Roman" w:hAnsi="Times New Roman"/>
        </w:rPr>
      </w:pPr>
      <w:r w:rsidRPr="00BD5373">
        <w:rPr>
          <w:rFonts w:ascii="Times New Roman" w:hAnsi="Times New Roman"/>
          <w:b/>
          <w:u w:val="single"/>
        </w:rPr>
        <w:t>Proposal 2</w:t>
      </w:r>
      <w:r w:rsidRPr="00BD5373">
        <w:rPr>
          <w:rFonts w:ascii="Times New Roman" w:hAnsi="Times New Roman"/>
          <w:b/>
        </w:rPr>
        <w:t xml:space="preserve">: For </w:t>
      </w:r>
      <w:r>
        <w:rPr>
          <w:rFonts w:ascii="Times New Roman" w:hAnsi="Times New Roman"/>
          <w:b/>
        </w:rPr>
        <w:t xml:space="preserve">an </w:t>
      </w:r>
      <w:r w:rsidRPr="00BD5373">
        <w:rPr>
          <w:rFonts w:ascii="Times New Roman" w:hAnsi="Times New Roman"/>
          <w:b/>
        </w:rPr>
        <w:t>inter-cell TRP</w:t>
      </w:r>
      <w:r>
        <w:rPr>
          <w:rFonts w:ascii="Times New Roman" w:hAnsi="Times New Roman"/>
          <w:b/>
        </w:rPr>
        <w:t xml:space="preserve">, </w:t>
      </w:r>
      <w:r w:rsidRPr="00AD2F03">
        <w:rPr>
          <w:rFonts w:ascii="Times New Roman" w:hAnsi="Times New Roman"/>
          <w:b/>
        </w:rPr>
        <w:t>a signal/antenna port is non-co-located (NCLed) to the serving cell (i.e., the serving cell’s SSB) and is directly or indirectly QCLed to the non-serving cell’s SSB</w:t>
      </w:r>
      <w:r>
        <w:rPr>
          <w:rFonts w:ascii="Times New Roman" w:hAnsi="Times New Roman"/>
          <w:b/>
        </w:rPr>
        <w:t>.</w:t>
      </w:r>
    </w:p>
    <w:p w14:paraId="7C84F8D2" w14:textId="77777777" w:rsidR="00D1073A" w:rsidRPr="00BD5373" w:rsidRDefault="00D1073A" w:rsidP="00D1073A">
      <w:pPr>
        <w:pStyle w:val="ListParagraph"/>
        <w:spacing w:beforeLines="50" w:before="120"/>
        <w:ind w:left="0"/>
        <w:jc w:val="both"/>
        <w:rPr>
          <w:rFonts w:ascii="Times New Roman" w:hAnsi="Times New Roman"/>
        </w:rPr>
      </w:pPr>
      <w:r w:rsidRPr="00BD5373">
        <w:rPr>
          <w:rFonts w:ascii="Times New Roman" w:hAnsi="Times New Roman"/>
          <w:b/>
          <w:u w:val="single"/>
        </w:rPr>
        <w:t xml:space="preserve">Proposal </w:t>
      </w:r>
      <w:r>
        <w:rPr>
          <w:rFonts w:ascii="Times New Roman" w:hAnsi="Times New Roman"/>
          <w:b/>
          <w:u w:val="single"/>
        </w:rPr>
        <w:t>3</w:t>
      </w:r>
      <w:r w:rsidRPr="00BD5373">
        <w:rPr>
          <w:rFonts w:ascii="Times New Roman" w:hAnsi="Times New Roman"/>
          <w:b/>
        </w:rPr>
        <w:t xml:space="preserve">: </w:t>
      </w:r>
      <w:r>
        <w:rPr>
          <w:rFonts w:ascii="Times New Roman" w:hAnsi="Times New Roman"/>
          <w:b/>
        </w:rPr>
        <w:t xml:space="preserve">Explicitly configure the non-serving cell PCI as </w:t>
      </w:r>
      <w:r w:rsidRPr="00FF4BCB">
        <w:rPr>
          <w:rFonts w:ascii="Times New Roman" w:hAnsi="Times New Roman"/>
          <w:b/>
        </w:rPr>
        <w:t>physicalCellId</w:t>
      </w:r>
      <w:r>
        <w:rPr>
          <w:rFonts w:ascii="Times New Roman" w:hAnsi="Times New Roman"/>
          <w:b/>
        </w:rPr>
        <w:t>, reusing Rel-16 mechanism as much as possible.</w:t>
      </w:r>
    </w:p>
    <w:p w14:paraId="41872CF8" w14:textId="77777777" w:rsidR="00D1073A" w:rsidRDefault="00D1073A" w:rsidP="00D1073A">
      <w:pPr>
        <w:pStyle w:val="ListParagraph"/>
        <w:spacing w:beforeLines="50" w:before="120"/>
        <w:ind w:left="0"/>
        <w:jc w:val="both"/>
        <w:rPr>
          <w:rFonts w:ascii="Times New Roman" w:hAnsi="Times New Roman"/>
          <w:b/>
        </w:rPr>
      </w:pPr>
      <w:r w:rsidRPr="00BD5373">
        <w:rPr>
          <w:rFonts w:ascii="Times New Roman" w:hAnsi="Times New Roman"/>
          <w:b/>
          <w:u w:val="single"/>
        </w:rPr>
        <w:t xml:space="preserve">Proposal </w:t>
      </w:r>
      <w:r>
        <w:rPr>
          <w:rFonts w:ascii="Times New Roman" w:hAnsi="Times New Roman"/>
          <w:b/>
          <w:u w:val="single"/>
        </w:rPr>
        <w:t>4</w:t>
      </w:r>
      <w:r w:rsidRPr="00BD5373">
        <w:rPr>
          <w:rFonts w:ascii="Times New Roman" w:hAnsi="Times New Roman"/>
          <w:b/>
        </w:rPr>
        <w:t xml:space="preserve">: </w:t>
      </w:r>
      <w:r>
        <w:rPr>
          <w:rFonts w:ascii="Times New Roman" w:hAnsi="Times New Roman"/>
          <w:b/>
        </w:rPr>
        <w:t xml:space="preserve">Explicitly configure the non-serving cell </w:t>
      </w:r>
      <w:r w:rsidRPr="00B11B28">
        <w:rPr>
          <w:rFonts w:ascii="Times New Roman" w:hAnsi="Times New Roman"/>
          <w:b/>
        </w:rPr>
        <w:t>SSB index</w:t>
      </w:r>
      <w:r>
        <w:rPr>
          <w:rFonts w:ascii="Times New Roman" w:hAnsi="Times New Roman"/>
          <w:b/>
        </w:rPr>
        <w:t>.</w:t>
      </w:r>
    </w:p>
    <w:p w14:paraId="65484ED8" w14:textId="77777777" w:rsidR="001E32C3" w:rsidRPr="00D846F2" w:rsidRDefault="001E32C3" w:rsidP="001E32C3">
      <w:pPr>
        <w:pStyle w:val="ListParagraph"/>
        <w:spacing w:beforeLines="50" w:before="120"/>
        <w:ind w:left="0"/>
        <w:jc w:val="both"/>
        <w:rPr>
          <w:rFonts w:ascii="Times New Roman" w:eastAsia="SimSun" w:hAnsi="Times New Roman"/>
          <w:lang w:val="en-US"/>
        </w:rPr>
      </w:pPr>
      <w:r w:rsidRPr="00D846F2">
        <w:rPr>
          <w:rFonts w:ascii="Times New Roman" w:hAnsi="Times New Roman"/>
          <w:b/>
          <w:u w:val="single"/>
        </w:rPr>
        <w:t xml:space="preserve">Proposal </w:t>
      </w:r>
      <w:r>
        <w:rPr>
          <w:rFonts w:ascii="Times New Roman" w:hAnsi="Times New Roman"/>
          <w:b/>
          <w:u w:val="single"/>
        </w:rPr>
        <w:t>5</w:t>
      </w:r>
      <w:r w:rsidRPr="00D846F2">
        <w:rPr>
          <w:rFonts w:ascii="Times New Roman" w:hAnsi="Times New Roman"/>
          <w:b/>
        </w:rPr>
        <w:t xml:space="preserve">: For inter-cell multi-TRP, </w:t>
      </w:r>
      <w:r>
        <w:rPr>
          <w:rFonts w:ascii="Times New Roman" w:hAnsi="Times New Roman"/>
          <w:b/>
        </w:rPr>
        <w:t>generalize</w:t>
      </w:r>
      <w:r w:rsidRPr="00D846F2">
        <w:rPr>
          <w:rFonts w:ascii="Times New Roman" w:hAnsi="Times New Roman"/>
          <w:b/>
        </w:rPr>
        <w:t xml:space="preserve"> QCL types </w:t>
      </w:r>
      <w:r>
        <w:rPr>
          <w:rFonts w:ascii="Times New Roman" w:hAnsi="Times New Roman"/>
          <w:b/>
        </w:rPr>
        <w:t>to include</w:t>
      </w:r>
      <w:r w:rsidRPr="00D846F2">
        <w:rPr>
          <w:rFonts w:ascii="Times New Roman" w:hAnsi="Times New Roman"/>
          <w:b/>
        </w:rPr>
        <w:t xml:space="preserve"> all existing QCL types</w:t>
      </w:r>
      <w:r>
        <w:rPr>
          <w:rFonts w:ascii="Times New Roman" w:hAnsi="Times New Roman"/>
          <w:b/>
        </w:rPr>
        <w:t>,</w:t>
      </w:r>
      <w:r w:rsidRPr="00D846F2">
        <w:rPr>
          <w:rFonts w:ascii="Times New Roman" w:hAnsi="Times New Roman"/>
          <w:b/>
        </w:rPr>
        <w:t xml:space="preserve"> DL-UL spatial relation info</w:t>
      </w:r>
      <w:r>
        <w:rPr>
          <w:rFonts w:ascii="Times New Roman" w:hAnsi="Times New Roman"/>
          <w:b/>
        </w:rPr>
        <w:t>,</w:t>
      </w:r>
      <w:r w:rsidRPr="00D846F2">
        <w:rPr>
          <w:rFonts w:ascii="Times New Roman" w:hAnsi="Times New Roman"/>
          <w:b/>
        </w:rPr>
        <w:t xml:space="preserve"> SRI </w:t>
      </w:r>
      <w:r>
        <w:rPr>
          <w:rFonts w:ascii="Times New Roman" w:hAnsi="Times New Roman"/>
          <w:b/>
        </w:rPr>
        <w:t xml:space="preserve">relation, CSI-RS and SRS association, </w:t>
      </w:r>
      <w:r w:rsidRPr="00D846F2">
        <w:rPr>
          <w:rFonts w:ascii="Times New Roman" w:hAnsi="Times New Roman"/>
          <w:b/>
        </w:rPr>
        <w:t>and PL RS relation.</w:t>
      </w:r>
    </w:p>
    <w:p w14:paraId="6165C792" w14:textId="77777777" w:rsidR="00D1073A" w:rsidRDefault="00D1073A" w:rsidP="00D1073A">
      <w:pPr>
        <w:pStyle w:val="ListParagraph"/>
        <w:spacing w:beforeLines="50" w:before="120"/>
        <w:ind w:left="0"/>
        <w:jc w:val="both"/>
        <w:rPr>
          <w:rFonts w:ascii="Times New Roman" w:hAnsi="Times New Roman"/>
          <w:lang w:val="en-US"/>
        </w:rPr>
      </w:pPr>
      <w:r w:rsidRPr="00D846F2">
        <w:rPr>
          <w:rFonts w:ascii="Times New Roman" w:hAnsi="Times New Roman"/>
          <w:b/>
          <w:u w:val="single"/>
        </w:rPr>
        <w:t xml:space="preserve">Proposal </w:t>
      </w:r>
      <w:r>
        <w:rPr>
          <w:rFonts w:ascii="Times New Roman" w:hAnsi="Times New Roman"/>
          <w:b/>
          <w:u w:val="single"/>
        </w:rPr>
        <w:t>6</w:t>
      </w:r>
      <w:r w:rsidRPr="00D846F2">
        <w:rPr>
          <w:rFonts w:ascii="Times New Roman" w:hAnsi="Times New Roman"/>
          <w:b/>
        </w:rPr>
        <w:t xml:space="preserve">: </w:t>
      </w:r>
      <w:r w:rsidRPr="002874C6">
        <w:rPr>
          <w:rFonts w:ascii="Times New Roman" w:hAnsi="Times New Roman"/>
          <w:b/>
        </w:rPr>
        <w:t>Indicate/associate non-serving cell PCI via QCL/TCI state, which implicitly groups all RSs, channels, resources, and TCI states to the serving cell and the non-serving cell respectively.</w:t>
      </w:r>
      <w:r>
        <w:rPr>
          <w:rFonts w:ascii="Times New Roman" w:hAnsi="Times New Roman"/>
          <w:b/>
        </w:rPr>
        <w:t xml:space="preserve"> CORESET pool index is not necessary.</w:t>
      </w:r>
    </w:p>
    <w:p w14:paraId="56279693" w14:textId="77777777" w:rsidR="00DE102B" w:rsidRDefault="00DE102B" w:rsidP="00DE102B">
      <w:pPr>
        <w:pStyle w:val="References"/>
        <w:numPr>
          <w:ilvl w:val="0"/>
          <w:numId w:val="0"/>
        </w:numPr>
        <w:ind w:left="360"/>
        <w:rPr>
          <w:color w:val="000000" w:themeColor="text1"/>
        </w:rPr>
      </w:pPr>
    </w:p>
    <w:sectPr w:rsidR="00DE102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5ACA43" w14:textId="77777777" w:rsidR="00C8426A" w:rsidRDefault="00C8426A">
      <w:r>
        <w:separator/>
      </w:r>
    </w:p>
  </w:endnote>
  <w:endnote w:type="continuationSeparator" w:id="0">
    <w:p w14:paraId="618F7773" w14:textId="77777777" w:rsidR="00C8426A" w:rsidRDefault="00C84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13A8ED" w14:textId="77777777" w:rsidR="00C8426A" w:rsidRDefault="00C8426A">
      <w:r>
        <w:separator/>
      </w:r>
    </w:p>
  </w:footnote>
  <w:footnote w:type="continuationSeparator" w:id="0">
    <w:p w14:paraId="0F4FADA6" w14:textId="77777777" w:rsidR="00C8426A" w:rsidRDefault="00C842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3084722"/>
    <w:multiLevelType w:val="multilevel"/>
    <w:tmpl w:val="13084722"/>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numFmt w:val="bullet"/>
      <w:lvlText w:val="•"/>
      <w:lvlJc w:val="left"/>
      <w:pPr>
        <w:ind w:left="3600" w:hanging="720"/>
      </w:pPr>
      <w:rPr>
        <w:rFonts w:ascii="Times" w:eastAsia="Batang" w:hAnsi="Times" w:cs="Times"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18830208"/>
    <w:multiLevelType w:val="hybridMultilevel"/>
    <w:tmpl w:val="23D877E0"/>
    <w:lvl w:ilvl="0" w:tplc="43D83758">
      <w:start w:val="1"/>
      <w:numFmt w:val="bullet"/>
      <w:lvlText w:val="•"/>
      <w:lvlJc w:val="left"/>
      <w:pPr>
        <w:tabs>
          <w:tab w:val="num" w:pos="720"/>
        </w:tabs>
        <w:ind w:left="720" w:hanging="360"/>
      </w:pPr>
      <w:rPr>
        <w:rFonts w:ascii="Arial" w:hAnsi="Arial" w:hint="default"/>
      </w:rPr>
    </w:lvl>
    <w:lvl w:ilvl="1" w:tplc="B7CA41EE">
      <w:start w:val="8736"/>
      <w:numFmt w:val="bullet"/>
      <w:lvlText w:val="•"/>
      <w:lvlJc w:val="left"/>
      <w:pPr>
        <w:tabs>
          <w:tab w:val="num" w:pos="1440"/>
        </w:tabs>
        <w:ind w:left="1440" w:hanging="360"/>
      </w:pPr>
      <w:rPr>
        <w:rFonts w:ascii="Arial" w:hAnsi="Arial" w:hint="default"/>
      </w:rPr>
    </w:lvl>
    <w:lvl w:ilvl="2" w:tplc="B688FA20">
      <w:start w:val="8736"/>
      <w:numFmt w:val="bullet"/>
      <w:lvlText w:val="•"/>
      <w:lvlJc w:val="left"/>
      <w:pPr>
        <w:tabs>
          <w:tab w:val="num" w:pos="2160"/>
        </w:tabs>
        <w:ind w:left="2160" w:hanging="360"/>
      </w:pPr>
      <w:rPr>
        <w:rFonts w:ascii="Arial" w:hAnsi="Arial" w:hint="default"/>
      </w:rPr>
    </w:lvl>
    <w:lvl w:ilvl="3" w:tplc="3294A5D0" w:tentative="1">
      <w:start w:val="1"/>
      <w:numFmt w:val="bullet"/>
      <w:lvlText w:val="•"/>
      <w:lvlJc w:val="left"/>
      <w:pPr>
        <w:tabs>
          <w:tab w:val="num" w:pos="2880"/>
        </w:tabs>
        <w:ind w:left="2880" w:hanging="360"/>
      </w:pPr>
      <w:rPr>
        <w:rFonts w:ascii="Arial" w:hAnsi="Arial" w:hint="default"/>
      </w:rPr>
    </w:lvl>
    <w:lvl w:ilvl="4" w:tplc="D0783CFC" w:tentative="1">
      <w:start w:val="1"/>
      <w:numFmt w:val="bullet"/>
      <w:lvlText w:val="•"/>
      <w:lvlJc w:val="left"/>
      <w:pPr>
        <w:tabs>
          <w:tab w:val="num" w:pos="3600"/>
        </w:tabs>
        <w:ind w:left="3600" w:hanging="360"/>
      </w:pPr>
      <w:rPr>
        <w:rFonts w:ascii="Arial" w:hAnsi="Arial" w:hint="default"/>
      </w:rPr>
    </w:lvl>
    <w:lvl w:ilvl="5" w:tplc="0018D7B6" w:tentative="1">
      <w:start w:val="1"/>
      <w:numFmt w:val="bullet"/>
      <w:lvlText w:val="•"/>
      <w:lvlJc w:val="left"/>
      <w:pPr>
        <w:tabs>
          <w:tab w:val="num" w:pos="4320"/>
        </w:tabs>
        <w:ind w:left="4320" w:hanging="360"/>
      </w:pPr>
      <w:rPr>
        <w:rFonts w:ascii="Arial" w:hAnsi="Arial" w:hint="default"/>
      </w:rPr>
    </w:lvl>
    <w:lvl w:ilvl="6" w:tplc="13420BCE" w:tentative="1">
      <w:start w:val="1"/>
      <w:numFmt w:val="bullet"/>
      <w:lvlText w:val="•"/>
      <w:lvlJc w:val="left"/>
      <w:pPr>
        <w:tabs>
          <w:tab w:val="num" w:pos="5040"/>
        </w:tabs>
        <w:ind w:left="5040" w:hanging="360"/>
      </w:pPr>
      <w:rPr>
        <w:rFonts w:ascii="Arial" w:hAnsi="Arial" w:hint="default"/>
      </w:rPr>
    </w:lvl>
    <w:lvl w:ilvl="7" w:tplc="5ABAEC66" w:tentative="1">
      <w:start w:val="1"/>
      <w:numFmt w:val="bullet"/>
      <w:lvlText w:val="•"/>
      <w:lvlJc w:val="left"/>
      <w:pPr>
        <w:tabs>
          <w:tab w:val="num" w:pos="5760"/>
        </w:tabs>
        <w:ind w:left="5760" w:hanging="360"/>
      </w:pPr>
      <w:rPr>
        <w:rFonts w:ascii="Arial" w:hAnsi="Arial" w:hint="default"/>
      </w:rPr>
    </w:lvl>
    <w:lvl w:ilvl="8" w:tplc="A7F0391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8AB1A05"/>
    <w:multiLevelType w:val="multilevel"/>
    <w:tmpl w:val="18AB1A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2E849BC"/>
    <w:multiLevelType w:val="hybridMultilevel"/>
    <w:tmpl w:val="F544EB02"/>
    <w:lvl w:ilvl="0" w:tplc="5AD65BA4">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353F0D"/>
    <w:multiLevelType w:val="hybridMultilevel"/>
    <w:tmpl w:val="2CE21F1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B813A4C"/>
    <w:multiLevelType w:val="hybridMultilevel"/>
    <w:tmpl w:val="485AFDC2"/>
    <w:lvl w:ilvl="0" w:tplc="930E2BA8">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2FC2DB5"/>
    <w:multiLevelType w:val="hybridMultilevel"/>
    <w:tmpl w:val="55E6AABC"/>
    <w:lvl w:ilvl="0" w:tplc="4BB840CE">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75F08A8"/>
    <w:multiLevelType w:val="hybridMultilevel"/>
    <w:tmpl w:val="59FA2DBC"/>
    <w:lvl w:ilvl="0" w:tplc="930E2BA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12" w15:restartNumberingAfterBreak="0">
    <w:nsid w:val="47607049"/>
    <w:multiLevelType w:val="hybridMultilevel"/>
    <w:tmpl w:val="D24C3E7E"/>
    <w:lvl w:ilvl="0" w:tplc="ED101606">
      <w:start w:val="1"/>
      <w:numFmt w:val="bullet"/>
      <w:lvlText w:val="•"/>
      <w:lvlJc w:val="left"/>
      <w:pPr>
        <w:tabs>
          <w:tab w:val="num" w:pos="720"/>
        </w:tabs>
        <w:ind w:left="720" w:hanging="360"/>
      </w:pPr>
      <w:rPr>
        <w:rFonts w:ascii="Arial" w:hAnsi="Arial" w:hint="default"/>
      </w:rPr>
    </w:lvl>
    <w:lvl w:ilvl="1" w:tplc="5C9EAF52">
      <w:start w:val="512"/>
      <w:numFmt w:val="bullet"/>
      <w:lvlText w:val="•"/>
      <w:lvlJc w:val="left"/>
      <w:pPr>
        <w:tabs>
          <w:tab w:val="num" w:pos="1440"/>
        </w:tabs>
        <w:ind w:left="1440" w:hanging="360"/>
      </w:pPr>
      <w:rPr>
        <w:rFonts w:ascii="Arial" w:hAnsi="Arial" w:hint="default"/>
      </w:rPr>
    </w:lvl>
    <w:lvl w:ilvl="2" w:tplc="4ECECF3C">
      <w:start w:val="512"/>
      <w:numFmt w:val="bullet"/>
      <w:lvlText w:val="•"/>
      <w:lvlJc w:val="left"/>
      <w:pPr>
        <w:tabs>
          <w:tab w:val="num" w:pos="2160"/>
        </w:tabs>
        <w:ind w:left="2160" w:hanging="360"/>
      </w:pPr>
      <w:rPr>
        <w:rFonts w:ascii="Arial" w:hAnsi="Arial" w:hint="default"/>
      </w:rPr>
    </w:lvl>
    <w:lvl w:ilvl="3" w:tplc="C2D628C6">
      <w:start w:val="512"/>
      <w:numFmt w:val="bullet"/>
      <w:lvlText w:val="•"/>
      <w:lvlJc w:val="left"/>
      <w:pPr>
        <w:tabs>
          <w:tab w:val="num" w:pos="2880"/>
        </w:tabs>
        <w:ind w:left="2880" w:hanging="360"/>
      </w:pPr>
      <w:rPr>
        <w:rFonts w:ascii="Arial" w:hAnsi="Arial" w:hint="default"/>
      </w:rPr>
    </w:lvl>
    <w:lvl w:ilvl="4" w:tplc="B9629E3A" w:tentative="1">
      <w:start w:val="1"/>
      <w:numFmt w:val="bullet"/>
      <w:lvlText w:val="•"/>
      <w:lvlJc w:val="left"/>
      <w:pPr>
        <w:tabs>
          <w:tab w:val="num" w:pos="3600"/>
        </w:tabs>
        <w:ind w:left="3600" w:hanging="360"/>
      </w:pPr>
      <w:rPr>
        <w:rFonts w:ascii="Arial" w:hAnsi="Arial" w:hint="default"/>
      </w:rPr>
    </w:lvl>
    <w:lvl w:ilvl="5" w:tplc="84621C0A" w:tentative="1">
      <w:start w:val="1"/>
      <w:numFmt w:val="bullet"/>
      <w:lvlText w:val="•"/>
      <w:lvlJc w:val="left"/>
      <w:pPr>
        <w:tabs>
          <w:tab w:val="num" w:pos="4320"/>
        </w:tabs>
        <w:ind w:left="4320" w:hanging="360"/>
      </w:pPr>
      <w:rPr>
        <w:rFonts w:ascii="Arial" w:hAnsi="Arial" w:hint="default"/>
      </w:rPr>
    </w:lvl>
    <w:lvl w:ilvl="6" w:tplc="F5CE6B18" w:tentative="1">
      <w:start w:val="1"/>
      <w:numFmt w:val="bullet"/>
      <w:lvlText w:val="•"/>
      <w:lvlJc w:val="left"/>
      <w:pPr>
        <w:tabs>
          <w:tab w:val="num" w:pos="5040"/>
        </w:tabs>
        <w:ind w:left="5040" w:hanging="360"/>
      </w:pPr>
      <w:rPr>
        <w:rFonts w:ascii="Arial" w:hAnsi="Arial" w:hint="default"/>
      </w:rPr>
    </w:lvl>
    <w:lvl w:ilvl="7" w:tplc="0360D3A2" w:tentative="1">
      <w:start w:val="1"/>
      <w:numFmt w:val="bullet"/>
      <w:lvlText w:val="•"/>
      <w:lvlJc w:val="left"/>
      <w:pPr>
        <w:tabs>
          <w:tab w:val="num" w:pos="5760"/>
        </w:tabs>
        <w:ind w:left="5760" w:hanging="360"/>
      </w:pPr>
      <w:rPr>
        <w:rFonts w:ascii="Arial" w:hAnsi="Arial" w:hint="default"/>
      </w:rPr>
    </w:lvl>
    <w:lvl w:ilvl="8" w:tplc="921CD75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14" w15:restartNumberingAfterBreak="0">
    <w:nsid w:val="4A7D6952"/>
    <w:multiLevelType w:val="hybridMultilevel"/>
    <w:tmpl w:val="4CE42F5C"/>
    <w:lvl w:ilvl="0" w:tplc="7FF2ED88">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FC20DE"/>
    <w:multiLevelType w:val="multilevel"/>
    <w:tmpl w:val="4CFC20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1736F70"/>
    <w:multiLevelType w:val="hybridMultilevel"/>
    <w:tmpl w:val="3E049110"/>
    <w:lvl w:ilvl="0" w:tplc="930E2BA8">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44700DE"/>
    <w:multiLevelType w:val="hybridMultilevel"/>
    <w:tmpl w:val="6BDAFAF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19"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EA77896"/>
    <w:multiLevelType w:val="hybridMultilevel"/>
    <w:tmpl w:val="5E289380"/>
    <w:lvl w:ilvl="0" w:tplc="554E202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2CC77EC"/>
    <w:multiLevelType w:val="hybridMultilevel"/>
    <w:tmpl w:val="8EB649E6"/>
    <w:lvl w:ilvl="0" w:tplc="5BC629C4">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975C52"/>
    <w:multiLevelType w:val="hybridMultilevel"/>
    <w:tmpl w:val="E2846FD8"/>
    <w:lvl w:ilvl="0" w:tplc="0C3A7EF0">
      <w:start w:val="1"/>
      <w:numFmt w:val="bullet"/>
      <w:lvlText w:val="•"/>
      <w:lvlJc w:val="left"/>
      <w:pPr>
        <w:tabs>
          <w:tab w:val="num" w:pos="360"/>
        </w:tabs>
        <w:ind w:left="360" w:hanging="360"/>
      </w:pPr>
      <w:rPr>
        <w:rFonts w:ascii="Arial" w:hAnsi="Arial" w:hint="default"/>
      </w:rPr>
    </w:lvl>
    <w:lvl w:ilvl="1" w:tplc="5E9013BE">
      <w:numFmt w:val="bullet"/>
      <w:lvlText w:val="•"/>
      <w:lvlJc w:val="left"/>
      <w:pPr>
        <w:tabs>
          <w:tab w:val="num" w:pos="1080"/>
        </w:tabs>
        <w:ind w:left="1080" w:hanging="360"/>
      </w:pPr>
      <w:rPr>
        <w:rFonts w:ascii="Arial" w:hAnsi="Arial" w:hint="default"/>
      </w:rPr>
    </w:lvl>
    <w:lvl w:ilvl="2" w:tplc="B6D6A34C" w:tentative="1">
      <w:start w:val="1"/>
      <w:numFmt w:val="bullet"/>
      <w:lvlText w:val="•"/>
      <w:lvlJc w:val="left"/>
      <w:pPr>
        <w:tabs>
          <w:tab w:val="num" w:pos="1800"/>
        </w:tabs>
        <w:ind w:left="1800" w:hanging="360"/>
      </w:pPr>
      <w:rPr>
        <w:rFonts w:ascii="Arial" w:hAnsi="Arial" w:hint="default"/>
      </w:rPr>
    </w:lvl>
    <w:lvl w:ilvl="3" w:tplc="42DC7408" w:tentative="1">
      <w:start w:val="1"/>
      <w:numFmt w:val="bullet"/>
      <w:lvlText w:val="•"/>
      <w:lvlJc w:val="left"/>
      <w:pPr>
        <w:tabs>
          <w:tab w:val="num" w:pos="2520"/>
        </w:tabs>
        <w:ind w:left="2520" w:hanging="360"/>
      </w:pPr>
      <w:rPr>
        <w:rFonts w:ascii="Arial" w:hAnsi="Arial" w:hint="default"/>
      </w:rPr>
    </w:lvl>
    <w:lvl w:ilvl="4" w:tplc="E41A7B2E" w:tentative="1">
      <w:start w:val="1"/>
      <w:numFmt w:val="bullet"/>
      <w:lvlText w:val="•"/>
      <w:lvlJc w:val="left"/>
      <w:pPr>
        <w:tabs>
          <w:tab w:val="num" w:pos="3240"/>
        </w:tabs>
        <w:ind w:left="3240" w:hanging="360"/>
      </w:pPr>
      <w:rPr>
        <w:rFonts w:ascii="Arial" w:hAnsi="Arial" w:hint="default"/>
      </w:rPr>
    </w:lvl>
    <w:lvl w:ilvl="5" w:tplc="F5FE9668" w:tentative="1">
      <w:start w:val="1"/>
      <w:numFmt w:val="bullet"/>
      <w:lvlText w:val="•"/>
      <w:lvlJc w:val="left"/>
      <w:pPr>
        <w:tabs>
          <w:tab w:val="num" w:pos="3960"/>
        </w:tabs>
        <w:ind w:left="3960" w:hanging="360"/>
      </w:pPr>
      <w:rPr>
        <w:rFonts w:ascii="Arial" w:hAnsi="Arial" w:hint="default"/>
      </w:rPr>
    </w:lvl>
    <w:lvl w:ilvl="6" w:tplc="B0064782" w:tentative="1">
      <w:start w:val="1"/>
      <w:numFmt w:val="bullet"/>
      <w:lvlText w:val="•"/>
      <w:lvlJc w:val="left"/>
      <w:pPr>
        <w:tabs>
          <w:tab w:val="num" w:pos="4680"/>
        </w:tabs>
        <w:ind w:left="4680" w:hanging="360"/>
      </w:pPr>
      <w:rPr>
        <w:rFonts w:ascii="Arial" w:hAnsi="Arial" w:hint="default"/>
      </w:rPr>
    </w:lvl>
    <w:lvl w:ilvl="7" w:tplc="D212824E" w:tentative="1">
      <w:start w:val="1"/>
      <w:numFmt w:val="bullet"/>
      <w:lvlText w:val="•"/>
      <w:lvlJc w:val="left"/>
      <w:pPr>
        <w:tabs>
          <w:tab w:val="num" w:pos="5400"/>
        </w:tabs>
        <w:ind w:left="5400" w:hanging="360"/>
      </w:pPr>
      <w:rPr>
        <w:rFonts w:ascii="Arial" w:hAnsi="Arial" w:hint="default"/>
      </w:rPr>
    </w:lvl>
    <w:lvl w:ilvl="8" w:tplc="8206BB6A"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6B945CBB"/>
    <w:multiLevelType w:val="hybridMultilevel"/>
    <w:tmpl w:val="95205D0A"/>
    <w:lvl w:ilvl="0" w:tplc="58004FA4">
      <w:start w:val="4"/>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E311359"/>
    <w:multiLevelType w:val="hybridMultilevel"/>
    <w:tmpl w:val="4EFEE92C"/>
    <w:lvl w:ilvl="0" w:tplc="E8BAA4E8">
      <w:start w:val="3"/>
      <w:numFmt w:val="decimal"/>
      <w:lvlText w:val="%1."/>
      <w:lvlJc w:val="left"/>
      <w:pPr>
        <w:ind w:left="360" w:hanging="360"/>
      </w:pPr>
      <w:rPr>
        <w:rFonts w:hint="default"/>
      </w:rPr>
    </w:lvl>
    <w:lvl w:ilvl="1" w:tplc="ED569C86">
      <w:start w:val="2"/>
      <w:numFmt w:val="lowerLetter"/>
      <w:lvlText w:val="%2."/>
      <w:lvlJc w:val="left"/>
      <w:pPr>
        <w:ind w:left="720" w:hanging="360"/>
      </w:pPr>
      <w:rPr>
        <w:rFonts w:hint="default"/>
      </w:rPr>
    </w:lvl>
    <w:lvl w:ilvl="2" w:tplc="0409001B">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num w:numId="1">
    <w:abstractNumId w:val="11"/>
  </w:num>
  <w:num w:numId="2">
    <w:abstractNumId w:val="8"/>
  </w:num>
  <w:num w:numId="3">
    <w:abstractNumId w:val="21"/>
  </w:num>
  <w:num w:numId="4">
    <w:abstractNumId w:val="5"/>
  </w:num>
  <w:num w:numId="5">
    <w:abstractNumId w:val="24"/>
  </w:num>
  <w:num w:numId="6">
    <w:abstractNumId w:val="20"/>
  </w:num>
  <w:num w:numId="7">
    <w:abstractNumId w:val="5"/>
  </w:num>
  <w:num w:numId="8">
    <w:abstractNumId w:val="0"/>
  </w:num>
  <w:num w:numId="9">
    <w:abstractNumId w:val="25"/>
  </w:num>
  <w:num w:numId="10">
    <w:abstractNumId w:val="15"/>
  </w:num>
  <w:num w:numId="11">
    <w:abstractNumId w:val="18"/>
  </w:num>
  <w:num w:numId="12">
    <w:abstractNumId w:val="3"/>
  </w:num>
  <w:num w:numId="13">
    <w:abstractNumId w:val="1"/>
  </w:num>
  <w:num w:numId="14">
    <w:abstractNumId w:val="14"/>
  </w:num>
  <w:num w:numId="15">
    <w:abstractNumId w:val="10"/>
  </w:num>
  <w:num w:numId="16">
    <w:abstractNumId w:val="23"/>
  </w:num>
  <w:num w:numId="17">
    <w:abstractNumId w:val="9"/>
  </w:num>
  <w:num w:numId="18">
    <w:abstractNumId w:val="16"/>
  </w:num>
  <w:num w:numId="19">
    <w:abstractNumId w:val="6"/>
  </w:num>
  <w:num w:numId="20">
    <w:abstractNumId w:val="19"/>
  </w:num>
  <w:num w:numId="21">
    <w:abstractNumId w:val="12"/>
  </w:num>
  <w:num w:numId="22">
    <w:abstractNumId w:val="2"/>
  </w:num>
  <w:num w:numId="23">
    <w:abstractNumId w:val="13"/>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4"/>
  </w:num>
  <w:num w:numId="27">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00D"/>
    <w:rsid w:val="0000143E"/>
    <w:rsid w:val="00001718"/>
    <w:rsid w:val="000020F6"/>
    <w:rsid w:val="00002893"/>
    <w:rsid w:val="0000326A"/>
    <w:rsid w:val="000033A3"/>
    <w:rsid w:val="00003605"/>
    <w:rsid w:val="00003B0B"/>
    <w:rsid w:val="00003C56"/>
    <w:rsid w:val="00003EC2"/>
    <w:rsid w:val="000040A9"/>
    <w:rsid w:val="00004201"/>
    <w:rsid w:val="0000451C"/>
    <w:rsid w:val="0000458E"/>
    <w:rsid w:val="0000492C"/>
    <w:rsid w:val="00004E70"/>
    <w:rsid w:val="00005E66"/>
    <w:rsid w:val="000067E8"/>
    <w:rsid w:val="00006B4B"/>
    <w:rsid w:val="00007086"/>
    <w:rsid w:val="000072B6"/>
    <w:rsid w:val="000072DD"/>
    <w:rsid w:val="00007813"/>
    <w:rsid w:val="000102D7"/>
    <w:rsid w:val="000109E6"/>
    <w:rsid w:val="0001116D"/>
    <w:rsid w:val="00011278"/>
    <w:rsid w:val="00011F67"/>
    <w:rsid w:val="00012862"/>
    <w:rsid w:val="000128E6"/>
    <w:rsid w:val="00012F77"/>
    <w:rsid w:val="00013371"/>
    <w:rsid w:val="00014395"/>
    <w:rsid w:val="00015A05"/>
    <w:rsid w:val="00015EFB"/>
    <w:rsid w:val="000162CA"/>
    <w:rsid w:val="000165E2"/>
    <w:rsid w:val="0001678E"/>
    <w:rsid w:val="00016B0E"/>
    <w:rsid w:val="00016EF9"/>
    <w:rsid w:val="000172BE"/>
    <w:rsid w:val="00017519"/>
    <w:rsid w:val="00017D8A"/>
    <w:rsid w:val="0002030C"/>
    <w:rsid w:val="0002235F"/>
    <w:rsid w:val="000224D1"/>
    <w:rsid w:val="000227D0"/>
    <w:rsid w:val="00022A52"/>
    <w:rsid w:val="00023388"/>
    <w:rsid w:val="00023425"/>
    <w:rsid w:val="00023685"/>
    <w:rsid w:val="00023E05"/>
    <w:rsid w:val="000241BE"/>
    <w:rsid w:val="000242F2"/>
    <w:rsid w:val="000247FA"/>
    <w:rsid w:val="000249E3"/>
    <w:rsid w:val="000267C3"/>
    <w:rsid w:val="00026875"/>
    <w:rsid w:val="00026C44"/>
    <w:rsid w:val="00026D4B"/>
    <w:rsid w:val="0002702E"/>
    <w:rsid w:val="000275C6"/>
    <w:rsid w:val="00027AD6"/>
    <w:rsid w:val="00027C82"/>
    <w:rsid w:val="0003024C"/>
    <w:rsid w:val="00030533"/>
    <w:rsid w:val="0003083D"/>
    <w:rsid w:val="00031ADB"/>
    <w:rsid w:val="00032056"/>
    <w:rsid w:val="000328CA"/>
    <w:rsid w:val="00032972"/>
    <w:rsid w:val="00032BA3"/>
    <w:rsid w:val="00032E40"/>
    <w:rsid w:val="0003376B"/>
    <w:rsid w:val="00034676"/>
    <w:rsid w:val="000346E6"/>
    <w:rsid w:val="00034E5C"/>
    <w:rsid w:val="000352B3"/>
    <w:rsid w:val="00036660"/>
    <w:rsid w:val="000371DD"/>
    <w:rsid w:val="00037C6A"/>
    <w:rsid w:val="00040180"/>
    <w:rsid w:val="0004023E"/>
    <w:rsid w:val="0004024B"/>
    <w:rsid w:val="000404D2"/>
    <w:rsid w:val="00041C10"/>
    <w:rsid w:val="00041C57"/>
    <w:rsid w:val="00041D96"/>
    <w:rsid w:val="00042ADB"/>
    <w:rsid w:val="000434B7"/>
    <w:rsid w:val="000435E4"/>
    <w:rsid w:val="000448C0"/>
    <w:rsid w:val="00045848"/>
    <w:rsid w:val="0004589B"/>
    <w:rsid w:val="00045FB1"/>
    <w:rsid w:val="00046189"/>
    <w:rsid w:val="00046796"/>
    <w:rsid w:val="000467FD"/>
    <w:rsid w:val="0004682C"/>
    <w:rsid w:val="00046AAF"/>
    <w:rsid w:val="00047225"/>
    <w:rsid w:val="0004724D"/>
    <w:rsid w:val="00047B98"/>
    <w:rsid w:val="00047D21"/>
    <w:rsid w:val="00047D47"/>
    <w:rsid w:val="00047E60"/>
    <w:rsid w:val="00050D8A"/>
    <w:rsid w:val="000512E3"/>
    <w:rsid w:val="000516F0"/>
    <w:rsid w:val="00051D59"/>
    <w:rsid w:val="00052144"/>
    <w:rsid w:val="000525A8"/>
    <w:rsid w:val="00052AD2"/>
    <w:rsid w:val="00052C56"/>
    <w:rsid w:val="00052FEE"/>
    <w:rsid w:val="000530DF"/>
    <w:rsid w:val="000543DD"/>
    <w:rsid w:val="00054BBB"/>
    <w:rsid w:val="00054E0C"/>
    <w:rsid w:val="0005541D"/>
    <w:rsid w:val="00055B33"/>
    <w:rsid w:val="000565C8"/>
    <w:rsid w:val="000567AD"/>
    <w:rsid w:val="00057DC8"/>
    <w:rsid w:val="00060AB2"/>
    <w:rsid w:val="000612E1"/>
    <w:rsid w:val="000614FE"/>
    <w:rsid w:val="0006295E"/>
    <w:rsid w:val="00062C37"/>
    <w:rsid w:val="00063C08"/>
    <w:rsid w:val="00064A09"/>
    <w:rsid w:val="00065C8C"/>
    <w:rsid w:val="00065D38"/>
    <w:rsid w:val="000661FE"/>
    <w:rsid w:val="0006694E"/>
    <w:rsid w:val="00066EF9"/>
    <w:rsid w:val="00067DD1"/>
    <w:rsid w:val="000702E6"/>
    <w:rsid w:val="00070447"/>
    <w:rsid w:val="000706E7"/>
    <w:rsid w:val="00070C73"/>
    <w:rsid w:val="00070EF8"/>
    <w:rsid w:val="00070EF9"/>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76D"/>
    <w:rsid w:val="00076E44"/>
    <w:rsid w:val="00076E54"/>
    <w:rsid w:val="000772F4"/>
    <w:rsid w:val="000776EB"/>
    <w:rsid w:val="00081899"/>
    <w:rsid w:val="000823B0"/>
    <w:rsid w:val="0008335B"/>
    <w:rsid w:val="00083379"/>
    <w:rsid w:val="00083587"/>
    <w:rsid w:val="00083838"/>
    <w:rsid w:val="00083B6A"/>
    <w:rsid w:val="00084DF2"/>
    <w:rsid w:val="000858D7"/>
    <w:rsid w:val="00085E04"/>
    <w:rsid w:val="00086763"/>
    <w:rsid w:val="00086800"/>
    <w:rsid w:val="00086AA0"/>
    <w:rsid w:val="00087913"/>
    <w:rsid w:val="000902DC"/>
    <w:rsid w:val="00090946"/>
    <w:rsid w:val="000911AE"/>
    <w:rsid w:val="000924AF"/>
    <w:rsid w:val="00092DF7"/>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74A"/>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9A9"/>
    <w:rsid w:val="000B1FE1"/>
    <w:rsid w:val="000B2985"/>
    <w:rsid w:val="000B2C88"/>
    <w:rsid w:val="000B3342"/>
    <w:rsid w:val="000B3905"/>
    <w:rsid w:val="000B3A59"/>
    <w:rsid w:val="000B3B37"/>
    <w:rsid w:val="000B4D45"/>
    <w:rsid w:val="000B51FA"/>
    <w:rsid w:val="000B56AB"/>
    <w:rsid w:val="000B5905"/>
    <w:rsid w:val="000B5975"/>
    <w:rsid w:val="000B5F3C"/>
    <w:rsid w:val="000B60DB"/>
    <w:rsid w:val="000B6245"/>
    <w:rsid w:val="000B6E2C"/>
    <w:rsid w:val="000B7286"/>
    <w:rsid w:val="000B749B"/>
    <w:rsid w:val="000B76C5"/>
    <w:rsid w:val="000B76F1"/>
    <w:rsid w:val="000B7893"/>
    <w:rsid w:val="000B7A10"/>
    <w:rsid w:val="000C055B"/>
    <w:rsid w:val="000C115D"/>
    <w:rsid w:val="000C13AE"/>
    <w:rsid w:val="000C1535"/>
    <w:rsid w:val="000C1F4B"/>
    <w:rsid w:val="000C252B"/>
    <w:rsid w:val="000C2FBD"/>
    <w:rsid w:val="000C3B0C"/>
    <w:rsid w:val="000C422D"/>
    <w:rsid w:val="000C485D"/>
    <w:rsid w:val="000C53CD"/>
    <w:rsid w:val="000C5ADD"/>
    <w:rsid w:val="000C5F91"/>
    <w:rsid w:val="000C6025"/>
    <w:rsid w:val="000C6792"/>
    <w:rsid w:val="000C6EFA"/>
    <w:rsid w:val="000C7345"/>
    <w:rsid w:val="000D0565"/>
    <w:rsid w:val="000D0811"/>
    <w:rsid w:val="000D0E4E"/>
    <w:rsid w:val="000D113C"/>
    <w:rsid w:val="000D12D1"/>
    <w:rsid w:val="000D159A"/>
    <w:rsid w:val="000D16FF"/>
    <w:rsid w:val="000D1796"/>
    <w:rsid w:val="000D20EA"/>
    <w:rsid w:val="000D2220"/>
    <w:rsid w:val="000D22CC"/>
    <w:rsid w:val="000D2938"/>
    <w:rsid w:val="000D31C8"/>
    <w:rsid w:val="000D36AE"/>
    <w:rsid w:val="000D38A1"/>
    <w:rsid w:val="000D3C4B"/>
    <w:rsid w:val="000D4C4E"/>
    <w:rsid w:val="000D5077"/>
    <w:rsid w:val="000D51C3"/>
    <w:rsid w:val="000D5362"/>
    <w:rsid w:val="000D57F8"/>
    <w:rsid w:val="000D5851"/>
    <w:rsid w:val="000D5C60"/>
    <w:rsid w:val="000D694B"/>
    <w:rsid w:val="000D715A"/>
    <w:rsid w:val="000D71E2"/>
    <w:rsid w:val="000D73A5"/>
    <w:rsid w:val="000E07D6"/>
    <w:rsid w:val="000E1380"/>
    <w:rsid w:val="000E1588"/>
    <w:rsid w:val="000E18DF"/>
    <w:rsid w:val="000E1FE5"/>
    <w:rsid w:val="000E2BD7"/>
    <w:rsid w:val="000E3123"/>
    <w:rsid w:val="000E4761"/>
    <w:rsid w:val="000E48AF"/>
    <w:rsid w:val="000E59A0"/>
    <w:rsid w:val="000E7403"/>
    <w:rsid w:val="000E7A84"/>
    <w:rsid w:val="000F0079"/>
    <w:rsid w:val="000F0CC6"/>
    <w:rsid w:val="000F15BC"/>
    <w:rsid w:val="000F180A"/>
    <w:rsid w:val="000F1C92"/>
    <w:rsid w:val="000F1E81"/>
    <w:rsid w:val="000F2D25"/>
    <w:rsid w:val="000F2EEE"/>
    <w:rsid w:val="000F3238"/>
    <w:rsid w:val="000F3697"/>
    <w:rsid w:val="000F407D"/>
    <w:rsid w:val="000F5BC8"/>
    <w:rsid w:val="000F631C"/>
    <w:rsid w:val="000F637B"/>
    <w:rsid w:val="000F65A0"/>
    <w:rsid w:val="000F7326"/>
    <w:rsid w:val="000F756F"/>
    <w:rsid w:val="000F7F58"/>
    <w:rsid w:val="00100128"/>
    <w:rsid w:val="00100CDC"/>
    <w:rsid w:val="00100FF3"/>
    <w:rsid w:val="00101492"/>
    <w:rsid w:val="00101753"/>
    <w:rsid w:val="001019A7"/>
    <w:rsid w:val="00101CB8"/>
    <w:rsid w:val="00101EB7"/>
    <w:rsid w:val="001022A0"/>
    <w:rsid w:val="001026CA"/>
    <w:rsid w:val="001033E1"/>
    <w:rsid w:val="00104210"/>
    <w:rsid w:val="001043C2"/>
    <w:rsid w:val="001043E1"/>
    <w:rsid w:val="001046C3"/>
    <w:rsid w:val="0010488D"/>
    <w:rsid w:val="00104B45"/>
    <w:rsid w:val="0010505A"/>
    <w:rsid w:val="0010532D"/>
    <w:rsid w:val="00105CC7"/>
    <w:rsid w:val="001063FE"/>
    <w:rsid w:val="001076A0"/>
    <w:rsid w:val="00107779"/>
    <w:rsid w:val="00107857"/>
    <w:rsid w:val="001078C2"/>
    <w:rsid w:val="00107E1C"/>
    <w:rsid w:val="00110067"/>
    <w:rsid w:val="00110243"/>
    <w:rsid w:val="0011072C"/>
    <w:rsid w:val="001112C4"/>
    <w:rsid w:val="001113D1"/>
    <w:rsid w:val="00111444"/>
    <w:rsid w:val="00111723"/>
    <w:rsid w:val="00111860"/>
    <w:rsid w:val="001129B5"/>
    <w:rsid w:val="00112AD7"/>
    <w:rsid w:val="00112B9A"/>
    <w:rsid w:val="00112BAD"/>
    <w:rsid w:val="00112BE6"/>
    <w:rsid w:val="00112D22"/>
    <w:rsid w:val="00112FE5"/>
    <w:rsid w:val="00113C24"/>
    <w:rsid w:val="001141E3"/>
    <w:rsid w:val="001144DF"/>
    <w:rsid w:val="00114B18"/>
    <w:rsid w:val="00114BF1"/>
    <w:rsid w:val="001152B9"/>
    <w:rsid w:val="0011557B"/>
    <w:rsid w:val="00115B5D"/>
    <w:rsid w:val="001160C4"/>
    <w:rsid w:val="001161A4"/>
    <w:rsid w:val="00116585"/>
    <w:rsid w:val="00116643"/>
    <w:rsid w:val="001169EC"/>
    <w:rsid w:val="00117141"/>
    <w:rsid w:val="00117678"/>
    <w:rsid w:val="001179BC"/>
    <w:rsid w:val="00117C85"/>
    <w:rsid w:val="001203A0"/>
    <w:rsid w:val="00120B13"/>
    <w:rsid w:val="00121162"/>
    <w:rsid w:val="00121DF7"/>
    <w:rsid w:val="0012324C"/>
    <w:rsid w:val="001233BB"/>
    <w:rsid w:val="00124258"/>
    <w:rsid w:val="0012449B"/>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184"/>
    <w:rsid w:val="00134B88"/>
    <w:rsid w:val="00135A01"/>
    <w:rsid w:val="00136A23"/>
    <w:rsid w:val="00136B99"/>
    <w:rsid w:val="0014063E"/>
    <w:rsid w:val="0014087D"/>
    <w:rsid w:val="00140F74"/>
    <w:rsid w:val="00141191"/>
    <w:rsid w:val="0014159C"/>
    <w:rsid w:val="00142665"/>
    <w:rsid w:val="00143123"/>
    <w:rsid w:val="0014384A"/>
    <w:rsid w:val="0014450F"/>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673F"/>
    <w:rsid w:val="001572C1"/>
    <w:rsid w:val="001577D8"/>
    <w:rsid w:val="00157FC3"/>
    <w:rsid w:val="00160655"/>
    <w:rsid w:val="00160739"/>
    <w:rsid w:val="00160FD4"/>
    <w:rsid w:val="00161FE4"/>
    <w:rsid w:val="0016271E"/>
    <w:rsid w:val="00162D7A"/>
    <w:rsid w:val="00162DAB"/>
    <w:rsid w:val="001633C3"/>
    <w:rsid w:val="00163654"/>
    <w:rsid w:val="00164DAB"/>
    <w:rsid w:val="0016541D"/>
    <w:rsid w:val="00165A24"/>
    <w:rsid w:val="00165BBB"/>
    <w:rsid w:val="00165C72"/>
    <w:rsid w:val="00165FEB"/>
    <w:rsid w:val="0016613F"/>
    <w:rsid w:val="00166215"/>
    <w:rsid w:val="00166487"/>
    <w:rsid w:val="00166591"/>
    <w:rsid w:val="001666C4"/>
    <w:rsid w:val="00166BBC"/>
    <w:rsid w:val="001670B2"/>
    <w:rsid w:val="00167A37"/>
    <w:rsid w:val="00167C3C"/>
    <w:rsid w:val="00170E24"/>
    <w:rsid w:val="00171143"/>
    <w:rsid w:val="00172864"/>
    <w:rsid w:val="00172B82"/>
    <w:rsid w:val="00172EFA"/>
    <w:rsid w:val="00173608"/>
    <w:rsid w:val="00173938"/>
    <w:rsid w:val="001745EC"/>
    <w:rsid w:val="001747B7"/>
    <w:rsid w:val="00174B63"/>
    <w:rsid w:val="00175446"/>
    <w:rsid w:val="00175C30"/>
    <w:rsid w:val="001762F8"/>
    <w:rsid w:val="00177069"/>
    <w:rsid w:val="0017709D"/>
    <w:rsid w:val="00177FC1"/>
    <w:rsid w:val="0018014F"/>
    <w:rsid w:val="0018070A"/>
    <w:rsid w:val="001815A2"/>
    <w:rsid w:val="00181FC1"/>
    <w:rsid w:val="001823C3"/>
    <w:rsid w:val="00182F13"/>
    <w:rsid w:val="00183034"/>
    <w:rsid w:val="001830F7"/>
    <w:rsid w:val="0018371D"/>
    <w:rsid w:val="00183EE6"/>
    <w:rsid w:val="001844E5"/>
    <w:rsid w:val="00184E75"/>
    <w:rsid w:val="0018528A"/>
    <w:rsid w:val="0018588A"/>
    <w:rsid w:val="00185FC2"/>
    <w:rsid w:val="00186BE6"/>
    <w:rsid w:val="00187252"/>
    <w:rsid w:val="00187CCB"/>
    <w:rsid w:val="00187E43"/>
    <w:rsid w:val="001910FF"/>
    <w:rsid w:val="00191C91"/>
    <w:rsid w:val="00192DD9"/>
    <w:rsid w:val="001931F7"/>
    <w:rsid w:val="00193878"/>
    <w:rsid w:val="00194339"/>
    <w:rsid w:val="001946BF"/>
    <w:rsid w:val="00194848"/>
    <w:rsid w:val="00194BA9"/>
    <w:rsid w:val="00194F68"/>
    <w:rsid w:val="001958EA"/>
    <w:rsid w:val="00195E0E"/>
    <w:rsid w:val="00196F76"/>
    <w:rsid w:val="001A00FD"/>
    <w:rsid w:val="001A01A5"/>
    <w:rsid w:val="001A0617"/>
    <w:rsid w:val="001A0E0D"/>
    <w:rsid w:val="001A154C"/>
    <w:rsid w:val="001A180D"/>
    <w:rsid w:val="001A1BAC"/>
    <w:rsid w:val="001A23CE"/>
    <w:rsid w:val="001A2C89"/>
    <w:rsid w:val="001A3BB2"/>
    <w:rsid w:val="001A488C"/>
    <w:rsid w:val="001A4965"/>
    <w:rsid w:val="001A57EE"/>
    <w:rsid w:val="001A5C71"/>
    <w:rsid w:val="001A673E"/>
    <w:rsid w:val="001A7763"/>
    <w:rsid w:val="001A783D"/>
    <w:rsid w:val="001A7CB3"/>
    <w:rsid w:val="001B0525"/>
    <w:rsid w:val="001B22F1"/>
    <w:rsid w:val="001B2439"/>
    <w:rsid w:val="001B27A5"/>
    <w:rsid w:val="001B31DB"/>
    <w:rsid w:val="001B3964"/>
    <w:rsid w:val="001B4452"/>
    <w:rsid w:val="001B463A"/>
    <w:rsid w:val="001B466C"/>
    <w:rsid w:val="001B4F34"/>
    <w:rsid w:val="001B52EC"/>
    <w:rsid w:val="001B554A"/>
    <w:rsid w:val="001B56A9"/>
    <w:rsid w:val="001B5804"/>
    <w:rsid w:val="001B64C4"/>
    <w:rsid w:val="001B6564"/>
    <w:rsid w:val="001B6583"/>
    <w:rsid w:val="001B691A"/>
    <w:rsid w:val="001B71BA"/>
    <w:rsid w:val="001B72E7"/>
    <w:rsid w:val="001B7436"/>
    <w:rsid w:val="001B7520"/>
    <w:rsid w:val="001B7D23"/>
    <w:rsid w:val="001C0072"/>
    <w:rsid w:val="001C02D8"/>
    <w:rsid w:val="001C0437"/>
    <w:rsid w:val="001C04E3"/>
    <w:rsid w:val="001C1D40"/>
    <w:rsid w:val="001C2378"/>
    <w:rsid w:val="001C3EE9"/>
    <w:rsid w:val="001C3FA4"/>
    <w:rsid w:val="001C40F9"/>
    <w:rsid w:val="001C40FC"/>
    <w:rsid w:val="001C41B6"/>
    <w:rsid w:val="001C458B"/>
    <w:rsid w:val="001C4759"/>
    <w:rsid w:val="001C50F9"/>
    <w:rsid w:val="001C542A"/>
    <w:rsid w:val="001C5D4F"/>
    <w:rsid w:val="001C64C0"/>
    <w:rsid w:val="001C69DA"/>
    <w:rsid w:val="001C6F06"/>
    <w:rsid w:val="001C75AF"/>
    <w:rsid w:val="001C7611"/>
    <w:rsid w:val="001D0442"/>
    <w:rsid w:val="001D0854"/>
    <w:rsid w:val="001D2360"/>
    <w:rsid w:val="001D2372"/>
    <w:rsid w:val="001D2CE6"/>
    <w:rsid w:val="001D3109"/>
    <w:rsid w:val="001D332E"/>
    <w:rsid w:val="001D3914"/>
    <w:rsid w:val="001D3F75"/>
    <w:rsid w:val="001D5033"/>
    <w:rsid w:val="001D5058"/>
    <w:rsid w:val="001D5C88"/>
    <w:rsid w:val="001D6567"/>
    <w:rsid w:val="001D695C"/>
    <w:rsid w:val="001D6FD9"/>
    <w:rsid w:val="001D780E"/>
    <w:rsid w:val="001D7A29"/>
    <w:rsid w:val="001E05C3"/>
    <w:rsid w:val="001E0AB0"/>
    <w:rsid w:val="001E0AD3"/>
    <w:rsid w:val="001E1E92"/>
    <w:rsid w:val="001E32C3"/>
    <w:rsid w:val="001E36E4"/>
    <w:rsid w:val="001E379D"/>
    <w:rsid w:val="001E3A3C"/>
    <w:rsid w:val="001E462D"/>
    <w:rsid w:val="001E5291"/>
    <w:rsid w:val="001E5570"/>
    <w:rsid w:val="001E5C23"/>
    <w:rsid w:val="001E6354"/>
    <w:rsid w:val="001E678D"/>
    <w:rsid w:val="001E7504"/>
    <w:rsid w:val="001E76DF"/>
    <w:rsid w:val="001E7BB9"/>
    <w:rsid w:val="001F1308"/>
    <w:rsid w:val="001F1525"/>
    <w:rsid w:val="001F1E87"/>
    <w:rsid w:val="001F1EB6"/>
    <w:rsid w:val="001F2A7D"/>
    <w:rsid w:val="001F2E23"/>
    <w:rsid w:val="001F2E3D"/>
    <w:rsid w:val="001F341F"/>
    <w:rsid w:val="001F3911"/>
    <w:rsid w:val="001F3F09"/>
    <w:rsid w:val="001F3F1A"/>
    <w:rsid w:val="001F40E6"/>
    <w:rsid w:val="001F4315"/>
    <w:rsid w:val="001F4CBD"/>
    <w:rsid w:val="001F4DF9"/>
    <w:rsid w:val="001F5545"/>
    <w:rsid w:val="001F5777"/>
    <w:rsid w:val="001F5937"/>
    <w:rsid w:val="001F59E3"/>
    <w:rsid w:val="001F59ED"/>
    <w:rsid w:val="001F5A1B"/>
    <w:rsid w:val="001F7121"/>
    <w:rsid w:val="001F7534"/>
    <w:rsid w:val="001F7688"/>
    <w:rsid w:val="002009BC"/>
    <w:rsid w:val="00200D2C"/>
    <w:rsid w:val="002019D8"/>
    <w:rsid w:val="00201EC7"/>
    <w:rsid w:val="00203165"/>
    <w:rsid w:val="0020349A"/>
    <w:rsid w:val="002034B4"/>
    <w:rsid w:val="00204032"/>
    <w:rsid w:val="002048C2"/>
    <w:rsid w:val="00204AFE"/>
    <w:rsid w:val="00204BAD"/>
    <w:rsid w:val="00204D60"/>
    <w:rsid w:val="00205627"/>
    <w:rsid w:val="002056D0"/>
    <w:rsid w:val="00205A0F"/>
    <w:rsid w:val="00205E70"/>
    <w:rsid w:val="00207118"/>
    <w:rsid w:val="00207A66"/>
    <w:rsid w:val="00210860"/>
    <w:rsid w:val="00210979"/>
    <w:rsid w:val="00210B6A"/>
    <w:rsid w:val="00211019"/>
    <w:rsid w:val="0021120F"/>
    <w:rsid w:val="00211C40"/>
    <w:rsid w:val="00211DAC"/>
    <w:rsid w:val="00212CB6"/>
    <w:rsid w:val="00212E37"/>
    <w:rsid w:val="00213B5D"/>
    <w:rsid w:val="00213F68"/>
    <w:rsid w:val="002140FF"/>
    <w:rsid w:val="00215E90"/>
    <w:rsid w:val="002164D8"/>
    <w:rsid w:val="00216C8D"/>
    <w:rsid w:val="00220894"/>
    <w:rsid w:val="0022095C"/>
    <w:rsid w:val="00221772"/>
    <w:rsid w:val="00223CEC"/>
    <w:rsid w:val="00224952"/>
    <w:rsid w:val="00224DD2"/>
    <w:rsid w:val="0022565B"/>
    <w:rsid w:val="00225905"/>
    <w:rsid w:val="00225A6A"/>
    <w:rsid w:val="00225AC7"/>
    <w:rsid w:val="00225ACC"/>
    <w:rsid w:val="0022780F"/>
    <w:rsid w:val="00227DBD"/>
    <w:rsid w:val="00231C25"/>
    <w:rsid w:val="00231C6F"/>
    <w:rsid w:val="0023244C"/>
    <w:rsid w:val="002329C4"/>
    <w:rsid w:val="00232A90"/>
    <w:rsid w:val="00232B3B"/>
    <w:rsid w:val="002330ED"/>
    <w:rsid w:val="00233A2C"/>
    <w:rsid w:val="00234151"/>
    <w:rsid w:val="00234F8C"/>
    <w:rsid w:val="0023535E"/>
    <w:rsid w:val="00235542"/>
    <w:rsid w:val="00235DAD"/>
    <w:rsid w:val="00235E55"/>
    <w:rsid w:val="002369B0"/>
    <w:rsid w:val="00236AD8"/>
    <w:rsid w:val="00236B3F"/>
    <w:rsid w:val="00237081"/>
    <w:rsid w:val="002401F5"/>
    <w:rsid w:val="002407C9"/>
    <w:rsid w:val="00240E54"/>
    <w:rsid w:val="002419CC"/>
    <w:rsid w:val="00241CFB"/>
    <w:rsid w:val="00242380"/>
    <w:rsid w:val="002427E1"/>
    <w:rsid w:val="0024342B"/>
    <w:rsid w:val="00244C2D"/>
    <w:rsid w:val="00245115"/>
    <w:rsid w:val="002451C5"/>
    <w:rsid w:val="00245E6C"/>
    <w:rsid w:val="00245F1F"/>
    <w:rsid w:val="00245F5E"/>
    <w:rsid w:val="00246335"/>
    <w:rsid w:val="0024663B"/>
    <w:rsid w:val="00246F24"/>
    <w:rsid w:val="00247103"/>
    <w:rsid w:val="00247174"/>
    <w:rsid w:val="0024729C"/>
    <w:rsid w:val="00250067"/>
    <w:rsid w:val="00250FCC"/>
    <w:rsid w:val="002516DE"/>
    <w:rsid w:val="00251F81"/>
    <w:rsid w:val="002525E6"/>
    <w:rsid w:val="00252BE0"/>
    <w:rsid w:val="00252FEB"/>
    <w:rsid w:val="00253583"/>
    <w:rsid w:val="00253588"/>
    <w:rsid w:val="00253C1D"/>
    <w:rsid w:val="002546F4"/>
    <w:rsid w:val="00254E37"/>
    <w:rsid w:val="002551D0"/>
    <w:rsid w:val="00255374"/>
    <w:rsid w:val="00255780"/>
    <w:rsid w:val="00255965"/>
    <w:rsid w:val="002559BE"/>
    <w:rsid w:val="00255AAA"/>
    <w:rsid w:val="00255BA9"/>
    <w:rsid w:val="00257BF4"/>
    <w:rsid w:val="00260003"/>
    <w:rsid w:val="00260236"/>
    <w:rsid w:val="0026035D"/>
    <w:rsid w:val="002606D6"/>
    <w:rsid w:val="00260F70"/>
    <w:rsid w:val="0026186F"/>
    <w:rsid w:val="00261C98"/>
    <w:rsid w:val="0026248E"/>
    <w:rsid w:val="00262914"/>
    <w:rsid w:val="00263F38"/>
    <w:rsid w:val="002647BF"/>
    <w:rsid w:val="002647D5"/>
    <w:rsid w:val="00265032"/>
    <w:rsid w:val="002651FB"/>
    <w:rsid w:val="0026538C"/>
    <w:rsid w:val="002653A9"/>
    <w:rsid w:val="0026558C"/>
    <w:rsid w:val="00265781"/>
    <w:rsid w:val="00265933"/>
    <w:rsid w:val="00266B13"/>
    <w:rsid w:val="00266B23"/>
    <w:rsid w:val="00270728"/>
    <w:rsid w:val="00270D42"/>
    <w:rsid w:val="00270FA0"/>
    <w:rsid w:val="002714D5"/>
    <w:rsid w:val="0027195D"/>
    <w:rsid w:val="00272487"/>
    <w:rsid w:val="002724CE"/>
    <w:rsid w:val="00272B03"/>
    <w:rsid w:val="0027328B"/>
    <w:rsid w:val="002733E2"/>
    <w:rsid w:val="00273F2D"/>
    <w:rsid w:val="00274542"/>
    <w:rsid w:val="00274693"/>
    <w:rsid w:val="002750B1"/>
    <w:rsid w:val="002755A6"/>
    <w:rsid w:val="00276851"/>
    <w:rsid w:val="00276A35"/>
    <w:rsid w:val="00276F36"/>
    <w:rsid w:val="002774DD"/>
    <w:rsid w:val="00277835"/>
    <w:rsid w:val="00280AB1"/>
    <w:rsid w:val="00281274"/>
    <w:rsid w:val="002822B5"/>
    <w:rsid w:val="0028344F"/>
    <w:rsid w:val="00283571"/>
    <w:rsid w:val="00283AD1"/>
    <w:rsid w:val="00283E5D"/>
    <w:rsid w:val="002846CE"/>
    <w:rsid w:val="00284B4D"/>
    <w:rsid w:val="00284BAE"/>
    <w:rsid w:val="002859AF"/>
    <w:rsid w:val="00285F67"/>
    <w:rsid w:val="002866AD"/>
    <w:rsid w:val="00286AE7"/>
    <w:rsid w:val="00287243"/>
    <w:rsid w:val="002874C6"/>
    <w:rsid w:val="00287552"/>
    <w:rsid w:val="00290647"/>
    <w:rsid w:val="00291385"/>
    <w:rsid w:val="00291422"/>
    <w:rsid w:val="0029237F"/>
    <w:rsid w:val="00292715"/>
    <w:rsid w:val="00293CEA"/>
    <w:rsid w:val="00293E57"/>
    <w:rsid w:val="002947D1"/>
    <w:rsid w:val="002948DF"/>
    <w:rsid w:val="00294D90"/>
    <w:rsid w:val="0029546B"/>
    <w:rsid w:val="0029628D"/>
    <w:rsid w:val="002A0348"/>
    <w:rsid w:val="002A0749"/>
    <w:rsid w:val="002A0E29"/>
    <w:rsid w:val="002A1339"/>
    <w:rsid w:val="002A1E92"/>
    <w:rsid w:val="002A1E9C"/>
    <w:rsid w:val="002A204D"/>
    <w:rsid w:val="002A2616"/>
    <w:rsid w:val="002A26E1"/>
    <w:rsid w:val="002A2C30"/>
    <w:rsid w:val="002A2C8D"/>
    <w:rsid w:val="002A335E"/>
    <w:rsid w:val="002A368A"/>
    <w:rsid w:val="002A3D86"/>
    <w:rsid w:val="002A4065"/>
    <w:rsid w:val="002A4B4D"/>
    <w:rsid w:val="002A4E11"/>
    <w:rsid w:val="002A5619"/>
    <w:rsid w:val="002A59F0"/>
    <w:rsid w:val="002A6432"/>
    <w:rsid w:val="002A6F25"/>
    <w:rsid w:val="002A6FD3"/>
    <w:rsid w:val="002B0A7D"/>
    <w:rsid w:val="002B0BC8"/>
    <w:rsid w:val="002B0F43"/>
    <w:rsid w:val="002B1A69"/>
    <w:rsid w:val="002B1BD3"/>
    <w:rsid w:val="002B1F96"/>
    <w:rsid w:val="002B20D7"/>
    <w:rsid w:val="002B2723"/>
    <w:rsid w:val="002B2778"/>
    <w:rsid w:val="002B2DBC"/>
    <w:rsid w:val="002B2E4A"/>
    <w:rsid w:val="002B303A"/>
    <w:rsid w:val="002B538E"/>
    <w:rsid w:val="002B5DCA"/>
    <w:rsid w:val="002B6BDC"/>
    <w:rsid w:val="002B6CB1"/>
    <w:rsid w:val="002B75B0"/>
    <w:rsid w:val="002B779D"/>
    <w:rsid w:val="002B7EAF"/>
    <w:rsid w:val="002C0115"/>
    <w:rsid w:val="002C03D1"/>
    <w:rsid w:val="002C04D7"/>
    <w:rsid w:val="002C099C"/>
    <w:rsid w:val="002C0B74"/>
    <w:rsid w:val="002C0C8B"/>
    <w:rsid w:val="002C0CBB"/>
    <w:rsid w:val="002C1201"/>
    <w:rsid w:val="002C1460"/>
    <w:rsid w:val="002C160D"/>
    <w:rsid w:val="002C20F2"/>
    <w:rsid w:val="002C30EA"/>
    <w:rsid w:val="002C36A2"/>
    <w:rsid w:val="002C38B2"/>
    <w:rsid w:val="002C3DC2"/>
    <w:rsid w:val="002C3F54"/>
    <w:rsid w:val="002C3F9C"/>
    <w:rsid w:val="002C51A7"/>
    <w:rsid w:val="002C5AFA"/>
    <w:rsid w:val="002C6CF6"/>
    <w:rsid w:val="002C73E3"/>
    <w:rsid w:val="002C7DF5"/>
    <w:rsid w:val="002D0439"/>
    <w:rsid w:val="002D11B7"/>
    <w:rsid w:val="002D26B4"/>
    <w:rsid w:val="002D2D24"/>
    <w:rsid w:val="002D3055"/>
    <w:rsid w:val="002D361F"/>
    <w:rsid w:val="002D36D3"/>
    <w:rsid w:val="002D3AF5"/>
    <w:rsid w:val="002D3BBC"/>
    <w:rsid w:val="002D3C29"/>
    <w:rsid w:val="002D4171"/>
    <w:rsid w:val="002D438A"/>
    <w:rsid w:val="002D5152"/>
    <w:rsid w:val="002D53C8"/>
    <w:rsid w:val="002D56E4"/>
    <w:rsid w:val="002D5738"/>
    <w:rsid w:val="002D5E53"/>
    <w:rsid w:val="002D63F9"/>
    <w:rsid w:val="002D7215"/>
    <w:rsid w:val="002D72CC"/>
    <w:rsid w:val="002E0038"/>
    <w:rsid w:val="002E0319"/>
    <w:rsid w:val="002E1093"/>
    <w:rsid w:val="002E179B"/>
    <w:rsid w:val="002E1897"/>
    <w:rsid w:val="002E1C9E"/>
    <w:rsid w:val="002E1D9F"/>
    <w:rsid w:val="002E215A"/>
    <w:rsid w:val="002E257B"/>
    <w:rsid w:val="002E3C65"/>
    <w:rsid w:val="002E3F5B"/>
    <w:rsid w:val="002E4362"/>
    <w:rsid w:val="002E5B07"/>
    <w:rsid w:val="002E63D9"/>
    <w:rsid w:val="002E640E"/>
    <w:rsid w:val="002E739D"/>
    <w:rsid w:val="002E76D0"/>
    <w:rsid w:val="002F0C28"/>
    <w:rsid w:val="002F281C"/>
    <w:rsid w:val="002F2999"/>
    <w:rsid w:val="002F3CDE"/>
    <w:rsid w:val="002F4AFB"/>
    <w:rsid w:val="002F559A"/>
    <w:rsid w:val="002F5DD6"/>
    <w:rsid w:val="002F5FEA"/>
    <w:rsid w:val="002F63E7"/>
    <w:rsid w:val="002F7BE3"/>
    <w:rsid w:val="002F7E6A"/>
    <w:rsid w:val="00300165"/>
    <w:rsid w:val="00300445"/>
    <w:rsid w:val="003008C7"/>
    <w:rsid w:val="00300978"/>
    <w:rsid w:val="00300F00"/>
    <w:rsid w:val="003010CF"/>
    <w:rsid w:val="00303440"/>
    <w:rsid w:val="00304D9B"/>
    <w:rsid w:val="00304E7F"/>
    <w:rsid w:val="00305C43"/>
    <w:rsid w:val="00305D2F"/>
    <w:rsid w:val="00305FF9"/>
    <w:rsid w:val="00306827"/>
    <w:rsid w:val="00306E6B"/>
    <w:rsid w:val="0030723C"/>
    <w:rsid w:val="003100C8"/>
    <w:rsid w:val="003107C2"/>
    <w:rsid w:val="003109FD"/>
    <w:rsid w:val="00311161"/>
    <w:rsid w:val="00312400"/>
    <w:rsid w:val="00312418"/>
    <w:rsid w:val="00312739"/>
    <w:rsid w:val="00312D10"/>
    <w:rsid w:val="00313221"/>
    <w:rsid w:val="00313BFF"/>
    <w:rsid w:val="00313C7D"/>
    <w:rsid w:val="00314A18"/>
    <w:rsid w:val="00316DFF"/>
    <w:rsid w:val="003178DA"/>
    <w:rsid w:val="00317DB8"/>
    <w:rsid w:val="00317E6F"/>
    <w:rsid w:val="00320085"/>
    <w:rsid w:val="00320618"/>
    <w:rsid w:val="00320F61"/>
    <w:rsid w:val="0032100B"/>
    <w:rsid w:val="00321507"/>
    <w:rsid w:val="00321BD7"/>
    <w:rsid w:val="00322207"/>
    <w:rsid w:val="00322217"/>
    <w:rsid w:val="0032260F"/>
    <w:rsid w:val="003228DA"/>
    <w:rsid w:val="00322B78"/>
    <w:rsid w:val="0032377E"/>
    <w:rsid w:val="00323D6B"/>
    <w:rsid w:val="003245D2"/>
    <w:rsid w:val="00326907"/>
    <w:rsid w:val="00326957"/>
    <w:rsid w:val="00326AE2"/>
    <w:rsid w:val="00326D5B"/>
    <w:rsid w:val="00326E13"/>
    <w:rsid w:val="00327792"/>
    <w:rsid w:val="00330D56"/>
    <w:rsid w:val="003311E9"/>
    <w:rsid w:val="00331426"/>
    <w:rsid w:val="0033165C"/>
    <w:rsid w:val="0033171D"/>
    <w:rsid w:val="00331949"/>
    <w:rsid w:val="00331EE8"/>
    <w:rsid w:val="00331F28"/>
    <w:rsid w:val="00331FC3"/>
    <w:rsid w:val="0033200E"/>
    <w:rsid w:val="0033243C"/>
    <w:rsid w:val="0033291A"/>
    <w:rsid w:val="00332E41"/>
    <w:rsid w:val="003336B3"/>
    <w:rsid w:val="003343EC"/>
    <w:rsid w:val="003349E9"/>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3DB9"/>
    <w:rsid w:val="0034429B"/>
    <w:rsid w:val="003442D8"/>
    <w:rsid w:val="00344866"/>
    <w:rsid w:val="0034551C"/>
    <w:rsid w:val="00345C56"/>
    <w:rsid w:val="0034638C"/>
    <w:rsid w:val="00346F7F"/>
    <w:rsid w:val="00347715"/>
    <w:rsid w:val="00347F4C"/>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35E"/>
    <w:rsid w:val="0035463B"/>
    <w:rsid w:val="003548D8"/>
    <w:rsid w:val="00355252"/>
    <w:rsid w:val="003554CA"/>
    <w:rsid w:val="00355918"/>
    <w:rsid w:val="00356A5A"/>
    <w:rsid w:val="0035767D"/>
    <w:rsid w:val="00357680"/>
    <w:rsid w:val="00360232"/>
    <w:rsid w:val="003602E0"/>
    <w:rsid w:val="00360D01"/>
    <w:rsid w:val="003616C7"/>
    <w:rsid w:val="00362569"/>
    <w:rsid w:val="003636CD"/>
    <w:rsid w:val="00363ABF"/>
    <w:rsid w:val="0036487C"/>
    <w:rsid w:val="00365411"/>
    <w:rsid w:val="003655E9"/>
    <w:rsid w:val="0036581E"/>
    <w:rsid w:val="00365FA2"/>
    <w:rsid w:val="003664B0"/>
    <w:rsid w:val="00366C69"/>
    <w:rsid w:val="00367441"/>
    <w:rsid w:val="00367B1D"/>
    <w:rsid w:val="003707F6"/>
    <w:rsid w:val="00370E4F"/>
    <w:rsid w:val="00371215"/>
    <w:rsid w:val="00371CB1"/>
    <w:rsid w:val="00372630"/>
    <w:rsid w:val="00372CA6"/>
    <w:rsid w:val="00372F0D"/>
    <w:rsid w:val="00373B6B"/>
    <w:rsid w:val="00373D35"/>
    <w:rsid w:val="00374059"/>
    <w:rsid w:val="00374223"/>
    <w:rsid w:val="003748F7"/>
    <w:rsid w:val="00374F16"/>
    <w:rsid w:val="0037535B"/>
    <w:rsid w:val="00375394"/>
    <w:rsid w:val="0037552D"/>
    <w:rsid w:val="003756DB"/>
    <w:rsid w:val="00375AD7"/>
    <w:rsid w:val="00376991"/>
    <w:rsid w:val="003770BB"/>
    <w:rsid w:val="0037771A"/>
    <w:rsid w:val="003802DC"/>
    <w:rsid w:val="003807F0"/>
    <w:rsid w:val="00380C2D"/>
    <w:rsid w:val="00380E4E"/>
    <w:rsid w:val="00380FBF"/>
    <w:rsid w:val="00381156"/>
    <w:rsid w:val="00381391"/>
    <w:rsid w:val="003820E9"/>
    <w:rsid w:val="003829F2"/>
    <w:rsid w:val="00382A43"/>
    <w:rsid w:val="00382D60"/>
    <w:rsid w:val="00382F29"/>
    <w:rsid w:val="00383440"/>
    <w:rsid w:val="00383C8D"/>
    <w:rsid w:val="00384FA0"/>
    <w:rsid w:val="003852FB"/>
    <w:rsid w:val="00385429"/>
    <w:rsid w:val="0038560A"/>
    <w:rsid w:val="003857FE"/>
    <w:rsid w:val="00385B05"/>
    <w:rsid w:val="00386382"/>
    <w:rsid w:val="003865EF"/>
    <w:rsid w:val="00386BA9"/>
    <w:rsid w:val="00386DE5"/>
    <w:rsid w:val="0038776D"/>
    <w:rsid w:val="00390017"/>
    <w:rsid w:val="003901A3"/>
    <w:rsid w:val="0039072F"/>
    <w:rsid w:val="00390EC7"/>
    <w:rsid w:val="00391265"/>
    <w:rsid w:val="003919F6"/>
    <w:rsid w:val="0039218D"/>
    <w:rsid w:val="00392B93"/>
    <w:rsid w:val="003940CE"/>
    <w:rsid w:val="00394739"/>
    <w:rsid w:val="00395826"/>
    <w:rsid w:val="00396D33"/>
    <w:rsid w:val="0039738B"/>
    <w:rsid w:val="00397C1D"/>
    <w:rsid w:val="00397D21"/>
    <w:rsid w:val="003A015A"/>
    <w:rsid w:val="003A048B"/>
    <w:rsid w:val="003A15BF"/>
    <w:rsid w:val="003A180F"/>
    <w:rsid w:val="003A18DD"/>
    <w:rsid w:val="003A20C8"/>
    <w:rsid w:val="003A2C29"/>
    <w:rsid w:val="003A2EC3"/>
    <w:rsid w:val="003A36F2"/>
    <w:rsid w:val="003A3D39"/>
    <w:rsid w:val="003A3EC7"/>
    <w:rsid w:val="003A40B4"/>
    <w:rsid w:val="003A4C3F"/>
    <w:rsid w:val="003A597E"/>
    <w:rsid w:val="003A5A11"/>
    <w:rsid w:val="003A5A88"/>
    <w:rsid w:val="003A5BAD"/>
    <w:rsid w:val="003A7702"/>
    <w:rsid w:val="003A7834"/>
    <w:rsid w:val="003B0B5B"/>
    <w:rsid w:val="003B0CE2"/>
    <w:rsid w:val="003B0D8E"/>
    <w:rsid w:val="003B0E79"/>
    <w:rsid w:val="003B19A2"/>
    <w:rsid w:val="003B31B1"/>
    <w:rsid w:val="003B3575"/>
    <w:rsid w:val="003B38D1"/>
    <w:rsid w:val="003B50BC"/>
    <w:rsid w:val="003B5B02"/>
    <w:rsid w:val="003B5D97"/>
    <w:rsid w:val="003B5FD2"/>
    <w:rsid w:val="003B63A4"/>
    <w:rsid w:val="003B68FE"/>
    <w:rsid w:val="003B6D7D"/>
    <w:rsid w:val="003B790A"/>
    <w:rsid w:val="003B7D7E"/>
    <w:rsid w:val="003C04B9"/>
    <w:rsid w:val="003C1012"/>
    <w:rsid w:val="003C11C9"/>
    <w:rsid w:val="003C1229"/>
    <w:rsid w:val="003C149B"/>
    <w:rsid w:val="003C1FD4"/>
    <w:rsid w:val="003C213D"/>
    <w:rsid w:val="003C25AD"/>
    <w:rsid w:val="003C291D"/>
    <w:rsid w:val="003C2D21"/>
    <w:rsid w:val="003C4135"/>
    <w:rsid w:val="003C4503"/>
    <w:rsid w:val="003C56F7"/>
    <w:rsid w:val="003C5E6B"/>
    <w:rsid w:val="003C5ED6"/>
    <w:rsid w:val="003C652F"/>
    <w:rsid w:val="003C6B81"/>
    <w:rsid w:val="003C7AD7"/>
    <w:rsid w:val="003D0992"/>
    <w:rsid w:val="003D0FC3"/>
    <w:rsid w:val="003D14DC"/>
    <w:rsid w:val="003D1902"/>
    <w:rsid w:val="003D2C1D"/>
    <w:rsid w:val="003D2C34"/>
    <w:rsid w:val="003D31B9"/>
    <w:rsid w:val="003D3538"/>
    <w:rsid w:val="003D3568"/>
    <w:rsid w:val="003D3DDD"/>
    <w:rsid w:val="003D4022"/>
    <w:rsid w:val="003D46F1"/>
    <w:rsid w:val="003D5CBF"/>
    <w:rsid w:val="003D60B6"/>
    <w:rsid w:val="003D66D2"/>
    <w:rsid w:val="003D6E4F"/>
    <w:rsid w:val="003D729E"/>
    <w:rsid w:val="003E0282"/>
    <w:rsid w:val="003E0473"/>
    <w:rsid w:val="003E0513"/>
    <w:rsid w:val="003E0767"/>
    <w:rsid w:val="003E07AE"/>
    <w:rsid w:val="003E14FC"/>
    <w:rsid w:val="003E289D"/>
    <w:rsid w:val="003E2976"/>
    <w:rsid w:val="003E2C50"/>
    <w:rsid w:val="003E33B8"/>
    <w:rsid w:val="003E349D"/>
    <w:rsid w:val="003E3B8E"/>
    <w:rsid w:val="003E4858"/>
    <w:rsid w:val="003E4D6A"/>
    <w:rsid w:val="003E557D"/>
    <w:rsid w:val="003E5998"/>
    <w:rsid w:val="003E5DBA"/>
    <w:rsid w:val="003E6316"/>
    <w:rsid w:val="003E6884"/>
    <w:rsid w:val="003E6AC5"/>
    <w:rsid w:val="003E6EDF"/>
    <w:rsid w:val="003F0096"/>
    <w:rsid w:val="003F00E2"/>
    <w:rsid w:val="003F0381"/>
    <w:rsid w:val="003F0850"/>
    <w:rsid w:val="003F0D12"/>
    <w:rsid w:val="003F12C3"/>
    <w:rsid w:val="003F1339"/>
    <w:rsid w:val="003F15A3"/>
    <w:rsid w:val="003F15A9"/>
    <w:rsid w:val="003F160C"/>
    <w:rsid w:val="003F278D"/>
    <w:rsid w:val="003F2AE2"/>
    <w:rsid w:val="003F2B82"/>
    <w:rsid w:val="003F324F"/>
    <w:rsid w:val="003F33BC"/>
    <w:rsid w:val="003F3632"/>
    <w:rsid w:val="003F3643"/>
    <w:rsid w:val="003F3D4E"/>
    <w:rsid w:val="003F4271"/>
    <w:rsid w:val="003F477E"/>
    <w:rsid w:val="003F4950"/>
    <w:rsid w:val="003F6CD2"/>
    <w:rsid w:val="003F788D"/>
    <w:rsid w:val="003F7936"/>
    <w:rsid w:val="004008FE"/>
    <w:rsid w:val="0040126E"/>
    <w:rsid w:val="00401B60"/>
    <w:rsid w:val="004020D4"/>
    <w:rsid w:val="004021B6"/>
    <w:rsid w:val="0040274F"/>
    <w:rsid w:val="00402E14"/>
    <w:rsid w:val="004039EC"/>
    <w:rsid w:val="00403F9A"/>
    <w:rsid w:val="004047C4"/>
    <w:rsid w:val="0040523D"/>
    <w:rsid w:val="0040570B"/>
    <w:rsid w:val="00405EDB"/>
    <w:rsid w:val="00405FB1"/>
    <w:rsid w:val="00406460"/>
    <w:rsid w:val="00407AE3"/>
    <w:rsid w:val="004105F6"/>
    <w:rsid w:val="004106E4"/>
    <w:rsid w:val="00411574"/>
    <w:rsid w:val="00411B81"/>
    <w:rsid w:val="00412461"/>
    <w:rsid w:val="00412546"/>
    <w:rsid w:val="00413053"/>
    <w:rsid w:val="0041319C"/>
    <w:rsid w:val="0041362B"/>
    <w:rsid w:val="0041362E"/>
    <w:rsid w:val="004137B6"/>
    <w:rsid w:val="00413A54"/>
    <w:rsid w:val="00413C10"/>
    <w:rsid w:val="00413CD9"/>
    <w:rsid w:val="00413CFD"/>
    <w:rsid w:val="00413F9A"/>
    <w:rsid w:val="004140CA"/>
    <w:rsid w:val="00414C65"/>
    <w:rsid w:val="00415ACB"/>
    <w:rsid w:val="00415D76"/>
    <w:rsid w:val="00416665"/>
    <w:rsid w:val="00416A67"/>
    <w:rsid w:val="00416ACB"/>
    <w:rsid w:val="00417F6C"/>
    <w:rsid w:val="00421DCF"/>
    <w:rsid w:val="00421F52"/>
    <w:rsid w:val="00422341"/>
    <w:rsid w:val="004226CC"/>
    <w:rsid w:val="00423392"/>
    <w:rsid w:val="00423641"/>
    <w:rsid w:val="004237F1"/>
    <w:rsid w:val="00423DA5"/>
    <w:rsid w:val="00423EEC"/>
    <w:rsid w:val="00425FC7"/>
    <w:rsid w:val="00426266"/>
    <w:rsid w:val="00426369"/>
    <w:rsid w:val="00426FFB"/>
    <w:rsid w:val="00427CE6"/>
    <w:rsid w:val="00430A2D"/>
    <w:rsid w:val="004312B0"/>
    <w:rsid w:val="00431505"/>
    <w:rsid w:val="0043190D"/>
    <w:rsid w:val="00431AF0"/>
    <w:rsid w:val="0043213A"/>
    <w:rsid w:val="0043260B"/>
    <w:rsid w:val="004327DD"/>
    <w:rsid w:val="004328CF"/>
    <w:rsid w:val="004330F4"/>
    <w:rsid w:val="00433590"/>
    <w:rsid w:val="0043393D"/>
    <w:rsid w:val="004344C7"/>
    <w:rsid w:val="00435274"/>
    <w:rsid w:val="004352AD"/>
    <w:rsid w:val="0043545D"/>
    <w:rsid w:val="0043547E"/>
    <w:rsid w:val="00435FE2"/>
    <w:rsid w:val="00436E2F"/>
    <w:rsid w:val="00436E4E"/>
    <w:rsid w:val="00436EAB"/>
    <w:rsid w:val="004376CE"/>
    <w:rsid w:val="004379C7"/>
    <w:rsid w:val="004413B0"/>
    <w:rsid w:val="004423FF"/>
    <w:rsid w:val="00442935"/>
    <w:rsid w:val="00442E51"/>
    <w:rsid w:val="004431CF"/>
    <w:rsid w:val="004434F4"/>
    <w:rsid w:val="004439ED"/>
    <w:rsid w:val="00443D0E"/>
    <w:rsid w:val="00445E81"/>
    <w:rsid w:val="004461D9"/>
    <w:rsid w:val="00446AC6"/>
    <w:rsid w:val="0044759B"/>
    <w:rsid w:val="00447F54"/>
    <w:rsid w:val="0045037E"/>
    <w:rsid w:val="00450B7E"/>
    <w:rsid w:val="00450E41"/>
    <w:rsid w:val="00450E95"/>
    <w:rsid w:val="0045134F"/>
    <w:rsid w:val="0045136B"/>
    <w:rsid w:val="00451375"/>
    <w:rsid w:val="00451C7E"/>
    <w:rsid w:val="00452E5A"/>
    <w:rsid w:val="00453BB6"/>
    <w:rsid w:val="00453CAA"/>
    <w:rsid w:val="00454358"/>
    <w:rsid w:val="00454624"/>
    <w:rsid w:val="00455113"/>
    <w:rsid w:val="00456175"/>
    <w:rsid w:val="00456421"/>
    <w:rsid w:val="00456549"/>
    <w:rsid w:val="00456DAB"/>
    <w:rsid w:val="00457656"/>
    <w:rsid w:val="00457825"/>
    <w:rsid w:val="00457D9A"/>
    <w:rsid w:val="00460BBD"/>
    <w:rsid w:val="00460CC3"/>
    <w:rsid w:val="00460E86"/>
    <w:rsid w:val="00463690"/>
    <w:rsid w:val="00463C0A"/>
    <w:rsid w:val="004646B4"/>
    <w:rsid w:val="00464A88"/>
    <w:rsid w:val="00464B01"/>
    <w:rsid w:val="004651A0"/>
    <w:rsid w:val="004653A4"/>
    <w:rsid w:val="00465587"/>
    <w:rsid w:val="00465742"/>
    <w:rsid w:val="00466532"/>
    <w:rsid w:val="00467488"/>
    <w:rsid w:val="00467D12"/>
    <w:rsid w:val="0047083E"/>
    <w:rsid w:val="00470B8A"/>
    <w:rsid w:val="00470EB5"/>
    <w:rsid w:val="00471030"/>
    <w:rsid w:val="00472419"/>
    <w:rsid w:val="0047286B"/>
    <w:rsid w:val="00472E27"/>
    <w:rsid w:val="00472E55"/>
    <w:rsid w:val="00473356"/>
    <w:rsid w:val="00473812"/>
    <w:rsid w:val="004740FC"/>
    <w:rsid w:val="00474220"/>
    <w:rsid w:val="00474DA2"/>
    <w:rsid w:val="00474E54"/>
    <w:rsid w:val="00474FBB"/>
    <w:rsid w:val="004752D3"/>
    <w:rsid w:val="0047542A"/>
    <w:rsid w:val="004754E1"/>
    <w:rsid w:val="004756AA"/>
    <w:rsid w:val="00475CE0"/>
    <w:rsid w:val="00476827"/>
    <w:rsid w:val="00476ABC"/>
    <w:rsid w:val="00476B36"/>
    <w:rsid w:val="00476BD4"/>
    <w:rsid w:val="00477383"/>
    <w:rsid w:val="00477AFD"/>
    <w:rsid w:val="00477C35"/>
    <w:rsid w:val="00477FB9"/>
    <w:rsid w:val="00480988"/>
    <w:rsid w:val="00480E05"/>
    <w:rsid w:val="00480F25"/>
    <w:rsid w:val="00480FBD"/>
    <w:rsid w:val="00481397"/>
    <w:rsid w:val="00481658"/>
    <w:rsid w:val="004816BE"/>
    <w:rsid w:val="00482BA7"/>
    <w:rsid w:val="00482BBE"/>
    <w:rsid w:val="00483A12"/>
    <w:rsid w:val="00483BBB"/>
    <w:rsid w:val="00483C32"/>
    <w:rsid w:val="00483DE2"/>
    <w:rsid w:val="0048481F"/>
    <w:rsid w:val="004848BA"/>
    <w:rsid w:val="00484A77"/>
    <w:rsid w:val="0048540F"/>
    <w:rsid w:val="00485970"/>
    <w:rsid w:val="00485BA7"/>
    <w:rsid w:val="00485C0D"/>
    <w:rsid w:val="00485C35"/>
    <w:rsid w:val="00485F47"/>
    <w:rsid w:val="00486575"/>
    <w:rsid w:val="004866D0"/>
    <w:rsid w:val="00486936"/>
    <w:rsid w:val="00487B59"/>
    <w:rsid w:val="00490589"/>
    <w:rsid w:val="004909C7"/>
    <w:rsid w:val="0049162F"/>
    <w:rsid w:val="00491DD9"/>
    <w:rsid w:val="004920B8"/>
    <w:rsid w:val="0049257F"/>
    <w:rsid w:val="00492D44"/>
    <w:rsid w:val="00492DE4"/>
    <w:rsid w:val="00493895"/>
    <w:rsid w:val="00493C77"/>
    <w:rsid w:val="00494242"/>
    <w:rsid w:val="00494E8E"/>
    <w:rsid w:val="00494F26"/>
    <w:rsid w:val="004955BC"/>
    <w:rsid w:val="00495676"/>
    <w:rsid w:val="00495CB2"/>
    <w:rsid w:val="00495D63"/>
    <w:rsid w:val="0049629E"/>
    <w:rsid w:val="00496378"/>
    <w:rsid w:val="0049648F"/>
    <w:rsid w:val="00496606"/>
    <w:rsid w:val="004969E5"/>
    <w:rsid w:val="00496F05"/>
    <w:rsid w:val="00497370"/>
    <w:rsid w:val="004973D4"/>
    <w:rsid w:val="004974FA"/>
    <w:rsid w:val="004A0F39"/>
    <w:rsid w:val="004A152B"/>
    <w:rsid w:val="004A1D5F"/>
    <w:rsid w:val="004A251F"/>
    <w:rsid w:val="004A2C8C"/>
    <w:rsid w:val="004A3329"/>
    <w:rsid w:val="004A3874"/>
    <w:rsid w:val="004A3BF1"/>
    <w:rsid w:val="004A3D4B"/>
    <w:rsid w:val="004A3E42"/>
    <w:rsid w:val="004A4045"/>
    <w:rsid w:val="004A436E"/>
    <w:rsid w:val="004A4715"/>
    <w:rsid w:val="004A5046"/>
    <w:rsid w:val="004A565E"/>
    <w:rsid w:val="004A5D55"/>
    <w:rsid w:val="004A5D73"/>
    <w:rsid w:val="004A5DF3"/>
    <w:rsid w:val="004A6134"/>
    <w:rsid w:val="004A7092"/>
    <w:rsid w:val="004A7427"/>
    <w:rsid w:val="004A7437"/>
    <w:rsid w:val="004A74BE"/>
    <w:rsid w:val="004A776F"/>
    <w:rsid w:val="004A79B4"/>
    <w:rsid w:val="004B0808"/>
    <w:rsid w:val="004B1C92"/>
    <w:rsid w:val="004B2270"/>
    <w:rsid w:val="004B257F"/>
    <w:rsid w:val="004B3422"/>
    <w:rsid w:val="004B44D6"/>
    <w:rsid w:val="004B49E6"/>
    <w:rsid w:val="004B4D69"/>
    <w:rsid w:val="004B4DE4"/>
    <w:rsid w:val="004B52FB"/>
    <w:rsid w:val="004B6A5A"/>
    <w:rsid w:val="004B6C16"/>
    <w:rsid w:val="004B6DFA"/>
    <w:rsid w:val="004B7E99"/>
    <w:rsid w:val="004C01A8"/>
    <w:rsid w:val="004C1840"/>
    <w:rsid w:val="004C24C9"/>
    <w:rsid w:val="004C252E"/>
    <w:rsid w:val="004C2B04"/>
    <w:rsid w:val="004C31B6"/>
    <w:rsid w:val="004C4D39"/>
    <w:rsid w:val="004C5319"/>
    <w:rsid w:val="004C5395"/>
    <w:rsid w:val="004C61F0"/>
    <w:rsid w:val="004C621F"/>
    <w:rsid w:val="004C6C17"/>
    <w:rsid w:val="004C71E2"/>
    <w:rsid w:val="004C73E6"/>
    <w:rsid w:val="004C7948"/>
    <w:rsid w:val="004C7BB8"/>
    <w:rsid w:val="004C7C60"/>
    <w:rsid w:val="004D0331"/>
    <w:rsid w:val="004D0C61"/>
    <w:rsid w:val="004D0DFE"/>
    <w:rsid w:val="004D15C9"/>
    <w:rsid w:val="004D1D91"/>
    <w:rsid w:val="004D1D9E"/>
    <w:rsid w:val="004D22C3"/>
    <w:rsid w:val="004D2D7B"/>
    <w:rsid w:val="004D2E1A"/>
    <w:rsid w:val="004D399D"/>
    <w:rsid w:val="004D40AE"/>
    <w:rsid w:val="004D41C6"/>
    <w:rsid w:val="004D4851"/>
    <w:rsid w:val="004D4924"/>
    <w:rsid w:val="004D4D31"/>
    <w:rsid w:val="004D6F4D"/>
    <w:rsid w:val="004D6F95"/>
    <w:rsid w:val="004D70CF"/>
    <w:rsid w:val="004D72FE"/>
    <w:rsid w:val="004D7358"/>
    <w:rsid w:val="004D77A8"/>
    <w:rsid w:val="004D7E91"/>
    <w:rsid w:val="004D7EFF"/>
    <w:rsid w:val="004E003A"/>
    <w:rsid w:val="004E0664"/>
    <w:rsid w:val="004E06E7"/>
    <w:rsid w:val="004E0768"/>
    <w:rsid w:val="004E0D06"/>
    <w:rsid w:val="004E1A31"/>
    <w:rsid w:val="004E1A62"/>
    <w:rsid w:val="004E1C6F"/>
    <w:rsid w:val="004E2413"/>
    <w:rsid w:val="004E2971"/>
    <w:rsid w:val="004E298C"/>
    <w:rsid w:val="004E2DE0"/>
    <w:rsid w:val="004E4060"/>
    <w:rsid w:val="004E409A"/>
    <w:rsid w:val="004E4456"/>
    <w:rsid w:val="004E62CC"/>
    <w:rsid w:val="004E67BC"/>
    <w:rsid w:val="004E691C"/>
    <w:rsid w:val="004E7128"/>
    <w:rsid w:val="004E7A42"/>
    <w:rsid w:val="004E7B01"/>
    <w:rsid w:val="004E7C7A"/>
    <w:rsid w:val="004E7F04"/>
    <w:rsid w:val="004F016D"/>
    <w:rsid w:val="004F0632"/>
    <w:rsid w:val="004F0E25"/>
    <w:rsid w:val="004F0FB9"/>
    <w:rsid w:val="004F1C3B"/>
    <w:rsid w:val="004F1C8E"/>
    <w:rsid w:val="004F2910"/>
    <w:rsid w:val="004F2F7E"/>
    <w:rsid w:val="004F32B5"/>
    <w:rsid w:val="004F3967"/>
    <w:rsid w:val="004F3B2E"/>
    <w:rsid w:val="004F407E"/>
    <w:rsid w:val="004F41E5"/>
    <w:rsid w:val="004F517A"/>
    <w:rsid w:val="004F5479"/>
    <w:rsid w:val="004F6426"/>
    <w:rsid w:val="004F6C73"/>
    <w:rsid w:val="004F7528"/>
    <w:rsid w:val="004F7BCA"/>
    <w:rsid w:val="004F7D89"/>
    <w:rsid w:val="00501981"/>
    <w:rsid w:val="00501A85"/>
    <w:rsid w:val="00501BB3"/>
    <w:rsid w:val="005021DD"/>
    <w:rsid w:val="005026CA"/>
    <w:rsid w:val="00502B72"/>
    <w:rsid w:val="00502D50"/>
    <w:rsid w:val="00502FB1"/>
    <w:rsid w:val="0050376D"/>
    <w:rsid w:val="00504009"/>
    <w:rsid w:val="0050475C"/>
    <w:rsid w:val="00504BC1"/>
    <w:rsid w:val="00505134"/>
    <w:rsid w:val="005056C9"/>
    <w:rsid w:val="00505C04"/>
    <w:rsid w:val="005062B1"/>
    <w:rsid w:val="00506853"/>
    <w:rsid w:val="005076EC"/>
    <w:rsid w:val="005109C3"/>
    <w:rsid w:val="005118E5"/>
    <w:rsid w:val="00511F15"/>
    <w:rsid w:val="0051318C"/>
    <w:rsid w:val="005142CD"/>
    <w:rsid w:val="005143C9"/>
    <w:rsid w:val="005157A9"/>
    <w:rsid w:val="00515E79"/>
    <w:rsid w:val="0051685C"/>
    <w:rsid w:val="00516951"/>
    <w:rsid w:val="00516A3C"/>
    <w:rsid w:val="005173A7"/>
    <w:rsid w:val="005176D7"/>
    <w:rsid w:val="00517742"/>
    <w:rsid w:val="005177E1"/>
    <w:rsid w:val="00517B3E"/>
    <w:rsid w:val="00520C0A"/>
    <w:rsid w:val="005218B6"/>
    <w:rsid w:val="005219AF"/>
    <w:rsid w:val="00521C33"/>
    <w:rsid w:val="00522589"/>
    <w:rsid w:val="00522835"/>
    <w:rsid w:val="0052283C"/>
    <w:rsid w:val="0052361E"/>
    <w:rsid w:val="00524204"/>
    <w:rsid w:val="00524489"/>
    <w:rsid w:val="00524545"/>
    <w:rsid w:val="00524937"/>
    <w:rsid w:val="005255BF"/>
    <w:rsid w:val="00525769"/>
    <w:rsid w:val="005257DE"/>
    <w:rsid w:val="00526C15"/>
    <w:rsid w:val="00527200"/>
    <w:rsid w:val="00527802"/>
    <w:rsid w:val="00530157"/>
    <w:rsid w:val="005303DC"/>
    <w:rsid w:val="00530FEB"/>
    <w:rsid w:val="00531491"/>
    <w:rsid w:val="00531EBE"/>
    <w:rsid w:val="0053217E"/>
    <w:rsid w:val="00532F8B"/>
    <w:rsid w:val="00533737"/>
    <w:rsid w:val="005337D6"/>
    <w:rsid w:val="00533C1F"/>
    <w:rsid w:val="00533D90"/>
    <w:rsid w:val="00533FD1"/>
    <w:rsid w:val="00535079"/>
    <w:rsid w:val="00535B79"/>
    <w:rsid w:val="00535D7C"/>
    <w:rsid w:val="00536579"/>
    <w:rsid w:val="00536C1E"/>
    <w:rsid w:val="00536DCF"/>
    <w:rsid w:val="005370EF"/>
    <w:rsid w:val="005373F0"/>
    <w:rsid w:val="00537D8A"/>
    <w:rsid w:val="0054046C"/>
    <w:rsid w:val="005411F6"/>
    <w:rsid w:val="00541B25"/>
    <w:rsid w:val="005420A3"/>
    <w:rsid w:val="0054285F"/>
    <w:rsid w:val="00542B62"/>
    <w:rsid w:val="00543424"/>
    <w:rsid w:val="0054343A"/>
    <w:rsid w:val="005437F3"/>
    <w:rsid w:val="00543974"/>
    <w:rsid w:val="005439A6"/>
    <w:rsid w:val="00543EBF"/>
    <w:rsid w:val="0054422C"/>
    <w:rsid w:val="00544672"/>
    <w:rsid w:val="00544939"/>
    <w:rsid w:val="00544ABA"/>
    <w:rsid w:val="005457C8"/>
    <w:rsid w:val="0054593A"/>
    <w:rsid w:val="0054615C"/>
    <w:rsid w:val="0054622F"/>
    <w:rsid w:val="005467FB"/>
    <w:rsid w:val="00546AE9"/>
    <w:rsid w:val="00546CA8"/>
    <w:rsid w:val="00547588"/>
    <w:rsid w:val="00547775"/>
    <w:rsid w:val="00547989"/>
    <w:rsid w:val="00550975"/>
    <w:rsid w:val="00551320"/>
    <w:rsid w:val="005518A4"/>
    <w:rsid w:val="005526B2"/>
    <w:rsid w:val="00552768"/>
    <w:rsid w:val="00552935"/>
    <w:rsid w:val="00552A30"/>
    <w:rsid w:val="00553127"/>
    <w:rsid w:val="005537D5"/>
    <w:rsid w:val="0055407C"/>
    <w:rsid w:val="0055475E"/>
    <w:rsid w:val="005547C5"/>
    <w:rsid w:val="00554973"/>
    <w:rsid w:val="00554BE7"/>
    <w:rsid w:val="005556F9"/>
    <w:rsid w:val="00556BAC"/>
    <w:rsid w:val="00556D68"/>
    <w:rsid w:val="00556FA2"/>
    <w:rsid w:val="00557173"/>
    <w:rsid w:val="005575FE"/>
    <w:rsid w:val="005576A1"/>
    <w:rsid w:val="00557A64"/>
    <w:rsid w:val="00557FE1"/>
    <w:rsid w:val="005605C0"/>
    <w:rsid w:val="00560D23"/>
    <w:rsid w:val="005615D8"/>
    <w:rsid w:val="00561B5E"/>
    <w:rsid w:val="00561C06"/>
    <w:rsid w:val="00562152"/>
    <w:rsid w:val="005626D6"/>
    <w:rsid w:val="0056279A"/>
    <w:rsid w:val="005638D4"/>
    <w:rsid w:val="005643CA"/>
    <w:rsid w:val="00565587"/>
    <w:rsid w:val="005656ED"/>
    <w:rsid w:val="00565C9E"/>
    <w:rsid w:val="00565D02"/>
    <w:rsid w:val="0056653E"/>
    <w:rsid w:val="00566544"/>
    <w:rsid w:val="00566608"/>
    <w:rsid w:val="00566C83"/>
    <w:rsid w:val="005700FE"/>
    <w:rsid w:val="00570E24"/>
    <w:rsid w:val="00570FF8"/>
    <w:rsid w:val="00571BF7"/>
    <w:rsid w:val="00572176"/>
    <w:rsid w:val="00572760"/>
    <w:rsid w:val="00572B31"/>
    <w:rsid w:val="0057320B"/>
    <w:rsid w:val="005743DE"/>
    <w:rsid w:val="00574F3F"/>
    <w:rsid w:val="0057562C"/>
    <w:rsid w:val="005759F6"/>
    <w:rsid w:val="00575E3E"/>
    <w:rsid w:val="00575FE7"/>
    <w:rsid w:val="005763B2"/>
    <w:rsid w:val="005765F5"/>
    <w:rsid w:val="00576D6C"/>
    <w:rsid w:val="0057748A"/>
    <w:rsid w:val="0057790E"/>
    <w:rsid w:val="00577986"/>
    <w:rsid w:val="00577A2E"/>
    <w:rsid w:val="00577B23"/>
    <w:rsid w:val="00580E48"/>
    <w:rsid w:val="00580F0A"/>
    <w:rsid w:val="00581246"/>
    <w:rsid w:val="00582252"/>
    <w:rsid w:val="00582C3A"/>
    <w:rsid w:val="00582E1A"/>
    <w:rsid w:val="00583147"/>
    <w:rsid w:val="00584416"/>
    <w:rsid w:val="00584874"/>
    <w:rsid w:val="00584B39"/>
    <w:rsid w:val="00585028"/>
    <w:rsid w:val="00585253"/>
    <w:rsid w:val="0058542E"/>
    <w:rsid w:val="005854D1"/>
    <w:rsid w:val="005856A2"/>
    <w:rsid w:val="0058590B"/>
    <w:rsid w:val="00585F5B"/>
    <w:rsid w:val="0058620A"/>
    <w:rsid w:val="00586303"/>
    <w:rsid w:val="00587043"/>
    <w:rsid w:val="00587FC0"/>
    <w:rsid w:val="005906AD"/>
    <w:rsid w:val="00590985"/>
    <w:rsid w:val="00590DA6"/>
    <w:rsid w:val="00590FF4"/>
    <w:rsid w:val="00591C7D"/>
    <w:rsid w:val="0059239D"/>
    <w:rsid w:val="00592623"/>
    <w:rsid w:val="00592A47"/>
    <w:rsid w:val="00592B03"/>
    <w:rsid w:val="00593AB9"/>
    <w:rsid w:val="00594ABB"/>
    <w:rsid w:val="00594D1C"/>
    <w:rsid w:val="00594E36"/>
    <w:rsid w:val="00594F0A"/>
    <w:rsid w:val="00595255"/>
    <w:rsid w:val="0059525E"/>
    <w:rsid w:val="00595887"/>
    <w:rsid w:val="00596123"/>
    <w:rsid w:val="005961F7"/>
    <w:rsid w:val="005964BE"/>
    <w:rsid w:val="00596504"/>
    <w:rsid w:val="00596B9C"/>
    <w:rsid w:val="005A04BA"/>
    <w:rsid w:val="005A054D"/>
    <w:rsid w:val="005A0A46"/>
    <w:rsid w:val="005A10B9"/>
    <w:rsid w:val="005A11EA"/>
    <w:rsid w:val="005A1945"/>
    <w:rsid w:val="005A1BBF"/>
    <w:rsid w:val="005A1BF0"/>
    <w:rsid w:val="005A269F"/>
    <w:rsid w:val="005A305E"/>
    <w:rsid w:val="005A30BB"/>
    <w:rsid w:val="005A3887"/>
    <w:rsid w:val="005A3E23"/>
    <w:rsid w:val="005A57EA"/>
    <w:rsid w:val="005A5E23"/>
    <w:rsid w:val="005A6410"/>
    <w:rsid w:val="005B0542"/>
    <w:rsid w:val="005B1C65"/>
    <w:rsid w:val="005B1FD1"/>
    <w:rsid w:val="005B2225"/>
    <w:rsid w:val="005B2799"/>
    <w:rsid w:val="005B2B77"/>
    <w:rsid w:val="005B3330"/>
    <w:rsid w:val="005B39F0"/>
    <w:rsid w:val="005B3D4A"/>
    <w:rsid w:val="005B4D87"/>
    <w:rsid w:val="005B519B"/>
    <w:rsid w:val="005B54CD"/>
    <w:rsid w:val="005B6111"/>
    <w:rsid w:val="005B6E65"/>
    <w:rsid w:val="005B774F"/>
    <w:rsid w:val="005B77D9"/>
    <w:rsid w:val="005B7DD1"/>
    <w:rsid w:val="005C00A0"/>
    <w:rsid w:val="005C086C"/>
    <w:rsid w:val="005C0A1E"/>
    <w:rsid w:val="005C1F42"/>
    <w:rsid w:val="005C28FA"/>
    <w:rsid w:val="005C37E4"/>
    <w:rsid w:val="005C40F4"/>
    <w:rsid w:val="005C43BE"/>
    <w:rsid w:val="005C44F3"/>
    <w:rsid w:val="005C4BBD"/>
    <w:rsid w:val="005C658D"/>
    <w:rsid w:val="005C67E4"/>
    <w:rsid w:val="005C6C52"/>
    <w:rsid w:val="005C6E4A"/>
    <w:rsid w:val="005C712D"/>
    <w:rsid w:val="005C7C75"/>
    <w:rsid w:val="005D0784"/>
    <w:rsid w:val="005D09FA"/>
    <w:rsid w:val="005D0E4F"/>
    <w:rsid w:val="005D1E32"/>
    <w:rsid w:val="005D1E47"/>
    <w:rsid w:val="005D206B"/>
    <w:rsid w:val="005D2100"/>
    <w:rsid w:val="005D22B7"/>
    <w:rsid w:val="005D2BDE"/>
    <w:rsid w:val="005D3D76"/>
    <w:rsid w:val="005D4578"/>
    <w:rsid w:val="005D4EFA"/>
    <w:rsid w:val="005D4F01"/>
    <w:rsid w:val="005D5455"/>
    <w:rsid w:val="005D55BA"/>
    <w:rsid w:val="005D573B"/>
    <w:rsid w:val="005D5ADB"/>
    <w:rsid w:val="005D63CC"/>
    <w:rsid w:val="005D648A"/>
    <w:rsid w:val="005D706C"/>
    <w:rsid w:val="005D7E0D"/>
    <w:rsid w:val="005E0355"/>
    <w:rsid w:val="005E0B3F"/>
    <w:rsid w:val="005E1FBC"/>
    <w:rsid w:val="005E234A"/>
    <w:rsid w:val="005E2867"/>
    <w:rsid w:val="005E3451"/>
    <w:rsid w:val="005E35CC"/>
    <w:rsid w:val="005E371E"/>
    <w:rsid w:val="005E4140"/>
    <w:rsid w:val="005E53F9"/>
    <w:rsid w:val="005E5E9E"/>
    <w:rsid w:val="005E7614"/>
    <w:rsid w:val="005E775D"/>
    <w:rsid w:val="005F0551"/>
    <w:rsid w:val="005F0A43"/>
    <w:rsid w:val="005F0E91"/>
    <w:rsid w:val="005F1498"/>
    <w:rsid w:val="005F25A0"/>
    <w:rsid w:val="005F27BF"/>
    <w:rsid w:val="005F2CBE"/>
    <w:rsid w:val="005F3D1F"/>
    <w:rsid w:val="005F4171"/>
    <w:rsid w:val="005F46D6"/>
    <w:rsid w:val="005F4DD6"/>
    <w:rsid w:val="005F4F5D"/>
    <w:rsid w:val="005F50D8"/>
    <w:rsid w:val="005F53A1"/>
    <w:rsid w:val="005F5879"/>
    <w:rsid w:val="005F6B77"/>
    <w:rsid w:val="005F7487"/>
    <w:rsid w:val="005F7625"/>
    <w:rsid w:val="006002C7"/>
    <w:rsid w:val="00600F95"/>
    <w:rsid w:val="0060172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AA4"/>
    <w:rsid w:val="00607D8D"/>
    <w:rsid w:val="00607F2E"/>
    <w:rsid w:val="00607F77"/>
    <w:rsid w:val="00610D72"/>
    <w:rsid w:val="006130F7"/>
    <w:rsid w:val="00613AF8"/>
    <w:rsid w:val="00613D8E"/>
    <w:rsid w:val="006142E0"/>
    <w:rsid w:val="0061444B"/>
    <w:rsid w:val="00616112"/>
    <w:rsid w:val="00617066"/>
    <w:rsid w:val="00617234"/>
    <w:rsid w:val="00617332"/>
    <w:rsid w:val="006173CF"/>
    <w:rsid w:val="006175A0"/>
    <w:rsid w:val="00617CF5"/>
    <w:rsid w:val="00620035"/>
    <w:rsid w:val="006205CA"/>
    <w:rsid w:val="00621F53"/>
    <w:rsid w:val="00622E2A"/>
    <w:rsid w:val="00622FD6"/>
    <w:rsid w:val="00623089"/>
    <w:rsid w:val="0062308E"/>
    <w:rsid w:val="006234C4"/>
    <w:rsid w:val="006234FD"/>
    <w:rsid w:val="00623A6F"/>
    <w:rsid w:val="00623B34"/>
    <w:rsid w:val="006244C9"/>
    <w:rsid w:val="006245F6"/>
    <w:rsid w:val="0062475D"/>
    <w:rsid w:val="0062495F"/>
    <w:rsid w:val="0062496B"/>
    <w:rsid w:val="0062651B"/>
    <w:rsid w:val="0062660B"/>
    <w:rsid w:val="00626AD1"/>
    <w:rsid w:val="006272A4"/>
    <w:rsid w:val="00627A58"/>
    <w:rsid w:val="006300E9"/>
    <w:rsid w:val="0063044F"/>
    <w:rsid w:val="006304BC"/>
    <w:rsid w:val="00630DCE"/>
    <w:rsid w:val="0063120A"/>
    <w:rsid w:val="0063150B"/>
    <w:rsid w:val="00631585"/>
    <w:rsid w:val="00632303"/>
    <w:rsid w:val="00634ACF"/>
    <w:rsid w:val="00635035"/>
    <w:rsid w:val="0063580D"/>
    <w:rsid w:val="00635CAE"/>
    <w:rsid w:val="00637240"/>
    <w:rsid w:val="00641457"/>
    <w:rsid w:val="00641BC1"/>
    <w:rsid w:val="00643607"/>
    <w:rsid w:val="00643660"/>
    <w:rsid w:val="00644039"/>
    <w:rsid w:val="006447DC"/>
    <w:rsid w:val="00644C95"/>
    <w:rsid w:val="006450EE"/>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285"/>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E2F"/>
    <w:rsid w:val="006638AD"/>
    <w:rsid w:val="00664B27"/>
    <w:rsid w:val="0066535B"/>
    <w:rsid w:val="00666487"/>
    <w:rsid w:val="00666BC8"/>
    <w:rsid w:val="0066732C"/>
    <w:rsid w:val="006679F5"/>
    <w:rsid w:val="00667B77"/>
    <w:rsid w:val="00667D81"/>
    <w:rsid w:val="00670011"/>
    <w:rsid w:val="0067013A"/>
    <w:rsid w:val="006706F5"/>
    <w:rsid w:val="00670F07"/>
    <w:rsid w:val="006716DA"/>
    <w:rsid w:val="00672893"/>
    <w:rsid w:val="006728ED"/>
    <w:rsid w:val="006732B1"/>
    <w:rsid w:val="00673980"/>
    <w:rsid w:val="006742D9"/>
    <w:rsid w:val="0067446F"/>
    <w:rsid w:val="006745A0"/>
    <w:rsid w:val="006746A4"/>
    <w:rsid w:val="006749CF"/>
    <w:rsid w:val="00674D86"/>
    <w:rsid w:val="00675558"/>
    <w:rsid w:val="00675611"/>
    <w:rsid w:val="00675A60"/>
    <w:rsid w:val="00675BE2"/>
    <w:rsid w:val="00675DDE"/>
    <w:rsid w:val="006763D7"/>
    <w:rsid w:val="0067697E"/>
    <w:rsid w:val="0067721A"/>
    <w:rsid w:val="00677443"/>
    <w:rsid w:val="0067769A"/>
    <w:rsid w:val="0067793D"/>
    <w:rsid w:val="00677B6A"/>
    <w:rsid w:val="00680022"/>
    <w:rsid w:val="006806A3"/>
    <w:rsid w:val="006806A6"/>
    <w:rsid w:val="006807FF"/>
    <w:rsid w:val="00680AE9"/>
    <w:rsid w:val="00680BA3"/>
    <w:rsid w:val="00680C38"/>
    <w:rsid w:val="0068118B"/>
    <w:rsid w:val="00681211"/>
    <w:rsid w:val="0068125F"/>
    <w:rsid w:val="00681B36"/>
    <w:rsid w:val="00682D81"/>
    <w:rsid w:val="00682E14"/>
    <w:rsid w:val="006834BB"/>
    <w:rsid w:val="00683B5F"/>
    <w:rsid w:val="0068436C"/>
    <w:rsid w:val="006851C4"/>
    <w:rsid w:val="0068545E"/>
    <w:rsid w:val="00685FD4"/>
    <w:rsid w:val="006860A2"/>
    <w:rsid w:val="00686612"/>
    <w:rsid w:val="0068661E"/>
    <w:rsid w:val="006874F0"/>
    <w:rsid w:val="00690A49"/>
    <w:rsid w:val="00690BB6"/>
    <w:rsid w:val="0069135B"/>
    <w:rsid w:val="00691610"/>
    <w:rsid w:val="00691B30"/>
    <w:rsid w:val="00692012"/>
    <w:rsid w:val="00692CA4"/>
    <w:rsid w:val="00693E1F"/>
    <w:rsid w:val="00693ECB"/>
    <w:rsid w:val="00694097"/>
    <w:rsid w:val="00694482"/>
    <w:rsid w:val="00694797"/>
    <w:rsid w:val="00694F2D"/>
    <w:rsid w:val="00695246"/>
    <w:rsid w:val="00695257"/>
    <w:rsid w:val="00695887"/>
    <w:rsid w:val="00695C40"/>
    <w:rsid w:val="00695F6D"/>
    <w:rsid w:val="00697733"/>
    <w:rsid w:val="006A0A85"/>
    <w:rsid w:val="006A254E"/>
    <w:rsid w:val="006A285F"/>
    <w:rsid w:val="006A2B47"/>
    <w:rsid w:val="006A2C30"/>
    <w:rsid w:val="006A301C"/>
    <w:rsid w:val="006A307F"/>
    <w:rsid w:val="006A3E2B"/>
    <w:rsid w:val="006A3FF2"/>
    <w:rsid w:val="006A6262"/>
    <w:rsid w:val="006A6E17"/>
    <w:rsid w:val="006A775D"/>
    <w:rsid w:val="006A7CB6"/>
    <w:rsid w:val="006B11FC"/>
    <w:rsid w:val="006B120D"/>
    <w:rsid w:val="006B17E7"/>
    <w:rsid w:val="006B19E8"/>
    <w:rsid w:val="006B1A8A"/>
    <w:rsid w:val="006B1FD5"/>
    <w:rsid w:val="006B226B"/>
    <w:rsid w:val="006B24D6"/>
    <w:rsid w:val="006B2CF2"/>
    <w:rsid w:val="006B2F57"/>
    <w:rsid w:val="006B3B9C"/>
    <w:rsid w:val="006B475C"/>
    <w:rsid w:val="006B4EF8"/>
    <w:rsid w:val="006B506C"/>
    <w:rsid w:val="006B555A"/>
    <w:rsid w:val="006B5BD6"/>
    <w:rsid w:val="006B600A"/>
    <w:rsid w:val="006B6635"/>
    <w:rsid w:val="006B6D3E"/>
    <w:rsid w:val="006B7466"/>
    <w:rsid w:val="006B7A69"/>
    <w:rsid w:val="006B7D22"/>
    <w:rsid w:val="006B7D2C"/>
    <w:rsid w:val="006C0957"/>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81A"/>
    <w:rsid w:val="006D6939"/>
    <w:rsid w:val="006D6B77"/>
    <w:rsid w:val="006D6F42"/>
    <w:rsid w:val="006D7EB0"/>
    <w:rsid w:val="006E0138"/>
    <w:rsid w:val="006E06E9"/>
    <w:rsid w:val="006E0BB0"/>
    <w:rsid w:val="006E12C3"/>
    <w:rsid w:val="006E1BFB"/>
    <w:rsid w:val="006E20DA"/>
    <w:rsid w:val="006E2407"/>
    <w:rsid w:val="006E2529"/>
    <w:rsid w:val="006E2A36"/>
    <w:rsid w:val="006E2B19"/>
    <w:rsid w:val="006E3343"/>
    <w:rsid w:val="006E3DA8"/>
    <w:rsid w:val="006E4156"/>
    <w:rsid w:val="006E45F3"/>
    <w:rsid w:val="006E4A2F"/>
    <w:rsid w:val="006E4ED4"/>
    <w:rsid w:val="006E5E19"/>
    <w:rsid w:val="006E61C3"/>
    <w:rsid w:val="006E6577"/>
    <w:rsid w:val="006E6764"/>
    <w:rsid w:val="006E75E3"/>
    <w:rsid w:val="006E799D"/>
    <w:rsid w:val="006F0593"/>
    <w:rsid w:val="006F1064"/>
    <w:rsid w:val="006F1B76"/>
    <w:rsid w:val="006F1EB7"/>
    <w:rsid w:val="006F1FFC"/>
    <w:rsid w:val="006F21CC"/>
    <w:rsid w:val="006F45DF"/>
    <w:rsid w:val="006F49EF"/>
    <w:rsid w:val="006F4BE0"/>
    <w:rsid w:val="006F52E5"/>
    <w:rsid w:val="006F52FF"/>
    <w:rsid w:val="006F54E1"/>
    <w:rsid w:val="006F56B5"/>
    <w:rsid w:val="006F6066"/>
    <w:rsid w:val="006F615E"/>
    <w:rsid w:val="006F6850"/>
    <w:rsid w:val="006F6930"/>
    <w:rsid w:val="006F6CAF"/>
    <w:rsid w:val="006F707E"/>
    <w:rsid w:val="006F765B"/>
    <w:rsid w:val="007001DC"/>
    <w:rsid w:val="007003D1"/>
    <w:rsid w:val="007015D6"/>
    <w:rsid w:val="007025CB"/>
    <w:rsid w:val="00702868"/>
    <w:rsid w:val="007034AA"/>
    <w:rsid w:val="007038CC"/>
    <w:rsid w:val="00703C5D"/>
    <w:rsid w:val="00703C9D"/>
    <w:rsid w:val="0070490C"/>
    <w:rsid w:val="00704981"/>
    <w:rsid w:val="007054F5"/>
    <w:rsid w:val="00705C38"/>
    <w:rsid w:val="007060B1"/>
    <w:rsid w:val="00706222"/>
    <w:rsid w:val="00706465"/>
    <w:rsid w:val="0070695A"/>
    <w:rsid w:val="007072EB"/>
    <w:rsid w:val="0070782D"/>
    <w:rsid w:val="00707D16"/>
    <w:rsid w:val="007109C2"/>
    <w:rsid w:val="00711250"/>
    <w:rsid w:val="00711340"/>
    <w:rsid w:val="00711901"/>
    <w:rsid w:val="00711D0C"/>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A3C"/>
    <w:rsid w:val="00722F94"/>
    <w:rsid w:val="007237EC"/>
    <w:rsid w:val="00723AA7"/>
    <w:rsid w:val="0072432E"/>
    <w:rsid w:val="00724388"/>
    <w:rsid w:val="0072530E"/>
    <w:rsid w:val="00725C99"/>
    <w:rsid w:val="00726036"/>
    <w:rsid w:val="00726279"/>
    <w:rsid w:val="007268E1"/>
    <w:rsid w:val="0072692D"/>
    <w:rsid w:val="00726A9B"/>
    <w:rsid w:val="00726D75"/>
    <w:rsid w:val="00727530"/>
    <w:rsid w:val="0072757A"/>
    <w:rsid w:val="007275F1"/>
    <w:rsid w:val="00727FE0"/>
    <w:rsid w:val="007311C4"/>
    <w:rsid w:val="007314F0"/>
    <w:rsid w:val="00731E7C"/>
    <w:rsid w:val="007329EF"/>
    <w:rsid w:val="0073327A"/>
    <w:rsid w:val="00734539"/>
    <w:rsid w:val="007347A5"/>
    <w:rsid w:val="00734EBE"/>
    <w:rsid w:val="00734F68"/>
    <w:rsid w:val="00735549"/>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077"/>
    <w:rsid w:val="0074315A"/>
    <w:rsid w:val="0074360F"/>
    <w:rsid w:val="00744278"/>
    <w:rsid w:val="007448CE"/>
    <w:rsid w:val="00744A26"/>
    <w:rsid w:val="00744A64"/>
    <w:rsid w:val="00744D47"/>
    <w:rsid w:val="00744EA0"/>
    <w:rsid w:val="0074638D"/>
    <w:rsid w:val="00746484"/>
    <w:rsid w:val="007464F4"/>
    <w:rsid w:val="007465CC"/>
    <w:rsid w:val="0074704F"/>
    <w:rsid w:val="0074787C"/>
    <w:rsid w:val="00747F48"/>
    <w:rsid w:val="00747F4C"/>
    <w:rsid w:val="00750721"/>
    <w:rsid w:val="00751091"/>
    <w:rsid w:val="00751B83"/>
    <w:rsid w:val="0075268B"/>
    <w:rsid w:val="00753191"/>
    <w:rsid w:val="00754359"/>
    <w:rsid w:val="00754411"/>
    <w:rsid w:val="00754BD9"/>
    <w:rsid w:val="00754E7A"/>
    <w:rsid w:val="0075540C"/>
    <w:rsid w:val="00755DB1"/>
    <w:rsid w:val="00756376"/>
    <w:rsid w:val="007574FC"/>
    <w:rsid w:val="007603F1"/>
    <w:rsid w:val="00760975"/>
    <w:rsid w:val="00761A5B"/>
    <w:rsid w:val="00761E64"/>
    <w:rsid w:val="00761FDA"/>
    <w:rsid w:val="007621FF"/>
    <w:rsid w:val="007634E3"/>
    <w:rsid w:val="00764194"/>
    <w:rsid w:val="0076443E"/>
    <w:rsid w:val="00765ED3"/>
    <w:rsid w:val="00766160"/>
    <w:rsid w:val="0076681D"/>
    <w:rsid w:val="00766A65"/>
    <w:rsid w:val="007670BB"/>
    <w:rsid w:val="007671F5"/>
    <w:rsid w:val="007676B8"/>
    <w:rsid w:val="00770D5E"/>
    <w:rsid w:val="0077175C"/>
    <w:rsid w:val="00771870"/>
    <w:rsid w:val="00771BF9"/>
    <w:rsid w:val="0077212A"/>
    <w:rsid w:val="00772F8A"/>
    <w:rsid w:val="0077305E"/>
    <w:rsid w:val="00773641"/>
    <w:rsid w:val="007739C6"/>
    <w:rsid w:val="00773DB7"/>
    <w:rsid w:val="00774889"/>
    <w:rsid w:val="00774FF5"/>
    <w:rsid w:val="007750B3"/>
    <w:rsid w:val="00775F76"/>
    <w:rsid w:val="007768C6"/>
    <w:rsid w:val="00776AEA"/>
    <w:rsid w:val="00777BA0"/>
    <w:rsid w:val="007803BD"/>
    <w:rsid w:val="00780507"/>
    <w:rsid w:val="007811DC"/>
    <w:rsid w:val="007814EF"/>
    <w:rsid w:val="00781C62"/>
    <w:rsid w:val="007820FA"/>
    <w:rsid w:val="00782371"/>
    <w:rsid w:val="0078285F"/>
    <w:rsid w:val="00783207"/>
    <w:rsid w:val="0078346F"/>
    <w:rsid w:val="00783896"/>
    <w:rsid w:val="00783E1D"/>
    <w:rsid w:val="007846A9"/>
    <w:rsid w:val="0078483B"/>
    <w:rsid w:val="00784C52"/>
    <w:rsid w:val="00784EED"/>
    <w:rsid w:val="007851E8"/>
    <w:rsid w:val="00785900"/>
    <w:rsid w:val="00785D3A"/>
    <w:rsid w:val="00786810"/>
    <w:rsid w:val="00786958"/>
    <w:rsid w:val="00786A97"/>
    <w:rsid w:val="00786DD3"/>
    <w:rsid w:val="00786E71"/>
    <w:rsid w:val="007908F8"/>
    <w:rsid w:val="0079162F"/>
    <w:rsid w:val="00793B64"/>
    <w:rsid w:val="00794924"/>
    <w:rsid w:val="0079506E"/>
    <w:rsid w:val="007963FD"/>
    <w:rsid w:val="007A0BC2"/>
    <w:rsid w:val="007A1F44"/>
    <w:rsid w:val="007A2115"/>
    <w:rsid w:val="007A23FF"/>
    <w:rsid w:val="007A25D6"/>
    <w:rsid w:val="007A295B"/>
    <w:rsid w:val="007A3424"/>
    <w:rsid w:val="007A35EF"/>
    <w:rsid w:val="007A43A2"/>
    <w:rsid w:val="007A4D04"/>
    <w:rsid w:val="007A59F6"/>
    <w:rsid w:val="007A7A96"/>
    <w:rsid w:val="007B03AF"/>
    <w:rsid w:val="007B0D96"/>
    <w:rsid w:val="007B1543"/>
    <w:rsid w:val="007B1AC0"/>
    <w:rsid w:val="007B1B9F"/>
    <w:rsid w:val="007B25A8"/>
    <w:rsid w:val="007B270A"/>
    <w:rsid w:val="007B2D3B"/>
    <w:rsid w:val="007B5018"/>
    <w:rsid w:val="007B52CD"/>
    <w:rsid w:val="007B74F9"/>
    <w:rsid w:val="007B7DC1"/>
    <w:rsid w:val="007B7EDB"/>
    <w:rsid w:val="007C0043"/>
    <w:rsid w:val="007C0718"/>
    <w:rsid w:val="007C19AD"/>
    <w:rsid w:val="007C1F83"/>
    <w:rsid w:val="007C27C8"/>
    <w:rsid w:val="007C2977"/>
    <w:rsid w:val="007C2A16"/>
    <w:rsid w:val="007C2ABC"/>
    <w:rsid w:val="007C3598"/>
    <w:rsid w:val="007C3D6D"/>
    <w:rsid w:val="007C3FA8"/>
    <w:rsid w:val="007C417E"/>
    <w:rsid w:val="007C4735"/>
    <w:rsid w:val="007C5956"/>
    <w:rsid w:val="007C5F1A"/>
    <w:rsid w:val="007C62C1"/>
    <w:rsid w:val="007C6552"/>
    <w:rsid w:val="007C669D"/>
    <w:rsid w:val="007C68DA"/>
    <w:rsid w:val="007C70BF"/>
    <w:rsid w:val="007C7BB9"/>
    <w:rsid w:val="007D01D9"/>
    <w:rsid w:val="007D0BB4"/>
    <w:rsid w:val="007D1C9B"/>
    <w:rsid w:val="007D229A"/>
    <w:rsid w:val="007D2F44"/>
    <w:rsid w:val="007D2F4D"/>
    <w:rsid w:val="007D3C97"/>
    <w:rsid w:val="007D4178"/>
    <w:rsid w:val="007D4D33"/>
    <w:rsid w:val="007D5403"/>
    <w:rsid w:val="007D5C21"/>
    <w:rsid w:val="007D6B47"/>
    <w:rsid w:val="007D7175"/>
    <w:rsid w:val="007D7ADE"/>
    <w:rsid w:val="007E02A5"/>
    <w:rsid w:val="007E1369"/>
    <w:rsid w:val="007E1A1B"/>
    <w:rsid w:val="007E1A88"/>
    <w:rsid w:val="007E27EB"/>
    <w:rsid w:val="007E2F3D"/>
    <w:rsid w:val="007E3B71"/>
    <w:rsid w:val="007E4450"/>
    <w:rsid w:val="007E4782"/>
    <w:rsid w:val="007E4C88"/>
    <w:rsid w:val="007E52BF"/>
    <w:rsid w:val="007E585E"/>
    <w:rsid w:val="007E5FD9"/>
    <w:rsid w:val="007E6151"/>
    <w:rsid w:val="007E635F"/>
    <w:rsid w:val="007E6E00"/>
    <w:rsid w:val="007E7223"/>
    <w:rsid w:val="007E7B35"/>
    <w:rsid w:val="007E7D52"/>
    <w:rsid w:val="007E7DDF"/>
    <w:rsid w:val="007F070A"/>
    <w:rsid w:val="007F0B2A"/>
    <w:rsid w:val="007F11C8"/>
    <w:rsid w:val="007F1205"/>
    <w:rsid w:val="007F17EA"/>
    <w:rsid w:val="007F1CFB"/>
    <w:rsid w:val="007F1F1C"/>
    <w:rsid w:val="007F2146"/>
    <w:rsid w:val="007F220B"/>
    <w:rsid w:val="007F22F5"/>
    <w:rsid w:val="007F25C6"/>
    <w:rsid w:val="007F27DD"/>
    <w:rsid w:val="007F2826"/>
    <w:rsid w:val="007F4247"/>
    <w:rsid w:val="007F4C0A"/>
    <w:rsid w:val="007F50B1"/>
    <w:rsid w:val="007F5116"/>
    <w:rsid w:val="007F58C6"/>
    <w:rsid w:val="007F5EC6"/>
    <w:rsid w:val="007F6851"/>
    <w:rsid w:val="007F6880"/>
    <w:rsid w:val="007F6F73"/>
    <w:rsid w:val="007F730E"/>
    <w:rsid w:val="007F76B4"/>
    <w:rsid w:val="007F7E00"/>
    <w:rsid w:val="008001B4"/>
    <w:rsid w:val="008002CF"/>
    <w:rsid w:val="008003BF"/>
    <w:rsid w:val="00800769"/>
    <w:rsid w:val="00800ED2"/>
    <w:rsid w:val="0080125C"/>
    <w:rsid w:val="00801AB2"/>
    <w:rsid w:val="00801AD0"/>
    <w:rsid w:val="0080245F"/>
    <w:rsid w:val="00802BFD"/>
    <w:rsid w:val="00802E74"/>
    <w:rsid w:val="0080439D"/>
    <w:rsid w:val="00804B92"/>
    <w:rsid w:val="00804DA1"/>
    <w:rsid w:val="00804E21"/>
    <w:rsid w:val="00804E7A"/>
    <w:rsid w:val="00805092"/>
    <w:rsid w:val="00805F15"/>
    <w:rsid w:val="008061C7"/>
    <w:rsid w:val="008064D0"/>
    <w:rsid w:val="00806565"/>
    <w:rsid w:val="00806AAF"/>
    <w:rsid w:val="008070AC"/>
    <w:rsid w:val="008074A5"/>
    <w:rsid w:val="008074C6"/>
    <w:rsid w:val="00807D99"/>
    <w:rsid w:val="008101FD"/>
    <w:rsid w:val="00810D8D"/>
    <w:rsid w:val="00811835"/>
    <w:rsid w:val="00811EE5"/>
    <w:rsid w:val="00812765"/>
    <w:rsid w:val="008128B1"/>
    <w:rsid w:val="00812FCD"/>
    <w:rsid w:val="00813FD5"/>
    <w:rsid w:val="0081452D"/>
    <w:rsid w:val="00814E3E"/>
    <w:rsid w:val="00814F60"/>
    <w:rsid w:val="008156F8"/>
    <w:rsid w:val="0081581D"/>
    <w:rsid w:val="00816E9B"/>
    <w:rsid w:val="00816FCB"/>
    <w:rsid w:val="0081726C"/>
    <w:rsid w:val="008172BE"/>
    <w:rsid w:val="00817B71"/>
    <w:rsid w:val="00820244"/>
    <w:rsid w:val="008205E8"/>
    <w:rsid w:val="00820C37"/>
    <w:rsid w:val="00820DCE"/>
    <w:rsid w:val="0082102D"/>
    <w:rsid w:val="00821099"/>
    <w:rsid w:val="0082113E"/>
    <w:rsid w:val="008221B3"/>
    <w:rsid w:val="0082232D"/>
    <w:rsid w:val="0082248E"/>
    <w:rsid w:val="008224EA"/>
    <w:rsid w:val="008228D4"/>
    <w:rsid w:val="00822944"/>
    <w:rsid w:val="00822E2E"/>
    <w:rsid w:val="00823FB6"/>
    <w:rsid w:val="00824B6F"/>
    <w:rsid w:val="00824E0E"/>
    <w:rsid w:val="00824FDF"/>
    <w:rsid w:val="00825125"/>
    <w:rsid w:val="00825749"/>
    <w:rsid w:val="008257CC"/>
    <w:rsid w:val="00825F5C"/>
    <w:rsid w:val="00826345"/>
    <w:rsid w:val="00826609"/>
    <w:rsid w:val="0082696E"/>
    <w:rsid w:val="00826ACF"/>
    <w:rsid w:val="008274BF"/>
    <w:rsid w:val="00830DC3"/>
    <w:rsid w:val="00831555"/>
    <w:rsid w:val="00831F52"/>
    <w:rsid w:val="00832154"/>
    <w:rsid w:val="00832F5C"/>
    <w:rsid w:val="00834046"/>
    <w:rsid w:val="00834489"/>
    <w:rsid w:val="00834DE6"/>
    <w:rsid w:val="00834ECD"/>
    <w:rsid w:val="008359E0"/>
    <w:rsid w:val="0083689A"/>
    <w:rsid w:val="008376F6"/>
    <w:rsid w:val="00837840"/>
    <w:rsid w:val="00837D5B"/>
    <w:rsid w:val="00840607"/>
    <w:rsid w:val="00840A16"/>
    <w:rsid w:val="00841CD2"/>
    <w:rsid w:val="00842666"/>
    <w:rsid w:val="00842899"/>
    <w:rsid w:val="00842B77"/>
    <w:rsid w:val="00842B92"/>
    <w:rsid w:val="0084309F"/>
    <w:rsid w:val="008435CF"/>
    <w:rsid w:val="0084556E"/>
    <w:rsid w:val="00845B5C"/>
    <w:rsid w:val="00845C12"/>
    <w:rsid w:val="00846716"/>
    <w:rsid w:val="00846791"/>
    <w:rsid w:val="00846918"/>
    <w:rsid w:val="008469D9"/>
    <w:rsid w:val="00846DC0"/>
    <w:rsid w:val="008474A7"/>
    <w:rsid w:val="008506B6"/>
    <w:rsid w:val="00850AE0"/>
    <w:rsid w:val="00850EB2"/>
    <w:rsid w:val="008524D2"/>
    <w:rsid w:val="00852E19"/>
    <w:rsid w:val="008551A3"/>
    <w:rsid w:val="00855B38"/>
    <w:rsid w:val="008560CC"/>
    <w:rsid w:val="00856441"/>
    <w:rsid w:val="00856833"/>
    <w:rsid w:val="00856840"/>
    <w:rsid w:val="0086087C"/>
    <w:rsid w:val="0086099F"/>
    <w:rsid w:val="00860D8E"/>
    <w:rsid w:val="00861562"/>
    <w:rsid w:val="00861D51"/>
    <w:rsid w:val="0086275E"/>
    <w:rsid w:val="00864384"/>
    <w:rsid w:val="00864440"/>
    <w:rsid w:val="008645BC"/>
    <w:rsid w:val="00864D76"/>
    <w:rsid w:val="008650FC"/>
    <w:rsid w:val="00866E61"/>
    <w:rsid w:val="00866EB3"/>
    <w:rsid w:val="0086701A"/>
    <w:rsid w:val="00867BD2"/>
    <w:rsid w:val="00867DDF"/>
    <w:rsid w:val="00870619"/>
    <w:rsid w:val="008707F7"/>
    <w:rsid w:val="008712FD"/>
    <w:rsid w:val="00871335"/>
    <w:rsid w:val="008716A1"/>
    <w:rsid w:val="00872AA7"/>
    <w:rsid w:val="00872D3F"/>
    <w:rsid w:val="008733AA"/>
    <w:rsid w:val="008733E4"/>
    <w:rsid w:val="00873F15"/>
    <w:rsid w:val="00874096"/>
    <w:rsid w:val="008756A4"/>
    <w:rsid w:val="00875793"/>
    <w:rsid w:val="00875F73"/>
    <w:rsid w:val="008766AC"/>
    <w:rsid w:val="00877049"/>
    <w:rsid w:val="00877F0E"/>
    <w:rsid w:val="00877F56"/>
    <w:rsid w:val="00880389"/>
    <w:rsid w:val="00880933"/>
    <w:rsid w:val="00880D53"/>
    <w:rsid w:val="00880F30"/>
    <w:rsid w:val="00881708"/>
    <w:rsid w:val="00882238"/>
    <w:rsid w:val="008833E8"/>
    <w:rsid w:val="00885457"/>
    <w:rsid w:val="00886333"/>
    <w:rsid w:val="008865C8"/>
    <w:rsid w:val="0088759F"/>
    <w:rsid w:val="0088796E"/>
    <w:rsid w:val="00887B48"/>
    <w:rsid w:val="00890D89"/>
    <w:rsid w:val="00890E76"/>
    <w:rsid w:val="00890EC6"/>
    <w:rsid w:val="0089111A"/>
    <w:rsid w:val="0089176E"/>
    <w:rsid w:val="008917E0"/>
    <w:rsid w:val="008918B6"/>
    <w:rsid w:val="00892365"/>
    <w:rsid w:val="00892BE5"/>
    <w:rsid w:val="0089387C"/>
    <w:rsid w:val="0089444E"/>
    <w:rsid w:val="008949DF"/>
    <w:rsid w:val="008951DB"/>
    <w:rsid w:val="008952E3"/>
    <w:rsid w:val="00895E17"/>
    <w:rsid w:val="00896160"/>
    <w:rsid w:val="0089691B"/>
    <w:rsid w:val="00896C81"/>
    <w:rsid w:val="00896D83"/>
    <w:rsid w:val="00897A17"/>
    <w:rsid w:val="008A0167"/>
    <w:rsid w:val="008A03D1"/>
    <w:rsid w:val="008A0618"/>
    <w:rsid w:val="008A0831"/>
    <w:rsid w:val="008A0AB2"/>
    <w:rsid w:val="008A0CFC"/>
    <w:rsid w:val="008A12FE"/>
    <w:rsid w:val="008A2282"/>
    <w:rsid w:val="008A28B6"/>
    <w:rsid w:val="008A2BB1"/>
    <w:rsid w:val="008A3466"/>
    <w:rsid w:val="008A389F"/>
    <w:rsid w:val="008A3A9E"/>
    <w:rsid w:val="008A3D02"/>
    <w:rsid w:val="008A3F1E"/>
    <w:rsid w:val="008A4B7C"/>
    <w:rsid w:val="008A4FEB"/>
    <w:rsid w:val="008A583D"/>
    <w:rsid w:val="008A5940"/>
    <w:rsid w:val="008A732B"/>
    <w:rsid w:val="008A73B2"/>
    <w:rsid w:val="008A7425"/>
    <w:rsid w:val="008B043F"/>
    <w:rsid w:val="008B0808"/>
    <w:rsid w:val="008B0AEC"/>
    <w:rsid w:val="008B0DFB"/>
    <w:rsid w:val="008B0FB4"/>
    <w:rsid w:val="008B1828"/>
    <w:rsid w:val="008B1E53"/>
    <w:rsid w:val="008B1E5B"/>
    <w:rsid w:val="008B24DC"/>
    <w:rsid w:val="008B2C7D"/>
    <w:rsid w:val="008B2CCB"/>
    <w:rsid w:val="008B2E11"/>
    <w:rsid w:val="008B389D"/>
    <w:rsid w:val="008B3C5C"/>
    <w:rsid w:val="008B41C2"/>
    <w:rsid w:val="008B421E"/>
    <w:rsid w:val="008B4DD7"/>
    <w:rsid w:val="008B50E1"/>
    <w:rsid w:val="008B5299"/>
    <w:rsid w:val="008B5384"/>
    <w:rsid w:val="008B5A5F"/>
    <w:rsid w:val="008B5AB0"/>
    <w:rsid w:val="008B5D36"/>
    <w:rsid w:val="008B6054"/>
    <w:rsid w:val="008B6684"/>
    <w:rsid w:val="008B7B08"/>
    <w:rsid w:val="008C068D"/>
    <w:rsid w:val="008C0724"/>
    <w:rsid w:val="008C0890"/>
    <w:rsid w:val="008C13F0"/>
    <w:rsid w:val="008C1F26"/>
    <w:rsid w:val="008C1F57"/>
    <w:rsid w:val="008C2A3A"/>
    <w:rsid w:val="008C376C"/>
    <w:rsid w:val="008C3D8B"/>
    <w:rsid w:val="008C4329"/>
    <w:rsid w:val="008C44D1"/>
    <w:rsid w:val="008C47A0"/>
    <w:rsid w:val="008C4C7E"/>
    <w:rsid w:val="008C5C46"/>
    <w:rsid w:val="008C6184"/>
    <w:rsid w:val="008C6865"/>
    <w:rsid w:val="008C7008"/>
    <w:rsid w:val="008C785E"/>
    <w:rsid w:val="008C7DD4"/>
    <w:rsid w:val="008D0863"/>
    <w:rsid w:val="008D0AFB"/>
    <w:rsid w:val="008D1470"/>
    <w:rsid w:val="008D1511"/>
    <w:rsid w:val="008D17D9"/>
    <w:rsid w:val="008D27E2"/>
    <w:rsid w:val="008D32DF"/>
    <w:rsid w:val="008D35E9"/>
    <w:rsid w:val="008D3959"/>
    <w:rsid w:val="008D3966"/>
    <w:rsid w:val="008D3BDF"/>
    <w:rsid w:val="008D4352"/>
    <w:rsid w:val="008D5A60"/>
    <w:rsid w:val="008D60BC"/>
    <w:rsid w:val="008D665E"/>
    <w:rsid w:val="008D6D7B"/>
    <w:rsid w:val="008D6EA4"/>
    <w:rsid w:val="008D7041"/>
    <w:rsid w:val="008D7D04"/>
    <w:rsid w:val="008D7EB7"/>
    <w:rsid w:val="008E0430"/>
    <w:rsid w:val="008E04DE"/>
    <w:rsid w:val="008E0EB8"/>
    <w:rsid w:val="008E10A6"/>
    <w:rsid w:val="008E1271"/>
    <w:rsid w:val="008E1A5B"/>
    <w:rsid w:val="008E205D"/>
    <w:rsid w:val="008E2251"/>
    <w:rsid w:val="008E24B3"/>
    <w:rsid w:val="008E24CA"/>
    <w:rsid w:val="008E2F6E"/>
    <w:rsid w:val="008E3359"/>
    <w:rsid w:val="008E38AD"/>
    <w:rsid w:val="008E3EEC"/>
    <w:rsid w:val="008E46AE"/>
    <w:rsid w:val="008E4BB8"/>
    <w:rsid w:val="008E50AB"/>
    <w:rsid w:val="008E5BF2"/>
    <w:rsid w:val="008E5C81"/>
    <w:rsid w:val="008E61F9"/>
    <w:rsid w:val="008E6A9D"/>
    <w:rsid w:val="008E6B99"/>
    <w:rsid w:val="008F0A38"/>
    <w:rsid w:val="008F0A5A"/>
    <w:rsid w:val="008F0F84"/>
    <w:rsid w:val="008F1014"/>
    <w:rsid w:val="008F11C9"/>
    <w:rsid w:val="008F1282"/>
    <w:rsid w:val="008F14BD"/>
    <w:rsid w:val="008F1B7D"/>
    <w:rsid w:val="008F23D8"/>
    <w:rsid w:val="008F2FD5"/>
    <w:rsid w:val="008F31F2"/>
    <w:rsid w:val="008F37E5"/>
    <w:rsid w:val="008F48C2"/>
    <w:rsid w:val="008F4DF9"/>
    <w:rsid w:val="008F5840"/>
    <w:rsid w:val="008F5EEF"/>
    <w:rsid w:val="008F66FE"/>
    <w:rsid w:val="008F72CC"/>
    <w:rsid w:val="008F72CD"/>
    <w:rsid w:val="008F746B"/>
    <w:rsid w:val="008F7575"/>
    <w:rsid w:val="008F7A35"/>
    <w:rsid w:val="008F7A45"/>
    <w:rsid w:val="0090008C"/>
    <w:rsid w:val="00900712"/>
    <w:rsid w:val="00900727"/>
    <w:rsid w:val="00902232"/>
    <w:rsid w:val="009027C8"/>
    <w:rsid w:val="00902D33"/>
    <w:rsid w:val="00903802"/>
    <w:rsid w:val="00904584"/>
    <w:rsid w:val="00904640"/>
    <w:rsid w:val="00904748"/>
    <w:rsid w:val="009054E2"/>
    <w:rsid w:val="00905A8D"/>
    <w:rsid w:val="00905BCE"/>
    <w:rsid w:val="00905F2A"/>
    <w:rsid w:val="00906118"/>
    <w:rsid w:val="0090696D"/>
    <w:rsid w:val="00906CD6"/>
    <w:rsid w:val="00906E4D"/>
    <w:rsid w:val="00906F31"/>
    <w:rsid w:val="0090729B"/>
    <w:rsid w:val="00907576"/>
    <w:rsid w:val="009078B3"/>
    <w:rsid w:val="00907A4F"/>
    <w:rsid w:val="00907A77"/>
    <w:rsid w:val="00907B21"/>
    <w:rsid w:val="00907C68"/>
    <w:rsid w:val="00907E00"/>
    <w:rsid w:val="00910606"/>
    <w:rsid w:val="0091088D"/>
    <w:rsid w:val="00910FC9"/>
    <w:rsid w:val="009122A6"/>
    <w:rsid w:val="0091291A"/>
    <w:rsid w:val="00912953"/>
    <w:rsid w:val="00912988"/>
    <w:rsid w:val="009133A6"/>
    <w:rsid w:val="00913612"/>
    <w:rsid w:val="0091366A"/>
    <w:rsid w:val="00913824"/>
    <w:rsid w:val="00915757"/>
    <w:rsid w:val="009159B3"/>
    <w:rsid w:val="00915FC5"/>
    <w:rsid w:val="0091607D"/>
    <w:rsid w:val="00916181"/>
    <w:rsid w:val="00916367"/>
    <w:rsid w:val="009204C5"/>
    <w:rsid w:val="0092180D"/>
    <w:rsid w:val="009218BD"/>
    <w:rsid w:val="00922F17"/>
    <w:rsid w:val="009232C9"/>
    <w:rsid w:val="00923608"/>
    <w:rsid w:val="009238E5"/>
    <w:rsid w:val="00923F12"/>
    <w:rsid w:val="00924FF8"/>
    <w:rsid w:val="009258AE"/>
    <w:rsid w:val="00925BA8"/>
    <w:rsid w:val="009266C8"/>
    <w:rsid w:val="00926DA7"/>
    <w:rsid w:val="009277E1"/>
    <w:rsid w:val="00927F41"/>
    <w:rsid w:val="00927F8B"/>
    <w:rsid w:val="009300E4"/>
    <w:rsid w:val="009303AF"/>
    <w:rsid w:val="0093094D"/>
    <w:rsid w:val="009312BE"/>
    <w:rsid w:val="009328C7"/>
    <w:rsid w:val="00932E11"/>
    <w:rsid w:val="00932ECB"/>
    <w:rsid w:val="009336EC"/>
    <w:rsid w:val="0093387F"/>
    <w:rsid w:val="00933F56"/>
    <w:rsid w:val="009346EE"/>
    <w:rsid w:val="00934C13"/>
    <w:rsid w:val="0093515C"/>
    <w:rsid w:val="00935228"/>
    <w:rsid w:val="009355A2"/>
    <w:rsid w:val="009359CE"/>
    <w:rsid w:val="00935F9E"/>
    <w:rsid w:val="00936D98"/>
    <w:rsid w:val="0093765A"/>
    <w:rsid w:val="00940324"/>
    <w:rsid w:val="00941523"/>
    <w:rsid w:val="009417E4"/>
    <w:rsid w:val="00942C80"/>
    <w:rsid w:val="00943029"/>
    <w:rsid w:val="00943197"/>
    <w:rsid w:val="00943460"/>
    <w:rsid w:val="00943577"/>
    <w:rsid w:val="009435F2"/>
    <w:rsid w:val="00943AFB"/>
    <w:rsid w:val="009446D2"/>
    <w:rsid w:val="00944856"/>
    <w:rsid w:val="00945180"/>
    <w:rsid w:val="0094590C"/>
    <w:rsid w:val="00946355"/>
    <w:rsid w:val="009468B7"/>
    <w:rsid w:val="00946ACC"/>
    <w:rsid w:val="0094724E"/>
    <w:rsid w:val="00947973"/>
    <w:rsid w:val="00947BE6"/>
    <w:rsid w:val="0095048D"/>
    <w:rsid w:val="00950729"/>
    <w:rsid w:val="00951300"/>
    <w:rsid w:val="00951ADB"/>
    <w:rsid w:val="00952253"/>
    <w:rsid w:val="00952CB8"/>
    <w:rsid w:val="0095380C"/>
    <w:rsid w:val="009540C0"/>
    <w:rsid w:val="00954353"/>
    <w:rsid w:val="00954ADF"/>
    <w:rsid w:val="00955C0A"/>
    <w:rsid w:val="00955C4F"/>
    <w:rsid w:val="00956109"/>
    <w:rsid w:val="00956BBB"/>
    <w:rsid w:val="009575AA"/>
    <w:rsid w:val="00957945"/>
    <w:rsid w:val="00960980"/>
    <w:rsid w:val="00960CE7"/>
    <w:rsid w:val="00961A13"/>
    <w:rsid w:val="00962EB2"/>
    <w:rsid w:val="00963B86"/>
    <w:rsid w:val="00964777"/>
    <w:rsid w:val="009657F1"/>
    <w:rsid w:val="00965C8A"/>
    <w:rsid w:val="0096625D"/>
    <w:rsid w:val="0096648B"/>
    <w:rsid w:val="009664F5"/>
    <w:rsid w:val="00966A93"/>
    <w:rsid w:val="009677AE"/>
    <w:rsid w:val="009705D8"/>
    <w:rsid w:val="009709F8"/>
    <w:rsid w:val="00970BD4"/>
    <w:rsid w:val="0097271B"/>
    <w:rsid w:val="009728F6"/>
    <w:rsid w:val="00972929"/>
    <w:rsid w:val="00972F91"/>
    <w:rsid w:val="0097317C"/>
    <w:rsid w:val="00973827"/>
    <w:rsid w:val="009738B6"/>
    <w:rsid w:val="009739F2"/>
    <w:rsid w:val="00973D63"/>
    <w:rsid w:val="009742D3"/>
    <w:rsid w:val="00975927"/>
    <w:rsid w:val="0097597B"/>
    <w:rsid w:val="00975ED7"/>
    <w:rsid w:val="00976DBE"/>
    <w:rsid w:val="00976F32"/>
    <w:rsid w:val="00977BA7"/>
    <w:rsid w:val="00977E45"/>
    <w:rsid w:val="00977EB0"/>
    <w:rsid w:val="009801D4"/>
    <w:rsid w:val="00980506"/>
    <w:rsid w:val="00980517"/>
    <w:rsid w:val="0098086D"/>
    <w:rsid w:val="0098194F"/>
    <w:rsid w:val="009826C8"/>
    <w:rsid w:val="00982B17"/>
    <w:rsid w:val="00982F56"/>
    <w:rsid w:val="00982F5C"/>
    <w:rsid w:val="00983686"/>
    <w:rsid w:val="009836E4"/>
    <w:rsid w:val="0098412F"/>
    <w:rsid w:val="00984835"/>
    <w:rsid w:val="00984AED"/>
    <w:rsid w:val="00985303"/>
    <w:rsid w:val="009856AE"/>
    <w:rsid w:val="00985D0B"/>
    <w:rsid w:val="00985F28"/>
    <w:rsid w:val="00986149"/>
    <w:rsid w:val="00986176"/>
    <w:rsid w:val="0098686E"/>
    <w:rsid w:val="00986E7F"/>
    <w:rsid w:val="00987536"/>
    <w:rsid w:val="00990AD7"/>
    <w:rsid w:val="00990BD5"/>
    <w:rsid w:val="0099196F"/>
    <w:rsid w:val="00991CD6"/>
    <w:rsid w:val="00992B98"/>
    <w:rsid w:val="0099359F"/>
    <w:rsid w:val="00994505"/>
    <w:rsid w:val="00994871"/>
    <w:rsid w:val="00994CB8"/>
    <w:rsid w:val="00994E08"/>
    <w:rsid w:val="009951F9"/>
    <w:rsid w:val="00995768"/>
    <w:rsid w:val="00995C95"/>
    <w:rsid w:val="00995E85"/>
    <w:rsid w:val="00996468"/>
    <w:rsid w:val="00996876"/>
    <w:rsid w:val="0099694B"/>
    <w:rsid w:val="00996FFA"/>
    <w:rsid w:val="0099723D"/>
    <w:rsid w:val="009973F1"/>
    <w:rsid w:val="009973F3"/>
    <w:rsid w:val="009A010D"/>
    <w:rsid w:val="009A0C6F"/>
    <w:rsid w:val="009A14EF"/>
    <w:rsid w:val="009A1729"/>
    <w:rsid w:val="009A1CC9"/>
    <w:rsid w:val="009A2DF9"/>
    <w:rsid w:val="009A373B"/>
    <w:rsid w:val="009A3A86"/>
    <w:rsid w:val="009A3CEB"/>
    <w:rsid w:val="009A3DB8"/>
    <w:rsid w:val="009A4282"/>
    <w:rsid w:val="009A4869"/>
    <w:rsid w:val="009A5091"/>
    <w:rsid w:val="009A63E0"/>
    <w:rsid w:val="009A6A6B"/>
    <w:rsid w:val="009A7929"/>
    <w:rsid w:val="009A7DAA"/>
    <w:rsid w:val="009B0270"/>
    <w:rsid w:val="009B03F6"/>
    <w:rsid w:val="009B1EF9"/>
    <w:rsid w:val="009B24E0"/>
    <w:rsid w:val="009B26AC"/>
    <w:rsid w:val="009B3201"/>
    <w:rsid w:val="009B37E2"/>
    <w:rsid w:val="009B4519"/>
    <w:rsid w:val="009B46F7"/>
    <w:rsid w:val="009B506B"/>
    <w:rsid w:val="009B56EA"/>
    <w:rsid w:val="009B57EF"/>
    <w:rsid w:val="009B5B67"/>
    <w:rsid w:val="009B5B85"/>
    <w:rsid w:val="009B611B"/>
    <w:rsid w:val="009B6141"/>
    <w:rsid w:val="009B62D3"/>
    <w:rsid w:val="009B650C"/>
    <w:rsid w:val="009B66AF"/>
    <w:rsid w:val="009B6D48"/>
    <w:rsid w:val="009B7204"/>
    <w:rsid w:val="009B725F"/>
    <w:rsid w:val="009B7B5B"/>
    <w:rsid w:val="009B7BB3"/>
    <w:rsid w:val="009C0074"/>
    <w:rsid w:val="009C0564"/>
    <w:rsid w:val="009C0F04"/>
    <w:rsid w:val="009C17DA"/>
    <w:rsid w:val="009C1DA0"/>
    <w:rsid w:val="009C2685"/>
    <w:rsid w:val="009C2CE0"/>
    <w:rsid w:val="009C33D7"/>
    <w:rsid w:val="009C37ED"/>
    <w:rsid w:val="009C39BC"/>
    <w:rsid w:val="009C4BC2"/>
    <w:rsid w:val="009C4D22"/>
    <w:rsid w:val="009C5144"/>
    <w:rsid w:val="009C7249"/>
    <w:rsid w:val="009C7320"/>
    <w:rsid w:val="009C76FC"/>
    <w:rsid w:val="009C7DA3"/>
    <w:rsid w:val="009D0729"/>
    <w:rsid w:val="009D0D15"/>
    <w:rsid w:val="009D0DC6"/>
    <w:rsid w:val="009D0F66"/>
    <w:rsid w:val="009D1002"/>
    <w:rsid w:val="009D1A06"/>
    <w:rsid w:val="009D1BA4"/>
    <w:rsid w:val="009D20A9"/>
    <w:rsid w:val="009D20C9"/>
    <w:rsid w:val="009D20D1"/>
    <w:rsid w:val="009D22E4"/>
    <w:rsid w:val="009D22F7"/>
    <w:rsid w:val="009D319C"/>
    <w:rsid w:val="009D3D9A"/>
    <w:rsid w:val="009D4C59"/>
    <w:rsid w:val="009D4CBF"/>
    <w:rsid w:val="009D4D26"/>
    <w:rsid w:val="009D590D"/>
    <w:rsid w:val="009D5BAB"/>
    <w:rsid w:val="009D5FF6"/>
    <w:rsid w:val="009D6051"/>
    <w:rsid w:val="009D6A0A"/>
    <w:rsid w:val="009D7580"/>
    <w:rsid w:val="009E058F"/>
    <w:rsid w:val="009E0A3B"/>
    <w:rsid w:val="009E0A9E"/>
    <w:rsid w:val="009E17D4"/>
    <w:rsid w:val="009E19A2"/>
    <w:rsid w:val="009E34DE"/>
    <w:rsid w:val="009E3A88"/>
    <w:rsid w:val="009E3AFD"/>
    <w:rsid w:val="009E3CDD"/>
    <w:rsid w:val="009E4A12"/>
    <w:rsid w:val="009E4B16"/>
    <w:rsid w:val="009E4F07"/>
    <w:rsid w:val="009E5C60"/>
    <w:rsid w:val="009E64DB"/>
    <w:rsid w:val="009E65E2"/>
    <w:rsid w:val="009E664F"/>
    <w:rsid w:val="009E6794"/>
    <w:rsid w:val="009E7189"/>
    <w:rsid w:val="009E71C8"/>
    <w:rsid w:val="009E7620"/>
    <w:rsid w:val="009E79CB"/>
    <w:rsid w:val="009E7C89"/>
    <w:rsid w:val="009E7E46"/>
    <w:rsid w:val="009E7FC1"/>
    <w:rsid w:val="009F01E1"/>
    <w:rsid w:val="009F03C1"/>
    <w:rsid w:val="009F0B4D"/>
    <w:rsid w:val="009F1096"/>
    <w:rsid w:val="009F150E"/>
    <w:rsid w:val="009F209A"/>
    <w:rsid w:val="009F25A4"/>
    <w:rsid w:val="009F266E"/>
    <w:rsid w:val="009F27AD"/>
    <w:rsid w:val="009F3FB5"/>
    <w:rsid w:val="009F4129"/>
    <w:rsid w:val="009F4E17"/>
    <w:rsid w:val="009F521F"/>
    <w:rsid w:val="009F5356"/>
    <w:rsid w:val="009F553C"/>
    <w:rsid w:val="009F59F8"/>
    <w:rsid w:val="009F73D4"/>
    <w:rsid w:val="00A00457"/>
    <w:rsid w:val="00A005B0"/>
    <w:rsid w:val="00A00D7C"/>
    <w:rsid w:val="00A01370"/>
    <w:rsid w:val="00A01373"/>
    <w:rsid w:val="00A01514"/>
    <w:rsid w:val="00A01F17"/>
    <w:rsid w:val="00A022A5"/>
    <w:rsid w:val="00A023A1"/>
    <w:rsid w:val="00A037D6"/>
    <w:rsid w:val="00A03A22"/>
    <w:rsid w:val="00A03E46"/>
    <w:rsid w:val="00A04294"/>
    <w:rsid w:val="00A04634"/>
    <w:rsid w:val="00A0497B"/>
    <w:rsid w:val="00A04D2D"/>
    <w:rsid w:val="00A04D67"/>
    <w:rsid w:val="00A0556E"/>
    <w:rsid w:val="00A05672"/>
    <w:rsid w:val="00A06119"/>
    <w:rsid w:val="00A06E12"/>
    <w:rsid w:val="00A0703A"/>
    <w:rsid w:val="00A074E5"/>
    <w:rsid w:val="00A07A48"/>
    <w:rsid w:val="00A108EE"/>
    <w:rsid w:val="00A10BB8"/>
    <w:rsid w:val="00A1180F"/>
    <w:rsid w:val="00A11C08"/>
    <w:rsid w:val="00A11F8C"/>
    <w:rsid w:val="00A1200D"/>
    <w:rsid w:val="00A13415"/>
    <w:rsid w:val="00A13610"/>
    <w:rsid w:val="00A137E4"/>
    <w:rsid w:val="00A1396C"/>
    <w:rsid w:val="00A13DDD"/>
    <w:rsid w:val="00A14008"/>
    <w:rsid w:val="00A145A4"/>
    <w:rsid w:val="00A14813"/>
    <w:rsid w:val="00A150B2"/>
    <w:rsid w:val="00A154A5"/>
    <w:rsid w:val="00A1566A"/>
    <w:rsid w:val="00A164A8"/>
    <w:rsid w:val="00A165BF"/>
    <w:rsid w:val="00A16D53"/>
    <w:rsid w:val="00A16E83"/>
    <w:rsid w:val="00A172E8"/>
    <w:rsid w:val="00A17705"/>
    <w:rsid w:val="00A179FF"/>
    <w:rsid w:val="00A20BCE"/>
    <w:rsid w:val="00A217F2"/>
    <w:rsid w:val="00A21A36"/>
    <w:rsid w:val="00A21DF7"/>
    <w:rsid w:val="00A22401"/>
    <w:rsid w:val="00A2275C"/>
    <w:rsid w:val="00A22A44"/>
    <w:rsid w:val="00A22CC8"/>
    <w:rsid w:val="00A22E60"/>
    <w:rsid w:val="00A23C0B"/>
    <w:rsid w:val="00A241F4"/>
    <w:rsid w:val="00A24839"/>
    <w:rsid w:val="00A24B9F"/>
    <w:rsid w:val="00A25294"/>
    <w:rsid w:val="00A254EE"/>
    <w:rsid w:val="00A25BE7"/>
    <w:rsid w:val="00A26475"/>
    <w:rsid w:val="00A27008"/>
    <w:rsid w:val="00A273DB"/>
    <w:rsid w:val="00A2787E"/>
    <w:rsid w:val="00A27CDF"/>
    <w:rsid w:val="00A3042A"/>
    <w:rsid w:val="00A309C6"/>
    <w:rsid w:val="00A30D13"/>
    <w:rsid w:val="00A3146E"/>
    <w:rsid w:val="00A314F9"/>
    <w:rsid w:val="00A3186F"/>
    <w:rsid w:val="00A319D0"/>
    <w:rsid w:val="00A31BB3"/>
    <w:rsid w:val="00A31EA3"/>
    <w:rsid w:val="00A32316"/>
    <w:rsid w:val="00A32A43"/>
    <w:rsid w:val="00A33172"/>
    <w:rsid w:val="00A33C39"/>
    <w:rsid w:val="00A3432B"/>
    <w:rsid w:val="00A346BA"/>
    <w:rsid w:val="00A34BC4"/>
    <w:rsid w:val="00A34C59"/>
    <w:rsid w:val="00A34C67"/>
    <w:rsid w:val="00A34D62"/>
    <w:rsid w:val="00A34D90"/>
    <w:rsid w:val="00A34E1B"/>
    <w:rsid w:val="00A3611D"/>
    <w:rsid w:val="00A36339"/>
    <w:rsid w:val="00A366E4"/>
    <w:rsid w:val="00A40C79"/>
    <w:rsid w:val="00A41278"/>
    <w:rsid w:val="00A428FB"/>
    <w:rsid w:val="00A4376F"/>
    <w:rsid w:val="00A43FD0"/>
    <w:rsid w:val="00A44919"/>
    <w:rsid w:val="00A44C29"/>
    <w:rsid w:val="00A4549F"/>
    <w:rsid w:val="00A454E8"/>
    <w:rsid w:val="00A45B9B"/>
    <w:rsid w:val="00A45C93"/>
    <w:rsid w:val="00A460BF"/>
    <w:rsid w:val="00A462FE"/>
    <w:rsid w:val="00A46EFA"/>
    <w:rsid w:val="00A4787E"/>
    <w:rsid w:val="00A501C9"/>
    <w:rsid w:val="00A50506"/>
    <w:rsid w:val="00A50F0F"/>
    <w:rsid w:val="00A510AE"/>
    <w:rsid w:val="00A52A3E"/>
    <w:rsid w:val="00A53C82"/>
    <w:rsid w:val="00A53F55"/>
    <w:rsid w:val="00A540F6"/>
    <w:rsid w:val="00A5417B"/>
    <w:rsid w:val="00A54599"/>
    <w:rsid w:val="00A54B82"/>
    <w:rsid w:val="00A5515C"/>
    <w:rsid w:val="00A55416"/>
    <w:rsid w:val="00A55EAB"/>
    <w:rsid w:val="00A569D4"/>
    <w:rsid w:val="00A56A44"/>
    <w:rsid w:val="00A56B6B"/>
    <w:rsid w:val="00A570C6"/>
    <w:rsid w:val="00A5720B"/>
    <w:rsid w:val="00A5723F"/>
    <w:rsid w:val="00A57413"/>
    <w:rsid w:val="00A57DC7"/>
    <w:rsid w:val="00A57F1A"/>
    <w:rsid w:val="00A60163"/>
    <w:rsid w:val="00A6038D"/>
    <w:rsid w:val="00A60CF0"/>
    <w:rsid w:val="00A61429"/>
    <w:rsid w:val="00A61514"/>
    <w:rsid w:val="00A61645"/>
    <w:rsid w:val="00A61E86"/>
    <w:rsid w:val="00A62080"/>
    <w:rsid w:val="00A62322"/>
    <w:rsid w:val="00A630A2"/>
    <w:rsid w:val="00A632B8"/>
    <w:rsid w:val="00A63A25"/>
    <w:rsid w:val="00A63BF3"/>
    <w:rsid w:val="00A64942"/>
    <w:rsid w:val="00A65911"/>
    <w:rsid w:val="00A65C0A"/>
    <w:rsid w:val="00A6643C"/>
    <w:rsid w:val="00A664E3"/>
    <w:rsid w:val="00A66F8E"/>
    <w:rsid w:val="00A6713B"/>
    <w:rsid w:val="00A67544"/>
    <w:rsid w:val="00A67678"/>
    <w:rsid w:val="00A7000A"/>
    <w:rsid w:val="00A7075B"/>
    <w:rsid w:val="00A7108C"/>
    <w:rsid w:val="00A71629"/>
    <w:rsid w:val="00A71CE6"/>
    <w:rsid w:val="00A71D23"/>
    <w:rsid w:val="00A7333A"/>
    <w:rsid w:val="00A736B2"/>
    <w:rsid w:val="00A73D0D"/>
    <w:rsid w:val="00A74A92"/>
    <w:rsid w:val="00A74E31"/>
    <w:rsid w:val="00A75399"/>
    <w:rsid w:val="00A75CC1"/>
    <w:rsid w:val="00A75E88"/>
    <w:rsid w:val="00A7611B"/>
    <w:rsid w:val="00A775B8"/>
    <w:rsid w:val="00A8056E"/>
    <w:rsid w:val="00A814BC"/>
    <w:rsid w:val="00A82D58"/>
    <w:rsid w:val="00A8399D"/>
    <w:rsid w:val="00A83E3D"/>
    <w:rsid w:val="00A8443A"/>
    <w:rsid w:val="00A84750"/>
    <w:rsid w:val="00A8479C"/>
    <w:rsid w:val="00A854F4"/>
    <w:rsid w:val="00A8557B"/>
    <w:rsid w:val="00A855A6"/>
    <w:rsid w:val="00A858BD"/>
    <w:rsid w:val="00A85A05"/>
    <w:rsid w:val="00A85B5A"/>
    <w:rsid w:val="00A85D99"/>
    <w:rsid w:val="00A86800"/>
    <w:rsid w:val="00A86D63"/>
    <w:rsid w:val="00A87797"/>
    <w:rsid w:val="00A90165"/>
    <w:rsid w:val="00A90E72"/>
    <w:rsid w:val="00A90FE9"/>
    <w:rsid w:val="00A92286"/>
    <w:rsid w:val="00A922A2"/>
    <w:rsid w:val="00A93050"/>
    <w:rsid w:val="00A931F9"/>
    <w:rsid w:val="00A9327B"/>
    <w:rsid w:val="00A9361B"/>
    <w:rsid w:val="00A93B69"/>
    <w:rsid w:val="00A942D1"/>
    <w:rsid w:val="00A94335"/>
    <w:rsid w:val="00A95C8A"/>
    <w:rsid w:val="00A963C7"/>
    <w:rsid w:val="00A96C23"/>
    <w:rsid w:val="00AA07A5"/>
    <w:rsid w:val="00AA080D"/>
    <w:rsid w:val="00AA0A41"/>
    <w:rsid w:val="00AA0AF1"/>
    <w:rsid w:val="00AA0BF5"/>
    <w:rsid w:val="00AA1626"/>
    <w:rsid w:val="00AA1C25"/>
    <w:rsid w:val="00AA1C7A"/>
    <w:rsid w:val="00AA2133"/>
    <w:rsid w:val="00AA323E"/>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9F4"/>
    <w:rsid w:val="00AB3F38"/>
    <w:rsid w:val="00AB43EC"/>
    <w:rsid w:val="00AB4BF4"/>
    <w:rsid w:val="00AB50FC"/>
    <w:rsid w:val="00AB577C"/>
    <w:rsid w:val="00AB5ADF"/>
    <w:rsid w:val="00AB5E57"/>
    <w:rsid w:val="00AB5FB8"/>
    <w:rsid w:val="00AB725F"/>
    <w:rsid w:val="00AC00EF"/>
    <w:rsid w:val="00AC0705"/>
    <w:rsid w:val="00AC109B"/>
    <w:rsid w:val="00AC209E"/>
    <w:rsid w:val="00AC2107"/>
    <w:rsid w:val="00AC36A6"/>
    <w:rsid w:val="00AC44D0"/>
    <w:rsid w:val="00AC4E94"/>
    <w:rsid w:val="00AC5636"/>
    <w:rsid w:val="00AC67A8"/>
    <w:rsid w:val="00AC6972"/>
    <w:rsid w:val="00AC74DA"/>
    <w:rsid w:val="00AC7A2B"/>
    <w:rsid w:val="00AC7C25"/>
    <w:rsid w:val="00AC7E69"/>
    <w:rsid w:val="00AC7ECB"/>
    <w:rsid w:val="00AD0281"/>
    <w:rsid w:val="00AD0A51"/>
    <w:rsid w:val="00AD0A88"/>
    <w:rsid w:val="00AD0B37"/>
    <w:rsid w:val="00AD0EB6"/>
    <w:rsid w:val="00AD11F7"/>
    <w:rsid w:val="00AD1DB7"/>
    <w:rsid w:val="00AD1E29"/>
    <w:rsid w:val="00AD2852"/>
    <w:rsid w:val="00AD2C5F"/>
    <w:rsid w:val="00AD2E13"/>
    <w:rsid w:val="00AD2F03"/>
    <w:rsid w:val="00AD3488"/>
    <w:rsid w:val="00AD364B"/>
    <w:rsid w:val="00AD3976"/>
    <w:rsid w:val="00AD4860"/>
    <w:rsid w:val="00AD4D2A"/>
    <w:rsid w:val="00AD542F"/>
    <w:rsid w:val="00AD5FBE"/>
    <w:rsid w:val="00AD6598"/>
    <w:rsid w:val="00AD7305"/>
    <w:rsid w:val="00AD75B2"/>
    <w:rsid w:val="00AD7D6C"/>
    <w:rsid w:val="00AD7E09"/>
    <w:rsid w:val="00AD7E64"/>
    <w:rsid w:val="00AE0C56"/>
    <w:rsid w:val="00AE141B"/>
    <w:rsid w:val="00AE149E"/>
    <w:rsid w:val="00AE2263"/>
    <w:rsid w:val="00AE22F2"/>
    <w:rsid w:val="00AE28C5"/>
    <w:rsid w:val="00AE29FC"/>
    <w:rsid w:val="00AE2ADF"/>
    <w:rsid w:val="00AE2B81"/>
    <w:rsid w:val="00AE2F3F"/>
    <w:rsid w:val="00AE3B4E"/>
    <w:rsid w:val="00AE4DDA"/>
    <w:rsid w:val="00AE5280"/>
    <w:rsid w:val="00AE53F9"/>
    <w:rsid w:val="00AE59EC"/>
    <w:rsid w:val="00AE67B3"/>
    <w:rsid w:val="00AE704D"/>
    <w:rsid w:val="00AE7864"/>
    <w:rsid w:val="00AE7933"/>
    <w:rsid w:val="00AE7949"/>
    <w:rsid w:val="00AF0B68"/>
    <w:rsid w:val="00AF1C6C"/>
    <w:rsid w:val="00AF25D5"/>
    <w:rsid w:val="00AF26F1"/>
    <w:rsid w:val="00AF3DBB"/>
    <w:rsid w:val="00AF4424"/>
    <w:rsid w:val="00AF4B8D"/>
    <w:rsid w:val="00AF5021"/>
    <w:rsid w:val="00AF5194"/>
    <w:rsid w:val="00AF53EF"/>
    <w:rsid w:val="00AF60E1"/>
    <w:rsid w:val="00AF73C3"/>
    <w:rsid w:val="00AF795C"/>
    <w:rsid w:val="00AF7ADA"/>
    <w:rsid w:val="00B00752"/>
    <w:rsid w:val="00B0193D"/>
    <w:rsid w:val="00B026C1"/>
    <w:rsid w:val="00B02B9C"/>
    <w:rsid w:val="00B02C89"/>
    <w:rsid w:val="00B02D41"/>
    <w:rsid w:val="00B0353B"/>
    <w:rsid w:val="00B040B2"/>
    <w:rsid w:val="00B04184"/>
    <w:rsid w:val="00B04D88"/>
    <w:rsid w:val="00B057F2"/>
    <w:rsid w:val="00B06010"/>
    <w:rsid w:val="00B069D8"/>
    <w:rsid w:val="00B07150"/>
    <w:rsid w:val="00B072D4"/>
    <w:rsid w:val="00B07A86"/>
    <w:rsid w:val="00B10558"/>
    <w:rsid w:val="00B11B28"/>
    <w:rsid w:val="00B12595"/>
    <w:rsid w:val="00B12EF9"/>
    <w:rsid w:val="00B137EF"/>
    <w:rsid w:val="00B143EF"/>
    <w:rsid w:val="00B14680"/>
    <w:rsid w:val="00B149F1"/>
    <w:rsid w:val="00B156A9"/>
    <w:rsid w:val="00B15F83"/>
    <w:rsid w:val="00B15FC2"/>
    <w:rsid w:val="00B160FF"/>
    <w:rsid w:val="00B16322"/>
    <w:rsid w:val="00B1662E"/>
    <w:rsid w:val="00B16A6F"/>
    <w:rsid w:val="00B1734E"/>
    <w:rsid w:val="00B176DC"/>
    <w:rsid w:val="00B17FAF"/>
    <w:rsid w:val="00B204A9"/>
    <w:rsid w:val="00B21722"/>
    <w:rsid w:val="00B226C7"/>
    <w:rsid w:val="00B22743"/>
    <w:rsid w:val="00B22C0D"/>
    <w:rsid w:val="00B22FB9"/>
    <w:rsid w:val="00B2334E"/>
    <w:rsid w:val="00B23AF4"/>
    <w:rsid w:val="00B23C15"/>
    <w:rsid w:val="00B243F2"/>
    <w:rsid w:val="00B25762"/>
    <w:rsid w:val="00B25860"/>
    <w:rsid w:val="00B25981"/>
    <w:rsid w:val="00B25B40"/>
    <w:rsid w:val="00B25FDE"/>
    <w:rsid w:val="00B26AB0"/>
    <w:rsid w:val="00B26AD2"/>
    <w:rsid w:val="00B26CA2"/>
    <w:rsid w:val="00B27947"/>
    <w:rsid w:val="00B27A9B"/>
    <w:rsid w:val="00B30B4E"/>
    <w:rsid w:val="00B31246"/>
    <w:rsid w:val="00B315E3"/>
    <w:rsid w:val="00B31D6D"/>
    <w:rsid w:val="00B32347"/>
    <w:rsid w:val="00B326FF"/>
    <w:rsid w:val="00B32864"/>
    <w:rsid w:val="00B32AA1"/>
    <w:rsid w:val="00B3378D"/>
    <w:rsid w:val="00B33BA7"/>
    <w:rsid w:val="00B340AA"/>
    <w:rsid w:val="00B34A9F"/>
    <w:rsid w:val="00B34B80"/>
    <w:rsid w:val="00B3501B"/>
    <w:rsid w:val="00B354B5"/>
    <w:rsid w:val="00B35CDA"/>
    <w:rsid w:val="00B372F2"/>
    <w:rsid w:val="00B37D97"/>
    <w:rsid w:val="00B40BC3"/>
    <w:rsid w:val="00B411BD"/>
    <w:rsid w:val="00B41559"/>
    <w:rsid w:val="00B418E8"/>
    <w:rsid w:val="00B42285"/>
    <w:rsid w:val="00B4229B"/>
    <w:rsid w:val="00B4274B"/>
    <w:rsid w:val="00B42E38"/>
    <w:rsid w:val="00B435B1"/>
    <w:rsid w:val="00B4367F"/>
    <w:rsid w:val="00B438BA"/>
    <w:rsid w:val="00B4399C"/>
    <w:rsid w:val="00B44264"/>
    <w:rsid w:val="00B44493"/>
    <w:rsid w:val="00B4469B"/>
    <w:rsid w:val="00B44F99"/>
    <w:rsid w:val="00B45679"/>
    <w:rsid w:val="00B45876"/>
    <w:rsid w:val="00B46082"/>
    <w:rsid w:val="00B46976"/>
    <w:rsid w:val="00B4732E"/>
    <w:rsid w:val="00B4758D"/>
    <w:rsid w:val="00B47A15"/>
    <w:rsid w:val="00B505C1"/>
    <w:rsid w:val="00B51130"/>
    <w:rsid w:val="00B5115A"/>
    <w:rsid w:val="00B51542"/>
    <w:rsid w:val="00B51D1D"/>
    <w:rsid w:val="00B5310E"/>
    <w:rsid w:val="00B5321B"/>
    <w:rsid w:val="00B53F3A"/>
    <w:rsid w:val="00B54ACC"/>
    <w:rsid w:val="00B54B63"/>
    <w:rsid w:val="00B54DCB"/>
    <w:rsid w:val="00B5528A"/>
    <w:rsid w:val="00B55518"/>
    <w:rsid w:val="00B55AC2"/>
    <w:rsid w:val="00B560C9"/>
    <w:rsid w:val="00B561C6"/>
    <w:rsid w:val="00B56372"/>
    <w:rsid w:val="00B5641C"/>
    <w:rsid w:val="00B56533"/>
    <w:rsid w:val="00B56569"/>
    <w:rsid w:val="00B56CFC"/>
    <w:rsid w:val="00B57777"/>
    <w:rsid w:val="00B57A17"/>
    <w:rsid w:val="00B57A37"/>
    <w:rsid w:val="00B6186B"/>
    <w:rsid w:val="00B61AD8"/>
    <w:rsid w:val="00B61BE2"/>
    <w:rsid w:val="00B6266F"/>
    <w:rsid w:val="00B62907"/>
    <w:rsid w:val="00B62E0B"/>
    <w:rsid w:val="00B63430"/>
    <w:rsid w:val="00B63C32"/>
    <w:rsid w:val="00B64434"/>
    <w:rsid w:val="00B654BD"/>
    <w:rsid w:val="00B657E1"/>
    <w:rsid w:val="00B659C5"/>
    <w:rsid w:val="00B66559"/>
    <w:rsid w:val="00B66E1B"/>
    <w:rsid w:val="00B70260"/>
    <w:rsid w:val="00B703C0"/>
    <w:rsid w:val="00B70D58"/>
    <w:rsid w:val="00B711CE"/>
    <w:rsid w:val="00B71CA8"/>
    <w:rsid w:val="00B71DC8"/>
    <w:rsid w:val="00B722A4"/>
    <w:rsid w:val="00B736D1"/>
    <w:rsid w:val="00B73A6A"/>
    <w:rsid w:val="00B746C6"/>
    <w:rsid w:val="00B74B5B"/>
    <w:rsid w:val="00B75E6A"/>
    <w:rsid w:val="00B7604C"/>
    <w:rsid w:val="00B7652C"/>
    <w:rsid w:val="00B76639"/>
    <w:rsid w:val="00B766BF"/>
    <w:rsid w:val="00B76FA6"/>
    <w:rsid w:val="00B774B7"/>
    <w:rsid w:val="00B77644"/>
    <w:rsid w:val="00B77F08"/>
    <w:rsid w:val="00B80086"/>
    <w:rsid w:val="00B8037A"/>
    <w:rsid w:val="00B80910"/>
    <w:rsid w:val="00B80B71"/>
    <w:rsid w:val="00B81386"/>
    <w:rsid w:val="00B818F4"/>
    <w:rsid w:val="00B81BC9"/>
    <w:rsid w:val="00B8220F"/>
    <w:rsid w:val="00B8222F"/>
    <w:rsid w:val="00B82615"/>
    <w:rsid w:val="00B829BE"/>
    <w:rsid w:val="00B82CF3"/>
    <w:rsid w:val="00B83444"/>
    <w:rsid w:val="00B836ED"/>
    <w:rsid w:val="00B84306"/>
    <w:rsid w:val="00B8432F"/>
    <w:rsid w:val="00B84BFE"/>
    <w:rsid w:val="00B853BE"/>
    <w:rsid w:val="00B8579F"/>
    <w:rsid w:val="00B86476"/>
    <w:rsid w:val="00B86896"/>
    <w:rsid w:val="00B86A3D"/>
    <w:rsid w:val="00B86A65"/>
    <w:rsid w:val="00B875C7"/>
    <w:rsid w:val="00B879BB"/>
    <w:rsid w:val="00B87C56"/>
    <w:rsid w:val="00B87EC9"/>
    <w:rsid w:val="00B90D10"/>
    <w:rsid w:val="00B90FE5"/>
    <w:rsid w:val="00B910C7"/>
    <w:rsid w:val="00B919AD"/>
    <w:rsid w:val="00B91A2B"/>
    <w:rsid w:val="00B925E3"/>
    <w:rsid w:val="00B92C4A"/>
    <w:rsid w:val="00B93204"/>
    <w:rsid w:val="00B9455D"/>
    <w:rsid w:val="00B94E17"/>
    <w:rsid w:val="00B957FE"/>
    <w:rsid w:val="00B958CD"/>
    <w:rsid w:val="00B95F02"/>
    <w:rsid w:val="00B96BEF"/>
    <w:rsid w:val="00B96D20"/>
    <w:rsid w:val="00B96FC0"/>
    <w:rsid w:val="00B97260"/>
    <w:rsid w:val="00B974E0"/>
    <w:rsid w:val="00B97A69"/>
    <w:rsid w:val="00BA004E"/>
    <w:rsid w:val="00BA029E"/>
    <w:rsid w:val="00BA0375"/>
    <w:rsid w:val="00BA0632"/>
    <w:rsid w:val="00BA0AAA"/>
    <w:rsid w:val="00BA0AE9"/>
    <w:rsid w:val="00BA0DFB"/>
    <w:rsid w:val="00BA0FD1"/>
    <w:rsid w:val="00BA2FEF"/>
    <w:rsid w:val="00BA4F1C"/>
    <w:rsid w:val="00BA584C"/>
    <w:rsid w:val="00BA5E62"/>
    <w:rsid w:val="00BA6425"/>
    <w:rsid w:val="00BA66A2"/>
    <w:rsid w:val="00BA6D52"/>
    <w:rsid w:val="00BA7E4E"/>
    <w:rsid w:val="00BA7E92"/>
    <w:rsid w:val="00BB001A"/>
    <w:rsid w:val="00BB0149"/>
    <w:rsid w:val="00BB0A97"/>
    <w:rsid w:val="00BB1548"/>
    <w:rsid w:val="00BB18A9"/>
    <w:rsid w:val="00BB1B84"/>
    <w:rsid w:val="00BB1CC4"/>
    <w:rsid w:val="00BB1CE7"/>
    <w:rsid w:val="00BB2FD3"/>
    <w:rsid w:val="00BB2FDF"/>
    <w:rsid w:val="00BB2FFF"/>
    <w:rsid w:val="00BB3BB3"/>
    <w:rsid w:val="00BB4196"/>
    <w:rsid w:val="00BB5FCB"/>
    <w:rsid w:val="00BB604B"/>
    <w:rsid w:val="00BB6681"/>
    <w:rsid w:val="00BC00EC"/>
    <w:rsid w:val="00BC01DD"/>
    <w:rsid w:val="00BC04E1"/>
    <w:rsid w:val="00BC08C5"/>
    <w:rsid w:val="00BC12FB"/>
    <w:rsid w:val="00BC13BA"/>
    <w:rsid w:val="00BC160A"/>
    <w:rsid w:val="00BC1C3C"/>
    <w:rsid w:val="00BC28A5"/>
    <w:rsid w:val="00BC307F"/>
    <w:rsid w:val="00BC3159"/>
    <w:rsid w:val="00BC31A1"/>
    <w:rsid w:val="00BC3257"/>
    <w:rsid w:val="00BC39DB"/>
    <w:rsid w:val="00BC3A32"/>
    <w:rsid w:val="00BC3B07"/>
    <w:rsid w:val="00BC4343"/>
    <w:rsid w:val="00BC442C"/>
    <w:rsid w:val="00BC46EF"/>
    <w:rsid w:val="00BC4A0D"/>
    <w:rsid w:val="00BC6BC1"/>
    <w:rsid w:val="00BC6EC6"/>
    <w:rsid w:val="00BC6FD6"/>
    <w:rsid w:val="00BC793D"/>
    <w:rsid w:val="00BD008E"/>
    <w:rsid w:val="00BD0444"/>
    <w:rsid w:val="00BD051B"/>
    <w:rsid w:val="00BD0F02"/>
    <w:rsid w:val="00BD14A7"/>
    <w:rsid w:val="00BD2F3B"/>
    <w:rsid w:val="00BD3038"/>
    <w:rsid w:val="00BD3372"/>
    <w:rsid w:val="00BD4708"/>
    <w:rsid w:val="00BD50AA"/>
    <w:rsid w:val="00BD5135"/>
    <w:rsid w:val="00BD5373"/>
    <w:rsid w:val="00BD596B"/>
    <w:rsid w:val="00BD5F76"/>
    <w:rsid w:val="00BD7291"/>
    <w:rsid w:val="00BD7E7D"/>
    <w:rsid w:val="00BD7EA3"/>
    <w:rsid w:val="00BD7FE2"/>
    <w:rsid w:val="00BE0B19"/>
    <w:rsid w:val="00BE0DD8"/>
    <w:rsid w:val="00BE13F0"/>
    <w:rsid w:val="00BE1D82"/>
    <w:rsid w:val="00BE1EE4"/>
    <w:rsid w:val="00BE1F8B"/>
    <w:rsid w:val="00BE27E4"/>
    <w:rsid w:val="00BE2B4F"/>
    <w:rsid w:val="00BE2F39"/>
    <w:rsid w:val="00BE321B"/>
    <w:rsid w:val="00BE332D"/>
    <w:rsid w:val="00BE3808"/>
    <w:rsid w:val="00BE3CF1"/>
    <w:rsid w:val="00BE3DC2"/>
    <w:rsid w:val="00BE4211"/>
    <w:rsid w:val="00BE4B20"/>
    <w:rsid w:val="00BE4E50"/>
    <w:rsid w:val="00BE550B"/>
    <w:rsid w:val="00BE5786"/>
    <w:rsid w:val="00BE5CBD"/>
    <w:rsid w:val="00BE5FC4"/>
    <w:rsid w:val="00BE65AF"/>
    <w:rsid w:val="00BE6C02"/>
    <w:rsid w:val="00BE6EA1"/>
    <w:rsid w:val="00BE7529"/>
    <w:rsid w:val="00BE7C4D"/>
    <w:rsid w:val="00BE7D16"/>
    <w:rsid w:val="00BE7D1F"/>
    <w:rsid w:val="00BE7F6A"/>
    <w:rsid w:val="00BF00E9"/>
    <w:rsid w:val="00BF0274"/>
    <w:rsid w:val="00BF0296"/>
    <w:rsid w:val="00BF056E"/>
    <w:rsid w:val="00BF08C4"/>
    <w:rsid w:val="00BF0BAF"/>
    <w:rsid w:val="00BF19CE"/>
    <w:rsid w:val="00BF1FEB"/>
    <w:rsid w:val="00BF2A35"/>
    <w:rsid w:val="00BF2B6F"/>
    <w:rsid w:val="00BF351A"/>
    <w:rsid w:val="00BF3914"/>
    <w:rsid w:val="00BF49B1"/>
    <w:rsid w:val="00BF4E6F"/>
    <w:rsid w:val="00BF507C"/>
    <w:rsid w:val="00BF5552"/>
    <w:rsid w:val="00BF559B"/>
    <w:rsid w:val="00BF5A18"/>
    <w:rsid w:val="00BF5ABE"/>
    <w:rsid w:val="00BF5CC9"/>
    <w:rsid w:val="00BF6A84"/>
    <w:rsid w:val="00BF6A88"/>
    <w:rsid w:val="00BF6CBF"/>
    <w:rsid w:val="00BF720C"/>
    <w:rsid w:val="00BF73F2"/>
    <w:rsid w:val="00C010A2"/>
    <w:rsid w:val="00C01671"/>
    <w:rsid w:val="00C01D57"/>
    <w:rsid w:val="00C02419"/>
    <w:rsid w:val="00C02766"/>
    <w:rsid w:val="00C027DD"/>
    <w:rsid w:val="00C02F76"/>
    <w:rsid w:val="00C031D9"/>
    <w:rsid w:val="00C03231"/>
    <w:rsid w:val="00C03E7F"/>
    <w:rsid w:val="00C03EE8"/>
    <w:rsid w:val="00C0432F"/>
    <w:rsid w:val="00C049A2"/>
    <w:rsid w:val="00C04AAF"/>
    <w:rsid w:val="00C05356"/>
    <w:rsid w:val="00C053EA"/>
    <w:rsid w:val="00C05434"/>
    <w:rsid w:val="00C05AD9"/>
    <w:rsid w:val="00C05BEC"/>
    <w:rsid w:val="00C06E7D"/>
    <w:rsid w:val="00C074DC"/>
    <w:rsid w:val="00C07738"/>
    <w:rsid w:val="00C102A2"/>
    <w:rsid w:val="00C10561"/>
    <w:rsid w:val="00C10594"/>
    <w:rsid w:val="00C106DD"/>
    <w:rsid w:val="00C1112B"/>
    <w:rsid w:val="00C11933"/>
    <w:rsid w:val="00C11A88"/>
    <w:rsid w:val="00C11A93"/>
    <w:rsid w:val="00C11BED"/>
    <w:rsid w:val="00C12012"/>
    <w:rsid w:val="00C12874"/>
    <w:rsid w:val="00C12990"/>
    <w:rsid w:val="00C12BC1"/>
    <w:rsid w:val="00C13BDA"/>
    <w:rsid w:val="00C13FFD"/>
    <w:rsid w:val="00C14632"/>
    <w:rsid w:val="00C147BE"/>
    <w:rsid w:val="00C149B7"/>
    <w:rsid w:val="00C167DB"/>
    <w:rsid w:val="00C16C30"/>
    <w:rsid w:val="00C17952"/>
    <w:rsid w:val="00C20A00"/>
    <w:rsid w:val="00C20BA6"/>
    <w:rsid w:val="00C21673"/>
    <w:rsid w:val="00C21C7A"/>
    <w:rsid w:val="00C23130"/>
    <w:rsid w:val="00C24631"/>
    <w:rsid w:val="00C255A5"/>
    <w:rsid w:val="00C25758"/>
    <w:rsid w:val="00C2584B"/>
    <w:rsid w:val="00C25942"/>
    <w:rsid w:val="00C25D34"/>
    <w:rsid w:val="00C25DD9"/>
    <w:rsid w:val="00C25F31"/>
    <w:rsid w:val="00C2663F"/>
    <w:rsid w:val="00C26DB8"/>
    <w:rsid w:val="00C272EF"/>
    <w:rsid w:val="00C27663"/>
    <w:rsid w:val="00C30E58"/>
    <w:rsid w:val="00C3109B"/>
    <w:rsid w:val="00C312BD"/>
    <w:rsid w:val="00C31BFF"/>
    <w:rsid w:val="00C32217"/>
    <w:rsid w:val="00C3400F"/>
    <w:rsid w:val="00C344A0"/>
    <w:rsid w:val="00C34B64"/>
    <w:rsid w:val="00C34C36"/>
    <w:rsid w:val="00C352B3"/>
    <w:rsid w:val="00C3654C"/>
    <w:rsid w:val="00C36BF5"/>
    <w:rsid w:val="00C36DBC"/>
    <w:rsid w:val="00C3711A"/>
    <w:rsid w:val="00C376BA"/>
    <w:rsid w:val="00C3787F"/>
    <w:rsid w:val="00C378F8"/>
    <w:rsid w:val="00C37ED3"/>
    <w:rsid w:val="00C40373"/>
    <w:rsid w:val="00C4082D"/>
    <w:rsid w:val="00C40AA9"/>
    <w:rsid w:val="00C40AE6"/>
    <w:rsid w:val="00C411AF"/>
    <w:rsid w:val="00C41385"/>
    <w:rsid w:val="00C4138D"/>
    <w:rsid w:val="00C413CB"/>
    <w:rsid w:val="00C41D0E"/>
    <w:rsid w:val="00C41D4B"/>
    <w:rsid w:val="00C41E3A"/>
    <w:rsid w:val="00C4208D"/>
    <w:rsid w:val="00C4304C"/>
    <w:rsid w:val="00C43315"/>
    <w:rsid w:val="00C43F62"/>
    <w:rsid w:val="00C441EA"/>
    <w:rsid w:val="00C44677"/>
    <w:rsid w:val="00C452F5"/>
    <w:rsid w:val="00C45465"/>
    <w:rsid w:val="00C454AC"/>
    <w:rsid w:val="00C46555"/>
    <w:rsid w:val="00C46B15"/>
    <w:rsid w:val="00C46F7D"/>
    <w:rsid w:val="00C479B5"/>
    <w:rsid w:val="00C50242"/>
    <w:rsid w:val="00C5034D"/>
    <w:rsid w:val="00C5050E"/>
    <w:rsid w:val="00C50E99"/>
    <w:rsid w:val="00C516E0"/>
    <w:rsid w:val="00C51CAB"/>
    <w:rsid w:val="00C51E83"/>
    <w:rsid w:val="00C52468"/>
    <w:rsid w:val="00C52654"/>
    <w:rsid w:val="00C52744"/>
    <w:rsid w:val="00C52C78"/>
    <w:rsid w:val="00C539D2"/>
    <w:rsid w:val="00C53EB3"/>
    <w:rsid w:val="00C542D4"/>
    <w:rsid w:val="00C54D71"/>
    <w:rsid w:val="00C55178"/>
    <w:rsid w:val="00C55751"/>
    <w:rsid w:val="00C55E7C"/>
    <w:rsid w:val="00C563F5"/>
    <w:rsid w:val="00C570F7"/>
    <w:rsid w:val="00C574BB"/>
    <w:rsid w:val="00C6050F"/>
    <w:rsid w:val="00C61C91"/>
    <w:rsid w:val="00C61E91"/>
    <w:rsid w:val="00C62254"/>
    <w:rsid w:val="00C62CD5"/>
    <w:rsid w:val="00C636E6"/>
    <w:rsid w:val="00C639D6"/>
    <w:rsid w:val="00C63F8E"/>
    <w:rsid w:val="00C647FB"/>
    <w:rsid w:val="00C654E0"/>
    <w:rsid w:val="00C657E6"/>
    <w:rsid w:val="00C67719"/>
    <w:rsid w:val="00C67EAB"/>
    <w:rsid w:val="00C7088B"/>
    <w:rsid w:val="00C70DFF"/>
    <w:rsid w:val="00C72D64"/>
    <w:rsid w:val="00C745E6"/>
    <w:rsid w:val="00C74FEE"/>
    <w:rsid w:val="00C75A6B"/>
    <w:rsid w:val="00C763B6"/>
    <w:rsid w:val="00C7644F"/>
    <w:rsid w:val="00C768F6"/>
    <w:rsid w:val="00C76FF3"/>
    <w:rsid w:val="00C80073"/>
    <w:rsid w:val="00C805E7"/>
    <w:rsid w:val="00C80DEA"/>
    <w:rsid w:val="00C80ED7"/>
    <w:rsid w:val="00C81664"/>
    <w:rsid w:val="00C81C79"/>
    <w:rsid w:val="00C82EAA"/>
    <w:rsid w:val="00C832DC"/>
    <w:rsid w:val="00C8377F"/>
    <w:rsid w:val="00C83D54"/>
    <w:rsid w:val="00C8426A"/>
    <w:rsid w:val="00C84D02"/>
    <w:rsid w:val="00C852A9"/>
    <w:rsid w:val="00C8646D"/>
    <w:rsid w:val="00C864DD"/>
    <w:rsid w:val="00C875D5"/>
    <w:rsid w:val="00C876BC"/>
    <w:rsid w:val="00C91DE3"/>
    <w:rsid w:val="00C92C7F"/>
    <w:rsid w:val="00C9369D"/>
    <w:rsid w:val="00C9383D"/>
    <w:rsid w:val="00C9407D"/>
    <w:rsid w:val="00C942E9"/>
    <w:rsid w:val="00C944FA"/>
    <w:rsid w:val="00C94652"/>
    <w:rsid w:val="00C95854"/>
    <w:rsid w:val="00C959FD"/>
    <w:rsid w:val="00C95D24"/>
    <w:rsid w:val="00C95EFF"/>
    <w:rsid w:val="00C96AE7"/>
    <w:rsid w:val="00C96E6F"/>
    <w:rsid w:val="00C97872"/>
    <w:rsid w:val="00CA0532"/>
    <w:rsid w:val="00CA0B4C"/>
    <w:rsid w:val="00CA17DE"/>
    <w:rsid w:val="00CA221D"/>
    <w:rsid w:val="00CA2241"/>
    <w:rsid w:val="00CA28EE"/>
    <w:rsid w:val="00CA3CDD"/>
    <w:rsid w:val="00CA402A"/>
    <w:rsid w:val="00CA403B"/>
    <w:rsid w:val="00CA46C8"/>
    <w:rsid w:val="00CA505A"/>
    <w:rsid w:val="00CA572A"/>
    <w:rsid w:val="00CA59DD"/>
    <w:rsid w:val="00CB008E"/>
    <w:rsid w:val="00CB01FA"/>
    <w:rsid w:val="00CB0737"/>
    <w:rsid w:val="00CB097A"/>
    <w:rsid w:val="00CB0E3E"/>
    <w:rsid w:val="00CB1BF3"/>
    <w:rsid w:val="00CB24A2"/>
    <w:rsid w:val="00CB26EC"/>
    <w:rsid w:val="00CB2881"/>
    <w:rsid w:val="00CB2D2A"/>
    <w:rsid w:val="00CB4793"/>
    <w:rsid w:val="00CB514C"/>
    <w:rsid w:val="00CB577C"/>
    <w:rsid w:val="00CB5B1E"/>
    <w:rsid w:val="00CB787A"/>
    <w:rsid w:val="00CC0C4A"/>
    <w:rsid w:val="00CC12E2"/>
    <w:rsid w:val="00CC17F0"/>
    <w:rsid w:val="00CC1853"/>
    <w:rsid w:val="00CC1D13"/>
    <w:rsid w:val="00CC1FAE"/>
    <w:rsid w:val="00CC31B1"/>
    <w:rsid w:val="00CC3A23"/>
    <w:rsid w:val="00CC3BD5"/>
    <w:rsid w:val="00CC3CD6"/>
    <w:rsid w:val="00CC426A"/>
    <w:rsid w:val="00CC5080"/>
    <w:rsid w:val="00CC50D9"/>
    <w:rsid w:val="00CC70D9"/>
    <w:rsid w:val="00CC737C"/>
    <w:rsid w:val="00CC737E"/>
    <w:rsid w:val="00CD0643"/>
    <w:rsid w:val="00CD087D"/>
    <w:rsid w:val="00CD0F5D"/>
    <w:rsid w:val="00CD1C0B"/>
    <w:rsid w:val="00CD239A"/>
    <w:rsid w:val="00CD469A"/>
    <w:rsid w:val="00CD48BB"/>
    <w:rsid w:val="00CD5098"/>
    <w:rsid w:val="00CD50B1"/>
    <w:rsid w:val="00CD5512"/>
    <w:rsid w:val="00CD5BCB"/>
    <w:rsid w:val="00CD5C84"/>
    <w:rsid w:val="00CD6A95"/>
    <w:rsid w:val="00CD6B7C"/>
    <w:rsid w:val="00CD6E3D"/>
    <w:rsid w:val="00CD71AB"/>
    <w:rsid w:val="00CD7766"/>
    <w:rsid w:val="00CD7958"/>
    <w:rsid w:val="00CD7CB1"/>
    <w:rsid w:val="00CE0109"/>
    <w:rsid w:val="00CE1FC5"/>
    <w:rsid w:val="00CE46E5"/>
    <w:rsid w:val="00CE485A"/>
    <w:rsid w:val="00CE5279"/>
    <w:rsid w:val="00CE5528"/>
    <w:rsid w:val="00CE5A78"/>
    <w:rsid w:val="00CE6972"/>
    <w:rsid w:val="00CE6D31"/>
    <w:rsid w:val="00CE78AE"/>
    <w:rsid w:val="00CE7E62"/>
    <w:rsid w:val="00CF195E"/>
    <w:rsid w:val="00CF19DA"/>
    <w:rsid w:val="00CF1C7F"/>
    <w:rsid w:val="00CF1CC0"/>
    <w:rsid w:val="00CF24F8"/>
    <w:rsid w:val="00CF2653"/>
    <w:rsid w:val="00CF2E6A"/>
    <w:rsid w:val="00CF3723"/>
    <w:rsid w:val="00CF3CD3"/>
    <w:rsid w:val="00CF3D5A"/>
    <w:rsid w:val="00CF4247"/>
    <w:rsid w:val="00CF5239"/>
    <w:rsid w:val="00CF5263"/>
    <w:rsid w:val="00CF5418"/>
    <w:rsid w:val="00CF5A56"/>
    <w:rsid w:val="00CF5E61"/>
    <w:rsid w:val="00CF60B5"/>
    <w:rsid w:val="00CF6B78"/>
    <w:rsid w:val="00CF721A"/>
    <w:rsid w:val="00D004FA"/>
    <w:rsid w:val="00D01B21"/>
    <w:rsid w:val="00D01E2F"/>
    <w:rsid w:val="00D02FAF"/>
    <w:rsid w:val="00D030B7"/>
    <w:rsid w:val="00D03102"/>
    <w:rsid w:val="00D03420"/>
    <w:rsid w:val="00D03727"/>
    <w:rsid w:val="00D0378A"/>
    <w:rsid w:val="00D03D32"/>
    <w:rsid w:val="00D04289"/>
    <w:rsid w:val="00D04E17"/>
    <w:rsid w:val="00D05132"/>
    <w:rsid w:val="00D0545E"/>
    <w:rsid w:val="00D05479"/>
    <w:rsid w:val="00D05EA9"/>
    <w:rsid w:val="00D05F0A"/>
    <w:rsid w:val="00D065DD"/>
    <w:rsid w:val="00D071F8"/>
    <w:rsid w:val="00D07252"/>
    <w:rsid w:val="00D074F4"/>
    <w:rsid w:val="00D07A3B"/>
    <w:rsid w:val="00D07CE1"/>
    <w:rsid w:val="00D1026A"/>
    <w:rsid w:val="00D1073A"/>
    <w:rsid w:val="00D107CF"/>
    <w:rsid w:val="00D10893"/>
    <w:rsid w:val="00D10E56"/>
    <w:rsid w:val="00D111C8"/>
    <w:rsid w:val="00D11B0B"/>
    <w:rsid w:val="00D11FC2"/>
    <w:rsid w:val="00D12075"/>
    <w:rsid w:val="00D12293"/>
    <w:rsid w:val="00D13A98"/>
    <w:rsid w:val="00D1415C"/>
    <w:rsid w:val="00D1418A"/>
    <w:rsid w:val="00D14236"/>
    <w:rsid w:val="00D14553"/>
    <w:rsid w:val="00D14DB1"/>
    <w:rsid w:val="00D15263"/>
    <w:rsid w:val="00D15327"/>
    <w:rsid w:val="00D15F43"/>
    <w:rsid w:val="00D16326"/>
    <w:rsid w:val="00D16E87"/>
    <w:rsid w:val="00D17C6A"/>
    <w:rsid w:val="00D20B8B"/>
    <w:rsid w:val="00D2162C"/>
    <w:rsid w:val="00D21A3C"/>
    <w:rsid w:val="00D233F1"/>
    <w:rsid w:val="00D241D2"/>
    <w:rsid w:val="00D24765"/>
    <w:rsid w:val="00D2485B"/>
    <w:rsid w:val="00D248D3"/>
    <w:rsid w:val="00D256F8"/>
    <w:rsid w:val="00D259EB"/>
    <w:rsid w:val="00D25AA0"/>
    <w:rsid w:val="00D2644C"/>
    <w:rsid w:val="00D2685C"/>
    <w:rsid w:val="00D26A3B"/>
    <w:rsid w:val="00D26D2A"/>
    <w:rsid w:val="00D301BF"/>
    <w:rsid w:val="00D302FD"/>
    <w:rsid w:val="00D3038A"/>
    <w:rsid w:val="00D3098D"/>
    <w:rsid w:val="00D31A02"/>
    <w:rsid w:val="00D32786"/>
    <w:rsid w:val="00D32A09"/>
    <w:rsid w:val="00D3323C"/>
    <w:rsid w:val="00D33456"/>
    <w:rsid w:val="00D3396F"/>
    <w:rsid w:val="00D33D4D"/>
    <w:rsid w:val="00D34A0B"/>
    <w:rsid w:val="00D36234"/>
    <w:rsid w:val="00D36371"/>
    <w:rsid w:val="00D364C2"/>
    <w:rsid w:val="00D365AB"/>
    <w:rsid w:val="00D41005"/>
    <w:rsid w:val="00D41C80"/>
    <w:rsid w:val="00D41CC4"/>
    <w:rsid w:val="00D4229C"/>
    <w:rsid w:val="00D42B94"/>
    <w:rsid w:val="00D437D8"/>
    <w:rsid w:val="00D44994"/>
    <w:rsid w:val="00D44E40"/>
    <w:rsid w:val="00D45C8D"/>
    <w:rsid w:val="00D45DF3"/>
    <w:rsid w:val="00D46174"/>
    <w:rsid w:val="00D46497"/>
    <w:rsid w:val="00D47DD0"/>
    <w:rsid w:val="00D50183"/>
    <w:rsid w:val="00D51D12"/>
    <w:rsid w:val="00D521B2"/>
    <w:rsid w:val="00D52F94"/>
    <w:rsid w:val="00D5362B"/>
    <w:rsid w:val="00D547F8"/>
    <w:rsid w:val="00D547FE"/>
    <w:rsid w:val="00D55072"/>
    <w:rsid w:val="00D551B5"/>
    <w:rsid w:val="00D569FB"/>
    <w:rsid w:val="00D56AF5"/>
    <w:rsid w:val="00D56DB2"/>
    <w:rsid w:val="00D5747F"/>
    <w:rsid w:val="00D57495"/>
    <w:rsid w:val="00D574FA"/>
    <w:rsid w:val="00D57A0E"/>
    <w:rsid w:val="00D57AB5"/>
    <w:rsid w:val="00D60779"/>
    <w:rsid w:val="00D60C8D"/>
    <w:rsid w:val="00D61374"/>
    <w:rsid w:val="00D6168A"/>
    <w:rsid w:val="00D616A5"/>
    <w:rsid w:val="00D61FE0"/>
    <w:rsid w:val="00D61FF0"/>
    <w:rsid w:val="00D62106"/>
    <w:rsid w:val="00D6211D"/>
    <w:rsid w:val="00D62BD2"/>
    <w:rsid w:val="00D62C97"/>
    <w:rsid w:val="00D63517"/>
    <w:rsid w:val="00D6394B"/>
    <w:rsid w:val="00D63B75"/>
    <w:rsid w:val="00D63D97"/>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A25"/>
    <w:rsid w:val="00D73B73"/>
    <w:rsid w:val="00D73EBB"/>
    <w:rsid w:val="00D73F90"/>
    <w:rsid w:val="00D74B92"/>
    <w:rsid w:val="00D751BE"/>
    <w:rsid w:val="00D751FB"/>
    <w:rsid w:val="00D754D6"/>
    <w:rsid w:val="00D75B44"/>
    <w:rsid w:val="00D761AA"/>
    <w:rsid w:val="00D76896"/>
    <w:rsid w:val="00D76CC6"/>
    <w:rsid w:val="00D76FAE"/>
    <w:rsid w:val="00D77040"/>
    <w:rsid w:val="00D777D7"/>
    <w:rsid w:val="00D77948"/>
    <w:rsid w:val="00D807ED"/>
    <w:rsid w:val="00D80AB8"/>
    <w:rsid w:val="00D80FEC"/>
    <w:rsid w:val="00D81792"/>
    <w:rsid w:val="00D819B1"/>
    <w:rsid w:val="00D81BA1"/>
    <w:rsid w:val="00D822EB"/>
    <w:rsid w:val="00D82494"/>
    <w:rsid w:val="00D8344F"/>
    <w:rsid w:val="00D8375D"/>
    <w:rsid w:val="00D83898"/>
    <w:rsid w:val="00D83AE9"/>
    <w:rsid w:val="00D83F48"/>
    <w:rsid w:val="00D84266"/>
    <w:rsid w:val="00D846F2"/>
    <w:rsid w:val="00D84C46"/>
    <w:rsid w:val="00D857B8"/>
    <w:rsid w:val="00D85D1F"/>
    <w:rsid w:val="00D87175"/>
    <w:rsid w:val="00D87ABF"/>
    <w:rsid w:val="00D87C75"/>
    <w:rsid w:val="00D9004A"/>
    <w:rsid w:val="00D90CD3"/>
    <w:rsid w:val="00D90E2C"/>
    <w:rsid w:val="00D919E6"/>
    <w:rsid w:val="00D91BE1"/>
    <w:rsid w:val="00D91F8B"/>
    <w:rsid w:val="00D92B24"/>
    <w:rsid w:val="00D92C29"/>
    <w:rsid w:val="00D92EF9"/>
    <w:rsid w:val="00D93252"/>
    <w:rsid w:val="00D936E2"/>
    <w:rsid w:val="00D945B3"/>
    <w:rsid w:val="00D9503C"/>
    <w:rsid w:val="00D95104"/>
    <w:rsid w:val="00D95299"/>
    <w:rsid w:val="00D95600"/>
    <w:rsid w:val="00D957D8"/>
    <w:rsid w:val="00D95900"/>
    <w:rsid w:val="00D9683C"/>
    <w:rsid w:val="00D977A0"/>
    <w:rsid w:val="00D97884"/>
    <w:rsid w:val="00D97C79"/>
    <w:rsid w:val="00D97F43"/>
    <w:rsid w:val="00DA0712"/>
    <w:rsid w:val="00DA0A7F"/>
    <w:rsid w:val="00DA1C31"/>
    <w:rsid w:val="00DA20BC"/>
    <w:rsid w:val="00DA2575"/>
    <w:rsid w:val="00DA26BA"/>
    <w:rsid w:val="00DA272E"/>
    <w:rsid w:val="00DA2DBA"/>
    <w:rsid w:val="00DA2ED7"/>
    <w:rsid w:val="00DA33B7"/>
    <w:rsid w:val="00DA3E7A"/>
    <w:rsid w:val="00DA3EF7"/>
    <w:rsid w:val="00DA3F5B"/>
    <w:rsid w:val="00DA430C"/>
    <w:rsid w:val="00DA4DE3"/>
    <w:rsid w:val="00DA5471"/>
    <w:rsid w:val="00DA615D"/>
    <w:rsid w:val="00DA6598"/>
    <w:rsid w:val="00DA6C0F"/>
    <w:rsid w:val="00DA702F"/>
    <w:rsid w:val="00DA74CF"/>
    <w:rsid w:val="00DA7F8A"/>
    <w:rsid w:val="00DB0176"/>
    <w:rsid w:val="00DB0404"/>
    <w:rsid w:val="00DB069C"/>
    <w:rsid w:val="00DB08DD"/>
    <w:rsid w:val="00DB0E59"/>
    <w:rsid w:val="00DB11F8"/>
    <w:rsid w:val="00DB18F8"/>
    <w:rsid w:val="00DB1F2A"/>
    <w:rsid w:val="00DB2175"/>
    <w:rsid w:val="00DB297F"/>
    <w:rsid w:val="00DB2C83"/>
    <w:rsid w:val="00DB3153"/>
    <w:rsid w:val="00DB317A"/>
    <w:rsid w:val="00DB35C2"/>
    <w:rsid w:val="00DB3B82"/>
    <w:rsid w:val="00DB485D"/>
    <w:rsid w:val="00DB4C6E"/>
    <w:rsid w:val="00DB5293"/>
    <w:rsid w:val="00DB6ED8"/>
    <w:rsid w:val="00DB7836"/>
    <w:rsid w:val="00DC1301"/>
    <w:rsid w:val="00DC1327"/>
    <w:rsid w:val="00DC1350"/>
    <w:rsid w:val="00DC27E0"/>
    <w:rsid w:val="00DC2B54"/>
    <w:rsid w:val="00DC3237"/>
    <w:rsid w:val="00DC367A"/>
    <w:rsid w:val="00DC36F3"/>
    <w:rsid w:val="00DC39C2"/>
    <w:rsid w:val="00DC41A4"/>
    <w:rsid w:val="00DC4C33"/>
    <w:rsid w:val="00DC5150"/>
    <w:rsid w:val="00DC52CD"/>
    <w:rsid w:val="00DC5672"/>
    <w:rsid w:val="00DC5726"/>
    <w:rsid w:val="00DC5839"/>
    <w:rsid w:val="00DC5B56"/>
    <w:rsid w:val="00DC60A2"/>
    <w:rsid w:val="00DC6600"/>
    <w:rsid w:val="00DC67BD"/>
    <w:rsid w:val="00DC6924"/>
    <w:rsid w:val="00DC71F2"/>
    <w:rsid w:val="00DC7770"/>
    <w:rsid w:val="00DC7E52"/>
    <w:rsid w:val="00DC7EB1"/>
    <w:rsid w:val="00DD0485"/>
    <w:rsid w:val="00DD12C5"/>
    <w:rsid w:val="00DD2025"/>
    <w:rsid w:val="00DD219C"/>
    <w:rsid w:val="00DD22EA"/>
    <w:rsid w:val="00DD23A0"/>
    <w:rsid w:val="00DD24CC"/>
    <w:rsid w:val="00DD38EE"/>
    <w:rsid w:val="00DD3EF5"/>
    <w:rsid w:val="00DD4227"/>
    <w:rsid w:val="00DD53FA"/>
    <w:rsid w:val="00DD58C2"/>
    <w:rsid w:val="00DD5F42"/>
    <w:rsid w:val="00DD617B"/>
    <w:rsid w:val="00DD64C0"/>
    <w:rsid w:val="00DD6D4E"/>
    <w:rsid w:val="00DD79A6"/>
    <w:rsid w:val="00DE0443"/>
    <w:rsid w:val="00DE068C"/>
    <w:rsid w:val="00DE0E59"/>
    <w:rsid w:val="00DE0F6C"/>
    <w:rsid w:val="00DE102B"/>
    <w:rsid w:val="00DE12F0"/>
    <w:rsid w:val="00DE1A69"/>
    <w:rsid w:val="00DE219B"/>
    <w:rsid w:val="00DE3407"/>
    <w:rsid w:val="00DE3979"/>
    <w:rsid w:val="00DE4C15"/>
    <w:rsid w:val="00DE52E3"/>
    <w:rsid w:val="00DE70CB"/>
    <w:rsid w:val="00DE7C00"/>
    <w:rsid w:val="00DF03E9"/>
    <w:rsid w:val="00DF03ED"/>
    <w:rsid w:val="00DF04EE"/>
    <w:rsid w:val="00DF0BF4"/>
    <w:rsid w:val="00DF0E41"/>
    <w:rsid w:val="00DF10B2"/>
    <w:rsid w:val="00DF179D"/>
    <w:rsid w:val="00DF1E9C"/>
    <w:rsid w:val="00DF2168"/>
    <w:rsid w:val="00DF2D2C"/>
    <w:rsid w:val="00DF4572"/>
    <w:rsid w:val="00DF4658"/>
    <w:rsid w:val="00DF5A1C"/>
    <w:rsid w:val="00DF5C5B"/>
    <w:rsid w:val="00DF6C8B"/>
    <w:rsid w:val="00DF6F17"/>
    <w:rsid w:val="00DF6F28"/>
    <w:rsid w:val="00DF6F88"/>
    <w:rsid w:val="00DF78FA"/>
    <w:rsid w:val="00DF7960"/>
    <w:rsid w:val="00DF7AE1"/>
    <w:rsid w:val="00E002F1"/>
    <w:rsid w:val="00E0055A"/>
    <w:rsid w:val="00E0082C"/>
    <w:rsid w:val="00E00B0D"/>
    <w:rsid w:val="00E00F45"/>
    <w:rsid w:val="00E00F55"/>
    <w:rsid w:val="00E01DAA"/>
    <w:rsid w:val="00E023E5"/>
    <w:rsid w:val="00E02432"/>
    <w:rsid w:val="00E04022"/>
    <w:rsid w:val="00E041C1"/>
    <w:rsid w:val="00E04446"/>
    <w:rsid w:val="00E04DC9"/>
    <w:rsid w:val="00E05107"/>
    <w:rsid w:val="00E0543F"/>
    <w:rsid w:val="00E06521"/>
    <w:rsid w:val="00E06528"/>
    <w:rsid w:val="00E066DB"/>
    <w:rsid w:val="00E0728F"/>
    <w:rsid w:val="00E0749C"/>
    <w:rsid w:val="00E0755C"/>
    <w:rsid w:val="00E07679"/>
    <w:rsid w:val="00E10021"/>
    <w:rsid w:val="00E112CA"/>
    <w:rsid w:val="00E113C6"/>
    <w:rsid w:val="00E128E9"/>
    <w:rsid w:val="00E142BE"/>
    <w:rsid w:val="00E14A7E"/>
    <w:rsid w:val="00E151E1"/>
    <w:rsid w:val="00E15AB0"/>
    <w:rsid w:val="00E16766"/>
    <w:rsid w:val="00E17619"/>
    <w:rsid w:val="00E17805"/>
    <w:rsid w:val="00E178F3"/>
    <w:rsid w:val="00E17CAC"/>
    <w:rsid w:val="00E203CF"/>
    <w:rsid w:val="00E20AD3"/>
    <w:rsid w:val="00E20F79"/>
    <w:rsid w:val="00E21278"/>
    <w:rsid w:val="00E2150A"/>
    <w:rsid w:val="00E22CCD"/>
    <w:rsid w:val="00E23296"/>
    <w:rsid w:val="00E239FC"/>
    <w:rsid w:val="00E23A11"/>
    <w:rsid w:val="00E23FB7"/>
    <w:rsid w:val="00E24A27"/>
    <w:rsid w:val="00E24B5C"/>
    <w:rsid w:val="00E25934"/>
    <w:rsid w:val="00E25F89"/>
    <w:rsid w:val="00E26009"/>
    <w:rsid w:val="00E26387"/>
    <w:rsid w:val="00E26C55"/>
    <w:rsid w:val="00E274C4"/>
    <w:rsid w:val="00E27CC0"/>
    <w:rsid w:val="00E3016C"/>
    <w:rsid w:val="00E30808"/>
    <w:rsid w:val="00E3117A"/>
    <w:rsid w:val="00E311C3"/>
    <w:rsid w:val="00E3261C"/>
    <w:rsid w:val="00E32D62"/>
    <w:rsid w:val="00E339DC"/>
    <w:rsid w:val="00E33E15"/>
    <w:rsid w:val="00E353A4"/>
    <w:rsid w:val="00E361B8"/>
    <w:rsid w:val="00E36A1B"/>
    <w:rsid w:val="00E37DDE"/>
    <w:rsid w:val="00E40949"/>
    <w:rsid w:val="00E40C38"/>
    <w:rsid w:val="00E418A9"/>
    <w:rsid w:val="00E42428"/>
    <w:rsid w:val="00E429ED"/>
    <w:rsid w:val="00E43F37"/>
    <w:rsid w:val="00E441E6"/>
    <w:rsid w:val="00E450ED"/>
    <w:rsid w:val="00E467B6"/>
    <w:rsid w:val="00E46C47"/>
    <w:rsid w:val="00E4765D"/>
    <w:rsid w:val="00E4791B"/>
    <w:rsid w:val="00E47E31"/>
    <w:rsid w:val="00E50A11"/>
    <w:rsid w:val="00E50AC6"/>
    <w:rsid w:val="00E50FCA"/>
    <w:rsid w:val="00E5108D"/>
    <w:rsid w:val="00E51291"/>
    <w:rsid w:val="00E51DDD"/>
    <w:rsid w:val="00E51FDD"/>
    <w:rsid w:val="00E523C6"/>
    <w:rsid w:val="00E52435"/>
    <w:rsid w:val="00E52904"/>
    <w:rsid w:val="00E53122"/>
    <w:rsid w:val="00E5351B"/>
    <w:rsid w:val="00E536D3"/>
    <w:rsid w:val="00E53FA9"/>
    <w:rsid w:val="00E5414C"/>
    <w:rsid w:val="00E547B3"/>
    <w:rsid w:val="00E55307"/>
    <w:rsid w:val="00E55C00"/>
    <w:rsid w:val="00E57050"/>
    <w:rsid w:val="00E57237"/>
    <w:rsid w:val="00E5733D"/>
    <w:rsid w:val="00E57613"/>
    <w:rsid w:val="00E57BF0"/>
    <w:rsid w:val="00E57EAC"/>
    <w:rsid w:val="00E604EF"/>
    <w:rsid w:val="00E61CC0"/>
    <w:rsid w:val="00E6277B"/>
    <w:rsid w:val="00E62EA7"/>
    <w:rsid w:val="00E63278"/>
    <w:rsid w:val="00E64424"/>
    <w:rsid w:val="00E64A37"/>
    <w:rsid w:val="00E64C99"/>
    <w:rsid w:val="00E64CD3"/>
    <w:rsid w:val="00E64E8F"/>
    <w:rsid w:val="00E66248"/>
    <w:rsid w:val="00E66945"/>
    <w:rsid w:val="00E671C9"/>
    <w:rsid w:val="00E6743F"/>
    <w:rsid w:val="00E6758E"/>
    <w:rsid w:val="00E67DD9"/>
    <w:rsid w:val="00E67E23"/>
    <w:rsid w:val="00E70016"/>
    <w:rsid w:val="00E70658"/>
    <w:rsid w:val="00E70BC7"/>
    <w:rsid w:val="00E70F07"/>
    <w:rsid w:val="00E70FBC"/>
    <w:rsid w:val="00E718B4"/>
    <w:rsid w:val="00E72BDF"/>
    <w:rsid w:val="00E72C01"/>
    <w:rsid w:val="00E741AC"/>
    <w:rsid w:val="00E747AA"/>
    <w:rsid w:val="00E74F75"/>
    <w:rsid w:val="00E75174"/>
    <w:rsid w:val="00E753B5"/>
    <w:rsid w:val="00E75EBA"/>
    <w:rsid w:val="00E763B4"/>
    <w:rsid w:val="00E77433"/>
    <w:rsid w:val="00E77530"/>
    <w:rsid w:val="00E77848"/>
    <w:rsid w:val="00E779B3"/>
    <w:rsid w:val="00E804D2"/>
    <w:rsid w:val="00E80514"/>
    <w:rsid w:val="00E80E5B"/>
    <w:rsid w:val="00E81579"/>
    <w:rsid w:val="00E816C5"/>
    <w:rsid w:val="00E81CA5"/>
    <w:rsid w:val="00E81CE0"/>
    <w:rsid w:val="00E81E7C"/>
    <w:rsid w:val="00E82087"/>
    <w:rsid w:val="00E8224D"/>
    <w:rsid w:val="00E82391"/>
    <w:rsid w:val="00E823B0"/>
    <w:rsid w:val="00E838A0"/>
    <w:rsid w:val="00E84275"/>
    <w:rsid w:val="00E84459"/>
    <w:rsid w:val="00E844D8"/>
    <w:rsid w:val="00E84D72"/>
    <w:rsid w:val="00E8519F"/>
    <w:rsid w:val="00E85387"/>
    <w:rsid w:val="00E85CC3"/>
    <w:rsid w:val="00E8644A"/>
    <w:rsid w:val="00E870A9"/>
    <w:rsid w:val="00E90279"/>
    <w:rsid w:val="00E90635"/>
    <w:rsid w:val="00E909A1"/>
    <w:rsid w:val="00E90BFF"/>
    <w:rsid w:val="00E91F04"/>
    <w:rsid w:val="00E91F35"/>
    <w:rsid w:val="00E91F44"/>
    <w:rsid w:val="00E9259E"/>
    <w:rsid w:val="00E93024"/>
    <w:rsid w:val="00E9574E"/>
    <w:rsid w:val="00E95BA6"/>
    <w:rsid w:val="00E97648"/>
    <w:rsid w:val="00EA07E9"/>
    <w:rsid w:val="00EA0E4A"/>
    <w:rsid w:val="00EA1A54"/>
    <w:rsid w:val="00EA2226"/>
    <w:rsid w:val="00EA2483"/>
    <w:rsid w:val="00EA26FC"/>
    <w:rsid w:val="00EA2948"/>
    <w:rsid w:val="00EA2CD9"/>
    <w:rsid w:val="00EA3B5A"/>
    <w:rsid w:val="00EA3E8D"/>
    <w:rsid w:val="00EA4100"/>
    <w:rsid w:val="00EA410E"/>
    <w:rsid w:val="00EA4FD1"/>
    <w:rsid w:val="00EA53C2"/>
    <w:rsid w:val="00EA5695"/>
    <w:rsid w:val="00EA5B0A"/>
    <w:rsid w:val="00EA5B4B"/>
    <w:rsid w:val="00EA65AD"/>
    <w:rsid w:val="00EA71F4"/>
    <w:rsid w:val="00EA7487"/>
    <w:rsid w:val="00EA7FCF"/>
    <w:rsid w:val="00EB0CA3"/>
    <w:rsid w:val="00EB104F"/>
    <w:rsid w:val="00EB15F2"/>
    <w:rsid w:val="00EB1B27"/>
    <w:rsid w:val="00EB1DA8"/>
    <w:rsid w:val="00EB28C3"/>
    <w:rsid w:val="00EB2A69"/>
    <w:rsid w:val="00EB2D2E"/>
    <w:rsid w:val="00EB326C"/>
    <w:rsid w:val="00EB4B75"/>
    <w:rsid w:val="00EB4CFF"/>
    <w:rsid w:val="00EB53A6"/>
    <w:rsid w:val="00EB5476"/>
    <w:rsid w:val="00EB5B85"/>
    <w:rsid w:val="00EB5FB6"/>
    <w:rsid w:val="00EB5FF6"/>
    <w:rsid w:val="00EB626C"/>
    <w:rsid w:val="00EB6ABF"/>
    <w:rsid w:val="00EB70B0"/>
    <w:rsid w:val="00EB74F4"/>
    <w:rsid w:val="00EB7633"/>
    <w:rsid w:val="00EB7736"/>
    <w:rsid w:val="00EB7808"/>
    <w:rsid w:val="00EC05FD"/>
    <w:rsid w:val="00EC121A"/>
    <w:rsid w:val="00EC1DCD"/>
    <w:rsid w:val="00EC2BF5"/>
    <w:rsid w:val="00EC2E2D"/>
    <w:rsid w:val="00EC363A"/>
    <w:rsid w:val="00EC370B"/>
    <w:rsid w:val="00EC391D"/>
    <w:rsid w:val="00EC462B"/>
    <w:rsid w:val="00EC4723"/>
    <w:rsid w:val="00EC56E0"/>
    <w:rsid w:val="00EC6057"/>
    <w:rsid w:val="00EC6847"/>
    <w:rsid w:val="00EC6EB4"/>
    <w:rsid w:val="00EC7789"/>
    <w:rsid w:val="00EC7DB6"/>
    <w:rsid w:val="00ED162F"/>
    <w:rsid w:val="00ED1738"/>
    <w:rsid w:val="00ED2568"/>
    <w:rsid w:val="00ED2AE0"/>
    <w:rsid w:val="00ED2E52"/>
    <w:rsid w:val="00ED3024"/>
    <w:rsid w:val="00ED31DB"/>
    <w:rsid w:val="00ED3BB8"/>
    <w:rsid w:val="00ED3C23"/>
    <w:rsid w:val="00ED49B0"/>
    <w:rsid w:val="00ED4B76"/>
    <w:rsid w:val="00ED512D"/>
    <w:rsid w:val="00ED51C0"/>
    <w:rsid w:val="00ED5E5B"/>
    <w:rsid w:val="00ED5FE4"/>
    <w:rsid w:val="00ED63CC"/>
    <w:rsid w:val="00ED664B"/>
    <w:rsid w:val="00ED6FAD"/>
    <w:rsid w:val="00ED71C5"/>
    <w:rsid w:val="00EE16FA"/>
    <w:rsid w:val="00EE18B9"/>
    <w:rsid w:val="00EE32CE"/>
    <w:rsid w:val="00EE3C42"/>
    <w:rsid w:val="00EE3D4F"/>
    <w:rsid w:val="00EE534D"/>
    <w:rsid w:val="00EE5560"/>
    <w:rsid w:val="00EE596F"/>
    <w:rsid w:val="00EE5AD0"/>
    <w:rsid w:val="00EE5DE1"/>
    <w:rsid w:val="00EE6ABC"/>
    <w:rsid w:val="00EE6F1E"/>
    <w:rsid w:val="00EE7D82"/>
    <w:rsid w:val="00EF0348"/>
    <w:rsid w:val="00EF1765"/>
    <w:rsid w:val="00EF17C5"/>
    <w:rsid w:val="00EF1BFD"/>
    <w:rsid w:val="00EF1F9C"/>
    <w:rsid w:val="00EF21E0"/>
    <w:rsid w:val="00EF25C1"/>
    <w:rsid w:val="00EF4366"/>
    <w:rsid w:val="00EF449D"/>
    <w:rsid w:val="00EF4CD6"/>
    <w:rsid w:val="00EF55A0"/>
    <w:rsid w:val="00EF63D1"/>
    <w:rsid w:val="00EF6513"/>
    <w:rsid w:val="00EF6683"/>
    <w:rsid w:val="00EF6CAC"/>
    <w:rsid w:val="00EF7002"/>
    <w:rsid w:val="00EF712D"/>
    <w:rsid w:val="00EF769B"/>
    <w:rsid w:val="00F010B9"/>
    <w:rsid w:val="00F02651"/>
    <w:rsid w:val="00F027BA"/>
    <w:rsid w:val="00F02A11"/>
    <w:rsid w:val="00F0350A"/>
    <w:rsid w:val="00F0357D"/>
    <w:rsid w:val="00F03CC3"/>
    <w:rsid w:val="00F03E79"/>
    <w:rsid w:val="00F041DC"/>
    <w:rsid w:val="00F0628D"/>
    <w:rsid w:val="00F0661B"/>
    <w:rsid w:val="00F06651"/>
    <w:rsid w:val="00F06CA9"/>
    <w:rsid w:val="00F06DCE"/>
    <w:rsid w:val="00F06FF8"/>
    <w:rsid w:val="00F07027"/>
    <w:rsid w:val="00F07DE6"/>
    <w:rsid w:val="00F07E49"/>
    <w:rsid w:val="00F1056C"/>
    <w:rsid w:val="00F107F1"/>
    <w:rsid w:val="00F10ACE"/>
    <w:rsid w:val="00F10ECF"/>
    <w:rsid w:val="00F10FC1"/>
    <w:rsid w:val="00F112FD"/>
    <w:rsid w:val="00F121EB"/>
    <w:rsid w:val="00F133A1"/>
    <w:rsid w:val="00F13ECD"/>
    <w:rsid w:val="00F14D13"/>
    <w:rsid w:val="00F155CE"/>
    <w:rsid w:val="00F159EC"/>
    <w:rsid w:val="00F16702"/>
    <w:rsid w:val="00F16750"/>
    <w:rsid w:val="00F16BF2"/>
    <w:rsid w:val="00F17EAE"/>
    <w:rsid w:val="00F17F6E"/>
    <w:rsid w:val="00F2117B"/>
    <w:rsid w:val="00F2135D"/>
    <w:rsid w:val="00F218D4"/>
    <w:rsid w:val="00F21E9A"/>
    <w:rsid w:val="00F2250A"/>
    <w:rsid w:val="00F22738"/>
    <w:rsid w:val="00F22840"/>
    <w:rsid w:val="00F23DAF"/>
    <w:rsid w:val="00F245A3"/>
    <w:rsid w:val="00F24788"/>
    <w:rsid w:val="00F24DA7"/>
    <w:rsid w:val="00F256ED"/>
    <w:rsid w:val="00F25A20"/>
    <w:rsid w:val="00F260B0"/>
    <w:rsid w:val="00F26252"/>
    <w:rsid w:val="00F2640F"/>
    <w:rsid w:val="00F27C34"/>
    <w:rsid w:val="00F27E46"/>
    <w:rsid w:val="00F301C2"/>
    <w:rsid w:val="00F302E1"/>
    <w:rsid w:val="00F3065B"/>
    <w:rsid w:val="00F3125E"/>
    <w:rsid w:val="00F31536"/>
    <w:rsid w:val="00F31B22"/>
    <w:rsid w:val="00F31B49"/>
    <w:rsid w:val="00F322FA"/>
    <w:rsid w:val="00F3284D"/>
    <w:rsid w:val="00F3287D"/>
    <w:rsid w:val="00F3288D"/>
    <w:rsid w:val="00F32D66"/>
    <w:rsid w:val="00F32F56"/>
    <w:rsid w:val="00F33D4F"/>
    <w:rsid w:val="00F340DC"/>
    <w:rsid w:val="00F3410B"/>
    <w:rsid w:val="00F34607"/>
    <w:rsid w:val="00F34884"/>
    <w:rsid w:val="00F34CD6"/>
    <w:rsid w:val="00F35873"/>
    <w:rsid w:val="00F35920"/>
    <w:rsid w:val="00F35E02"/>
    <w:rsid w:val="00F365FB"/>
    <w:rsid w:val="00F366A5"/>
    <w:rsid w:val="00F36C5F"/>
    <w:rsid w:val="00F37259"/>
    <w:rsid w:val="00F40421"/>
    <w:rsid w:val="00F405A4"/>
    <w:rsid w:val="00F406F4"/>
    <w:rsid w:val="00F41595"/>
    <w:rsid w:val="00F41F05"/>
    <w:rsid w:val="00F433BD"/>
    <w:rsid w:val="00F4399B"/>
    <w:rsid w:val="00F43B95"/>
    <w:rsid w:val="00F43D00"/>
    <w:rsid w:val="00F444ED"/>
    <w:rsid w:val="00F44EC5"/>
    <w:rsid w:val="00F4566B"/>
    <w:rsid w:val="00F46BDA"/>
    <w:rsid w:val="00F470D6"/>
    <w:rsid w:val="00F47498"/>
    <w:rsid w:val="00F512B2"/>
    <w:rsid w:val="00F5283D"/>
    <w:rsid w:val="00F52ABA"/>
    <w:rsid w:val="00F52BC7"/>
    <w:rsid w:val="00F53BF4"/>
    <w:rsid w:val="00F54266"/>
    <w:rsid w:val="00F55043"/>
    <w:rsid w:val="00F5626D"/>
    <w:rsid w:val="00F56681"/>
    <w:rsid w:val="00F56B69"/>
    <w:rsid w:val="00F56DCF"/>
    <w:rsid w:val="00F57034"/>
    <w:rsid w:val="00F57B1F"/>
    <w:rsid w:val="00F60BE9"/>
    <w:rsid w:val="00F61FD8"/>
    <w:rsid w:val="00F62478"/>
    <w:rsid w:val="00F6254C"/>
    <w:rsid w:val="00F6263C"/>
    <w:rsid w:val="00F62DBF"/>
    <w:rsid w:val="00F63017"/>
    <w:rsid w:val="00F641FC"/>
    <w:rsid w:val="00F643C3"/>
    <w:rsid w:val="00F647F7"/>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1DC2"/>
    <w:rsid w:val="00F7222B"/>
    <w:rsid w:val="00F72584"/>
    <w:rsid w:val="00F7260C"/>
    <w:rsid w:val="00F7264F"/>
    <w:rsid w:val="00F7290D"/>
    <w:rsid w:val="00F7302F"/>
    <w:rsid w:val="00F732EC"/>
    <w:rsid w:val="00F73D08"/>
    <w:rsid w:val="00F749CD"/>
    <w:rsid w:val="00F7586B"/>
    <w:rsid w:val="00F75D45"/>
    <w:rsid w:val="00F75F2F"/>
    <w:rsid w:val="00F75F40"/>
    <w:rsid w:val="00F76445"/>
    <w:rsid w:val="00F76D0C"/>
    <w:rsid w:val="00F76ECC"/>
    <w:rsid w:val="00F779FD"/>
    <w:rsid w:val="00F80399"/>
    <w:rsid w:val="00F80549"/>
    <w:rsid w:val="00F812C8"/>
    <w:rsid w:val="00F8132D"/>
    <w:rsid w:val="00F818AE"/>
    <w:rsid w:val="00F81B40"/>
    <w:rsid w:val="00F81C81"/>
    <w:rsid w:val="00F820C4"/>
    <w:rsid w:val="00F826EF"/>
    <w:rsid w:val="00F834F1"/>
    <w:rsid w:val="00F83829"/>
    <w:rsid w:val="00F84069"/>
    <w:rsid w:val="00F843D7"/>
    <w:rsid w:val="00F8446C"/>
    <w:rsid w:val="00F84997"/>
    <w:rsid w:val="00F850CD"/>
    <w:rsid w:val="00F85536"/>
    <w:rsid w:val="00F8631D"/>
    <w:rsid w:val="00F8657A"/>
    <w:rsid w:val="00F86637"/>
    <w:rsid w:val="00F8679A"/>
    <w:rsid w:val="00F86F07"/>
    <w:rsid w:val="00F87117"/>
    <w:rsid w:val="00F8736C"/>
    <w:rsid w:val="00F87CCB"/>
    <w:rsid w:val="00F9030E"/>
    <w:rsid w:val="00F90ADB"/>
    <w:rsid w:val="00F90E78"/>
    <w:rsid w:val="00F91209"/>
    <w:rsid w:val="00F9221F"/>
    <w:rsid w:val="00F92333"/>
    <w:rsid w:val="00F931C7"/>
    <w:rsid w:val="00F93559"/>
    <w:rsid w:val="00F93D72"/>
    <w:rsid w:val="00F93E65"/>
    <w:rsid w:val="00F94070"/>
    <w:rsid w:val="00F9469E"/>
    <w:rsid w:val="00F950B5"/>
    <w:rsid w:val="00F9513F"/>
    <w:rsid w:val="00F951B3"/>
    <w:rsid w:val="00F956A6"/>
    <w:rsid w:val="00F960D6"/>
    <w:rsid w:val="00F9632B"/>
    <w:rsid w:val="00F96727"/>
    <w:rsid w:val="00F96CDF"/>
    <w:rsid w:val="00F96F76"/>
    <w:rsid w:val="00F97120"/>
    <w:rsid w:val="00F97908"/>
    <w:rsid w:val="00F97B43"/>
    <w:rsid w:val="00F97D2D"/>
    <w:rsid w:val="00FA04D0"/>
    <w:rsid w:val="00FA07F8"/>
    <w:rsid w:val="00FA105C"/>
    <w:rsid w:val="00FA1475"/>
    <w:rsid w:val="00FA148A"/>
    <w:rsid w:val="00FA26BA"/>
    <w:rsid w:val="00FA27C8"/>
    <w:rsid w:val="00FA2D22"/>
    <w:rsid w:val="00FA3122"/>
    <w:rsid w:val="00FA35E3"/>
    <w:rsid w:val="00FA3B76"/>
    <w:rsid w:val="00FA45EE"/>
    <w:rsid w:val="00FA4D66"/>
    <w:rsid w:val="00FA5088"/>
    <w:rsid w:val="00FA56AE"/>
    <w:rsid w:val="00FA5A4E"/>
    <w:rsid w:val="00FA6157"/>
    <w:rsid w:val="00FA71F2"/>
    <w:rsid w:val="00FA7478"/>
    <w:rsid w:val="00FA7A6B"/>
    <w:rsid w:val="00FA7ECC"/>
    <w:rsid w:val="00FB0082"/>
    <w:rsid w:val="00FB0243"/>
    <w:rsid w:val="00FB0AC3"/>
    <w:rsid w:val="00FB1527"/>
    <w:rsid w:val="00FB1E67"/>
    <w:rsid w:val="00FB2537"/>
    <w:rsid w:val="00FB31BD"/>
    <w:rsid w:val="00FB338E"/>
    <w:rsid w:val="00FB33DC"/>
    <w:rsid w:val="00FB35AD"/>
    <w:rsid w:val="00FB4338"/>
    <w:rsid w:val="00FB477E"/>
    <w:rsid w:val="00FB494F"/>
    <w:rsid w:val="00FB4C2A"/>
    <w:rsid w:val="00FB4C9C"/>
    <w:rsid w:val="00FB5148"/>
    <w:rsid w:val="00FB570B"/>
    <w:rsid w:val="00FB6165"/>
    <w:rsid w:val="00FB78E7"/>
    <w:rsid w:val="00FC0150"/>
    <w:rsid w:val="00FC03AB"/>
    <w:rsid w:val="00FC223F"/>
    <w:rsid w:val="00FC2E01"/>
    <w:rsid w:val="00FC4668"/>
    <w:rsid w:val="00FC4729"/>
    <w:rsid w:val="00FC4A8C"/>
    <w:rsid w:val="00FC4B5F"/>
    <w:rsid w:val="00FC53DB"/>
    <w:rsid w:val="00FC5ED5"/>
    <w:rsid w:val="00FC5FC2"/>
    <w:rsid w:val="00FC6177"/>
    <w:rsid w:val="00FC6223"/>
    <w:rsid w:val="00FC6288"/>
    <w:rsid w:val="00FC63D1"/>
    <w:rsid w:val="00FC7528"/>
    <w:rsid w:val="00FD0572"/>
    <w:rsid w:val="00FD1A97"/>
    <w:rsid w:val="00FD2B4E"/>
    <w:rsid w:val="00FD2D7B"/>
    <w:rsid w:val="00FD3027"/>
    <w:rsid w:val="00FD37F6"/>
    <w:rsid w:val="00FD4589"/>
    <w:rsid w:val="00FD4608"/>
    <w:rsid w:val="00FD473E"/>
    <w:rsid w:val="00FD5928"/>
    <w:rsid w:val="00FD66F4"/>
    <w:rsid w:val="00FD7606"/>
    <w:rsid w:val="00FD7DF9"/>
    <w:rsid w:val="00FD7FC9"/>
    <w:rsid w:val="00FE0564"/>
    <w:rsid w:val="00FE0A29"/>
    <w:rsid w:val="00FE0B51"/>
    <w:rsid w:val="00FE0B78"/>
    <w:rsid w:val="00FE0ED4"/>
    <w:rsid w:val="00FE1EAB"/>
    <w:rsid w:val="00FE23ED"/>
    <w:rsid w:val="00FE284B"/>
    <w:rsid w:val="00FE28FC"/>
    <w:rsid w:val="00FE3004"/>
    <w:rsid w:val="00FE3465"/>
    <w:rsid w:val="00FE35A6"/>
    <w:rsid w:val="00FE3CC4"/>
    <w:rsid w:val="00FE45BA"/>
    <w:rsid w:val="00FE4887"/>
    <w:rsid w:val="00FE5E83"/>
    <w:rsid w:val="00FE67CF"/>
    <w:rsid w:val="00FE6D20"/>
    <w:rsid w:val="00FE6FB9"/>
    <w:rsid w:val="00FE7397"/>
    <w:rsid w:val="00FE7549"/>
    <w:rsid w:val="00FE7BCC"/>
    <w:rsid w:val="00FE7CA0"/>
    <w:rsid w:val="00FF0832"/>
    <w:rsid w:val="00FF126D"/>
    <w:rsid w:val="00FF2310"/>
    <w:rsid w:val="00FF2319"/>
    <w:rsid w:val="00FF26BC"/>
    <w:rsid w:val="00FF2E73"/>
    <w:rsid w:val="00FF34D1"/>
    <w:rsid w:val="00FF35C8"/>
    <w:rsid w:val="00FF3FE2"/>
    <w:rsid w:val="00FF47E1"/>
    <w:rsid w:val="00FF4AE2"/>
    <w:rsid w:val="00FF4BCB"/>
    <w:rsid w:val="00FF50A8"/>
    <w:rsid w:val="00FF55ED"/>
    <w:rsid w:val="00FF571E"/>
    <w:rsid w:val="00FF5BC1"/>
    <w:rsid w:val="00FF653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4E5C"/>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qFormat/>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qFormat/>
    <w:locked/>
    <w:rsid w:val="00235E55"/>
    <w:rPr>
      <w:rFonts w:ascii="Arial" w:hAnsi="Arial" w:cs="Arial"/>
      <w:sz w:val="18"/>
    </w:rPr>
  </w:style>
  <w:style w:type="paragraph" w:customStyle="1" w:styleId="TAL">
    <w:name w:val="TAL"/>
    <w:basedOn w:val="Normal"/>
    <w:link w:val="TALCar"/>
    <w:qFormat/>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semiHidden/>
    <w:unhideWhenUsed/>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styleId="Strong">
    <w:name w:val="Strong"/>
    <w:uiPriority w:val="22"/>
    <w:qFormat/>
    <w:rsid w:val="004969E5"/>
    <w:rPr>
      <w:b/>
      <w:bCs/>
    </w:rPr>
  </w:style>
  <w:style w:type="paragraph" w:customStyle="1" w:styleId="paragraph">
    <w:name w:val="paragraph"/>
    <w:basedOn w:val="Normal"/>
    <w:uiPriority w:val="99"/>
    <w:qFormat/>
    <w:rsid w:val="004969E5"/>
    <w:pPr>
      <w:autoSpaceDE/>
      <w:autoSpaceDN/>
      <w:adjustRightInd/>
      <w:snapToGrid/>
      <w:spacing w:before="100" w:beforeAutospacing="1" w:after="100" w:afterAutospacing="1"/>
      <w:jc w:val="left"/>
    </w:pPr>
    <w:rPr>
      <w:rFonts w:eastAsia="Times New Roman"/>
      <w:sz w:val="24"/>
      <w:szCs w:val="24"/>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33625829">
      <w:bodyDiv w:val="1"/>
      <w:marLeft w:val="0"/>
      <w:marRight w:val="0"/>
      <w:marTop w:val="0"/>
      <w:marBottom w:val="0"/>
      <w:divBdr>
        <w:top w:val="none" w:sz="0" w:space="0" w:color="auto"/>
        <w:left w:val="none" w:sz="0" w:space="0" w:color="auto"/>
        <w:bottom w:val="none" w:sz="0" w:space="0" w:color="auto"/>
        <w:right w:val="none" w:sz="0" w:space="0" w:color="auto"/>
      </w:divBdr>
      <w:divsChild>
        <w:div w:id="1767074659">
          <w:marLeft w:val="360"/>
          <w:marRight w:val="0"/>
          <w:marTop w:val="200"/>
          <w:marBottom w:val="0"/>
          <w:divBdr>
            <w:top w:val="none" w:sz="0" w:space="0" w:color="auto"/>
            <w:left w:val="none" w:sz="0" w:space="0" w:color="auto"/>
            <w:bottom w:val="none" w:sz="0" w:space="0" w:color="auto"/>
            <w:right w:val="none" w:sz="0" w:space="0" w:color="auto"/>
          </w:divBdr>
        </w:div>
        <w:div w:id="547910528">
          <w:marLeft w:val="1080"/>
          <w:marRight w:val="0"/>
          <w:marTop w:val="100"/>
          <w:marBottom w:val="0"/>
          <w:divBdr>
            <w:top w:val="none" w:sz="0" w:space="0" w:color="auto"/>
            <w:left w:val="none" w:sz="0" w:space="0" w:color="auto"/>
            <w:bottom w:val="none" w:sz="0" w:space="0" w:color="auto"/>
            <w:right w:val="none" w:sz="0" w:space="0" w:color="auto"/>
          </w:divBdr>
        </w:div>
        <w:div w:id="1897206937">
          <w:marLeft w:val="1800"/>
          <w:marRight w:val="0"/>
          <w:marTop w:val="100"/>
          <w:marBottom w:val="0"/>
          <w:divBdr>
            <w:top w:val="none" w:sz="0" w:space="0" w:color="auto"/>
            <w:left w:val="none" w:sz="0" w:space="0" w:color="auto"/>
            <w:bottom w:val="none" w:sz="0" w:space="0" w:color="auto"/>
            <w:right w:val="none" w:sz="0" w:space="0" w:color="auto"/>
          </w:divBdr>
        </w:div>
        <w:div w:id="1042557985">
          <w:marLeft w:val="1080"/>
          <w:marRight w:val="0"/>
          <w:marTop w:val="100"/>
          <w:marBottom w:val="0"/>
          <w:divBdr>
            <w:top w:val="none" w:sz="0" w:space="0" w:color="auto"/>
            <w:left w:val="none" w:sz="0" w:space="0" w:color="auto"/>
            <w:bottom w:val="none" w:sz="0" w:space="0" w:color="auto"/>
            <w:right w:val="none" w:sz="0" w:space="0" w:color="auto"/>
          </w:divBdr>
        </w:div>
        <w:div w:id="1863862310">
          <w:marLeft w:val="1800"/>
          <w:marRight w:val="0"/>
          <w:marTop w:val="100"/>
          <w:marBottom w:val="0"/>
          <w:divBdr>
            <w:top w:val="none" w:sz="0" w:space="0" w:color="auto"/>
            <w:left w:val="none" w:sz="0" w:space="0" w:color="auto"/>
            <w:bottom w:val="none" w:sz="0" w:space="0" w:color="auto"/>
            <w:right w:val="none" w:sz="0" w:space="0" w:color="auto"/>
          </w:divBdr>
        </w:div>
        <w:div w:id="982735455">
          <w:marLeft w:val="360"/>
          <w:marRight w:val="0"/>
          <w:marTop w:val="200"/>
          <w:marBottom w:val="0"/>
          <w:divBdr>
            <w:top w:val="none" w:sz="0" w:space="0" w:color="auto"/>
            <w:left w:val="none" w:sz="0" w:space="0" w:color="auto"/>
            <w:bottom w:val="none" w:sz="0" w:space="0" w:color="auto"/>
            <w:right w:val="none" w:sz="0" w:space="0" w:color="auto"/>
          </w:divBdr>
        </w:div>
      </w:divsChild>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9170459">
      <w:bodyDiv w:val="1"/>
      <w:marLeft w:val="0"/>
      <w:marRight w:val="0"/>
      <w:marTop w:val="0"/>
      <w:marBottom w:val="0"/>
      <w:divBdr>
        <w:top w:val="none" w:sz="0" w:space="0" w:color="auto"/>
        <w:left w:val="none" w:sz="0" w:space="0" w:color="auto"/>
        <w:bottom w:val="none" w:sz="0" w:space="0" w:color="auto"/>
        <w:right w:val="none" w:sz="0" w:space="0" w:color="auto"/>
      </w:divBdr>
    </w:div>
    <w:div w:id="635138174">
      <w:bodyDiv w:val="1"/>
      <w:marLeft w:val="0"/>
      <w:marRight w:val="0"/>
      <w:marTop w:val="0"/>
      <w:marBottom w:val="0"/>
      <w:divBdr>
        <w:top w:val="none" w:sz="0" w:space="0" w:color="auto"/>
        <w:left w:val="none" w:sz="0" w:space="0" w:color="auto"/>
        <w:bottom w:val="none" w:sz="0" w:space="0" w:color="auto"/>
        <w:right w:val="none" w:sz="0" w:space="0" w:color="auto"/>
      </w:divBdr>
    </w:div>
    <w:div w:id="675310296">
      <w:bodyDiv w:val="1"/>
      <w:marLeft w:val="0"/>
      <w:marRight w:val="0"/>
      <w:marTop w:val="0"/>
      <w:marBottom w:val="0"/>
      <w:divBdr>
        <w:top w:val="none" w:sz="0" w:space="0" w:color="auto"/>
        <w:left w:val="none" w:sz="0" w:space="0" w:color="auto"/>
        <w:bottom w:val="none" w:sz="0" w:space="0" w:color="auto"/>
        <w:right w:val="none" w:sz="0" w:space="0" w:color="auto"/>
      </w:divBdr>
      <w:divsChild>
        <w:div w:id="1687167868">
          <w:marLeft w:val="360"/>
          <w:marRight w:val="0"/>
          <w:marTop w:val="0"/>
          <w:marBottom w:val="0"/>
          <w:divBdr>
            <w:top w:val="none" w:sz="0" w:space="0" w:color="auto"/>
            <w:left w:val="none" w:sz="0" w:space="0" w:color="auto"/>
            <w:bottom w:val="none" w:sz="0" w:space="0" w:color="auto"/>
            <w:right w:val="none" w:sz="0" w:space="0" w:color="auto"/>
          </w:divBdr>
        </w:div>
        <w:div w:id="1265457493">
          <w:marLeft w:val="1080"/>
          <w:marRight w:val="0"/>
          <w:marTop w:val="0"/>
          <w:marBottom w:val="0"/>
          <w:divBdr>
            <w:top w:val="none" w:sz="0" w:space="0" w:color="auto"/>
            <w:left w:val="none" w:sz="0" w:space="0" w:color="auto"/>
            <w:bottom w:val="none" w:sz="0" w:space="0" w:color="auto"/>
            <w:right w:val="none" w:sz="0" w:space="0" w:color="auto"/>
          </w:divBdr>
        </w:div>
        <w:div w:id="1178423228">
          <w:marLeft w:val="1800"/>
          <w:marRight w:val="0"/>
          <w:marTop w:val="0"/>
          <w:marBottom w:val="0"/>
          <w:divBdr>
            <w:top w:val="none" w:sz="0" w:space="0" w:color="auto"/>
            <w:left w:val="none" w:sz="0" w:space="0" w:color="auto"/>
            <w:bottom w:val="none" w:sz="0" w:space="0" w:color="auto"/>
            <w:right w:val="none" w:sz="0" w:space="0" w:color="auto"/>
          </w:divBdr>
        </w:div>
        <w:div w:id="179705037">
          <w:marLeft w:val="2520"/>
          <w:marRight w:val="0"/>
          <w:marTop w:val="0"/>
          <w:marBottom w:val="0"/>
          <w:divBdr>
            <w:top w:val="none" w:sz="0" w:space="0" w:color="auto"/>
            <w:left w:val="none" w:sz="0" w:space="0" w:color="auto"/>
            <w:bottom w:val="none" w:sz="0" w:space="0" w:color="auto"/>
            <w:right w:val="none" w:sz="0" w:space="0" w:color="auto"/>
          </w:divBdr>
        </w:div>
        <w:div w:id="477382770">
          <w:marLeft w:val="2520"/>
          <w:marRight w:val="0"/>
          <w:marTop w:val="0"/>
          <w:marBottom w:val="0"/>
          <w:divBdr>
            <w:top w:val="none" w:sz="0" w:space="0" w:color="auto"/>
            <w:left w:val="none" w:sz="0" w:space="0" w:color="auto"/>
            <w:bottom w:val="none" w:sz="0" w:space="0" w:color="auto"/>
            <w:right w:val="none" w:sz="0" w:space="0" w:color="auto"/>
          </w:divBdr>
        </w:div>
        <w:div w:id="654142351">
          <w:marLeft w:val="1800"/>
          <w:marRight w:val="0"/>
          <w:marTop w:val="0"/>
          <w:marBottom w:val="0"/>
          <w:divBdr>
            <w:top w:val="none" w:sz="0" w:space="0" w:color="auto"/>
            <w:left w:val="none" w:sz="0" w:space="0" w:color="auto"/>
            <w:bottom w:val="none" w:sz="0" w:space="0" w:color="auto"/>
            <w:right w:val="none" w:sz="0" w:space="0" w:color="auto"/>
          </w:divBdr>
        </w:div>
        <w:div w:id="18051089">
          <w:marLeft w:val="2520"/>
          <w:marRight w:val="0"/>
          <w:marTop w:val="0"/>
          <w:marBottom w:val="0"/>
          <w:divBdr>
            <w:top w:val="none" w:sz="0" w:space="0" w:color="auto"/>
            <w:left w:val="none" w:sz="0" w:space="0" w:color="auto"/>
            <w:bottom w:val="none" w:sz="0" w:space="0" w:color="auto"/>
            <w:right w:val="none" w:sz="0" w:space="0" w:color="auto"/>
          </w:divBdr>
        </w:div>
        <w:div w:id="345985517">
          <w:marLeft w:val="2520"/>
          <w:marRight w:val="0"/>
          <w:marTop w:val="0"/>
          <w:marBottom w:val="0"/>
          <w:divBdr>
            <w:top w:val="none" w:sz="0" w:space="0" w:color="auto"/>
            <w:left w:val="none" w:sz="0" w:space="0" w:color="auto"/>
            <w:bottom w:val="none" w:sz="0" w:space="0" w:color="auto"/>
            <w:right w:val="none" w:sz="0" w:space="0" w:color="auto"/>
          </w:divBdr>
        </w:div>
        <w:div w:id="1925256525">
          <w:marLeft w:val="360"/>
          <w:marRight w:val="0"/>
          <w:marTop w:val="0"/>
          <w:marBottom w:val="0"/>
          <w:divBdr>
            <w:top w:val="none" w:sz="0" w:space="0" w:color="auto"/>
            <w:left w:val="none" w:sz="0" w:space="0" w:color="auto"/>
            <w:bottom w:val="none" w:sz="0" w:space="0" w:color="auto"/>
            <w:right w:val="none" w:sz="0" w:space="0" w:color="auto"/>
          </w:divBdr>
        </w:div>
        <w:div w:id="1730805926">
          <w:marLeft w:val="1440"/>
          <w:marRight w:val="0"/>
          <w:marTop w:val="0"/>
          <w:marBottom w:val="0"/>
          <w:divBdr>
            <w:top w:val="none" w:sz="0" w:space="0" w:color="auto"/>
            <w:left w:val="none" w:sz="0" w:space="0" w:color="auto"/>
            <w:bottom w:val="none" w:sz="0" w:space="0" w:color="auto"/>
            <w:right w:val="none" w:sz="0" w:space="0" w:color="auto"/>
          </w:divBdr>
        </w:div>
        <w:div w:id="464005819">
          <w:marLeft w:val="1440"/>
          <w:marRight w:val="0"/>
          <w:marTop w:val="0"/>
          <w:marBottom w:val="0"/>
          <w:divBdr>
            <w:top w:val="none" w:sz="0" w:space="0" w:color="auto"/>
            <w:left w:val="none" w:sz="0" w:space="0" w:color="auto"/>
            <w:bottom w:val="none" w:sz="0" w:space="0" w:color="auto"/>
            <w:right w:val="none" w:sz="0" w:space="0" w:color="auto"/>
          </w:divBdr>
        </w:div>
        <w:div w:id="105463446">
          <w:marLeft w:val="1800"/>
          <w:marRight w:val="0"/>
          <w:marTop w:val="0"/>
          <w:marBottom w:val="0"/>
          <w:divBdr>
            <w:top w:val="none" w:sz="0" w:space="0" w:color="auto"/>
            <w:left w:val="none" w:sz="0" w:space="0" w:color="auto"/>
            <w:bottom w:val="none" w:sz="0" w:space="0" w:color="auto"/>
            <w:right w:val="none" w:sz="0" w:space="0" w:color="auto"/>
          </w:divBdr>
        </w:div>
        <w:div w:id="567231240">
          <w:marLeft w:val="1440"/>
          <w:marRight w:val="0"/>
          <w:marTop w:val="0"/>
          <w:marBottom w:val="0"/>
          <w:divBdr>
            <w:top w:val="none" w:sz="0" w:space="0" w:color="auto"/>
            <w:left w:val="none" w:sz="0" w:space="0" w:color="auto"/>
            <w:bottom w:val="none" w:sz="0" w:space="0" w:color="auto"/>
            <w:right w:val="none" w:sz="0" w:space="0" w:color="auto"/>
          </w:divBdr>
        </w:div>
        <w:div w:id="1604260194">
          <w:marLeft w:val="1800"/>
          <w:marRight w:val="0"/>
          <w:marTop w:val="0"/>
          <w:marBottom w:val="0"/>
          <w:divBdr>
            <w:top w:val="none" w:sz="0" w:space="0" w:color="auto"/>
            <w:left w:val="none" w:sz="0" w:space="0" w:color="auto"/>
            <w:bottom w:val="none" w:sz="0" w:space="0" w:color="auto"/>
            <w:right w:val="none" w:sz="0" w:space="0" w:color="auto"/>
          </w:divBdr>
        </w:div>
        <w:div w:id="909384497">
          <w:marLeft w:val="360"/>
          <w:marRight w:val="0"/>
          <w:marTop w:val="0"/>
          <w:marBottom w:val="0"/>
          <w:divBdr>
            <w:top w:val="none" w:sz="0" w:space="0" w:color="auto"/>
            <w:left w:val="none" w:sz="0" w:space="0" w:color="auto"/>
            <w:bottom w:val="none" w:sz="0" w:space="0" w:color="auto"/>
            <w:right w:val="none" w:sz="0" w:space="0" w:color="auto"/>
          </w:divBdr>
        </w:div>
      </w:divsChild>
    </w:div>
    <w:div w:id="686062148">
      <w:bodyDiv w:val="1"/>
      <w:marLeft w:val="0"/>
      <w:marRight w:val="0"/>
      <w:marTop w:val="0"/>
      <w:marBottom w:val="0"/>
      <w:divBdr>
        <w:top w:val="none" w:sz="0" w:space="0" w:color="auto"/>
        <w:left w:val="none" w:sz="0" w:space="0" w:color="auto"/>
        <w:bottom w:val="none" w:sz="0" w:space="0" w:color="auto"/>
        <w:right w:val="none" w:sz="0" w:space="0" w:color="auto"/>
      </w:divBdr>
    </w:div>
    <w:div w:id="725832901">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65604187">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33438626">
      <w:bodyDiv w:val="1"/>
      <w:marLeft w:val="0"/>
      <w:marRight w:val="0"/>
      <w:marTop w:val="0"/>
      <w:marBottom w:val="0"/>
      <w:divBdr>
        <w:top w:val="none" w:sz="0" w:space="0" w:color="auto"/>
        <w:left w:val="none" w:sz="0" w:space="0" w:color="auto"/>
        <w:bottom w:val="none" w:sz="0" w:space="0" w:color="auto"/>
        <w:right w:val="none" w:sz="0" w:space="0" w:color="auto"/>
      </w:divBdr>
    </w:div>
    <w:div w:id="952979608">
      <w:bodyDiv w:val="1"/>
      <w:marLeft w:val="0"/>
      <w:marRight w:val="0"/>
      <w:marTop w:val="0"/>
      <w:marBottom w:val="0"/>
      <w:divBdr>
        <w:top w:val="none" w:sz="0" w:space="0" w:color="auto"/>
        <w:left w:val="none" w:sz="0" w:space="0" w:color="auto"/>
        <w:bottom w:val="none" w:sz="0" w:space="0" w:color="auto"/>
        <w:right w:val="none" w:sz="0" w:space="0" w:color="auto"/>
      </w:divBdr>
      <w:divsChild>
        <w:div w:id="1130898671">
          <w:marLeft w:val="446"/>
          <w:marRight w:val="0"/>
          <w:marTop w:val="0"/>
          <w:marBottom w:val="0"/>
          <w:divBdr>
            <w:top w:val="none" w:sz="0" w:space="0" w:color="auto"/>
            <w:left w:val="none" w:sz="0" w:space="0" w:color="auto"/>
            <w:bottom w:val="none" w:sz="0" w:space="0" w:color="auto"/>
            <w:right w:val="none" w:sz="0" w:space="0" w:color="auto"/>
          </w:divBdr>
        </w:div>
        <w:div w:id="2007777791">
          <w:marLeft w:val="446"/>
          <w:marRight w:val="0"/>
          <w:marTop w:val="0"/>
          <w:marBottom w:val="0"/>
          <w:divBdr>
            <w:top w:val="none" w:sz="0" w:space="0" w:color="auto"/>
            <w:left w:val="none" w:sz="0" w:space="0" w:color="auto"/>
            <w:bottom w:val="none" w:sz="0" w:space="0" w:color="auto"/>
            <w:right w:val="none" w:sz="0" w:space="0" w:color="auto"/>
          </w:divBdr>
        </w:div>
        <w:div w:id="622612617">
          <w:marLeft w:val="1166"/>
          <w:marRight w:val="0"/>
          <w:marTop w:val="0"/>
          <w:marBottom w:val="0"/>
          <w:divBdr>
            <w:top w:val="none" w:sz="0" w:space="0" w:color="auto"/>
            <w:left w:val="none" w:sz="0" w:space="0" w:color="auto"/>
            <w:bottom w:val="none" w:sz="0" w:space="0" w:color="auto"/>
            <w:right w:val="none" w:sz="0" w:space="0" w:color="auto"/>
          </w:divBdr>
        </w:div>
        <w:div w:id="1991903614">
          <w:marLeft w:val="1166"/>
          <w:marRight w:val="0"/>
          <w:marTop w:val="0"/>
          <w:marBottom w:val="0"/>
          <w:divBdr>
            <w:top w:val="none" w:sz="0" w:space="0" w:color="auto"/>
            <w:left w:val="none" w:sz="0" w:space="0" w:color="auto"/>
            <w:bottom w:val="none" w:sz="0" w:space="0" w:color="auto"/>
            <w:right w:val="none" w:sz="0" w:space="0" w:color="auto"/>
          </w:divBdr>
        </w:div>
      </w:divsChild>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8653862">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485586277">
      <w:bodyDiv w:val="1"/>
      <w:marLeft w:val="0"/>
      <w:marRight w:val="0"/>
      <w:marTop w:val="0"/>
      <w:marBottom w:val="0"/>
      <w:divBdr>
        <w:top w:val="none" w:sz="0" w:space="0" w:color="auto"/>
        <w:left w:val="none" w:sz="0" w:space="0" w:color="auto"/>
        <w:bottom w:val="none" w:sz="0" w:space="0" w:color="auto"/>
        <w:right w:val="none" w:sz="0" w:space="0" w:color="auto"/>
      </w:divBdr>
    </w:div>
    <w:div w:id="1548760839">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5814494">
      <w:bodyDiv w:val="1"/>
      <w:marLeft w:val="0"/>
      <w:marRight w:val="0"/>
      <w:marTop w:val="0"/>
      <w:marBottom w:val="0"/>
      <w:divBdr>
        <w:top w:val="none" w:sz="0" w:space="0" w:color="auto"/>
        <w:left w:val="none" w:sz="0" w:space="0" w:color="auto"/>
        <w:bottom w:val="none" w:sz="0" w:space="0" w:color="auto"/>
        <w:right w:val="none" w:sz="0" w:space="0" w:color="auto"/>
      </w:divBdr>
    </w:div>
    <w:div w:id="1965844832">
      <w:bodyDiv w:val="1"/>
      <w:marLeft w:val="0"/>
      <w:marRight w:val="0"/>
      <w:marTop w:val="0"/>
      <w:marBottom w:val="0"/>
      <w:divBdr>
        <w:top w:val="none" w:sz="0" w:space="0" w:color="auto"/>
        <w:left w:val="none" w:sz="0" w:space="0" w:color="auto"/>
        <w:bottom w:val="none" w:sz="0" w:space="0" w:color="auto"/>
        <w:right w:val="none" w:sz="0" w:space="0" w:color="auto"/>
      </w:divBdr>
    </w:div>
    <w:div w:id="1985353356">
      <w:bodyDiv w:val="1"/>
      <w:marLeft w:val="0"/>
      <w:marRight w:val="0"/>
      <w:marTop w:val="0"/>
      <w:marBottom w:val="0"/>
      <w:divBdr>
        <w:top w:val="none" w:sz="0" w:space="0" w:color="auto"/>
        <w:left w:val="none" w:sz="0" w:space="0" w:color="auto"/>
        <w:bottom w:val="none" w:sz="0" w:space="0" w:color="auto"/>
        <w:right w:val="none" w:sz="0" w:space="0" w:color="auto"/>
      </w:divBdr>
    </w:div>
    <w:div w:id="2104380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F3759961-D183-409F-9EC8-8E09CC38A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6</Pages>
  <Words>3025</Words>
  <Characters>17246</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20231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Weimin Xiao</cp:lastModifiedBy>
  <cp:revision>12</cp:revision>
  <cp:lastPrinted>2007-06-18T23:08:00Z</cp:lastPrinted>
  <dcterms:created xsi:type="dcterms:W3CDTF">2021-04-06T20:32:00Z</dcterms:created>
  <dcterms:modified xsi:type="dcterms:W3CDTF">2021-04-06T22:06:00Z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