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5E1E01A4"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42212C">
        <w:rPr>
          <w:b/>
          <w:kern w:val="2"/>
          <w:lang w:eastAsia="zh-CN"/>
        </w:rPr>
        <w:t>4</w:t>
      </w:r>
      <w:r w:rsidR="00120CF9">
        <w:rPr>
          <w:b/>
          <w:kern w:val="2"/>
          <w:lang w:eastAsia="zh-CN"/>
        </w:rPr>
        <w:t>bis</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4C582C" w:rsidRPr="004C582C">
        <w:rPr>
          <w:b/>
          <w:kern w:val="2"/>
          <w:lang w:eastAsia="zh-CN"/>
        </w:rPr>
        <w:t>R1-2102356</w:t>
      </w:r>
    </w:p>
    <w:p w14:paraId="2BBD894B" w14:textId="28D7D354"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085E28">
        <w:rPr>
          <w:b/>
          <w:kern w:val="2"/>
          <w:lang w:eastAsia="zh-CN"/>
        </w:rPr>
        <w:t>April</w:t>
      </w:r>
      <w:r w:rsidR="00085E28" w:rsidRPr="004B208B">
        <w:rPr>
          <w:b/>
          <w:kern w:val="2"/>
          <w:lang w:eastAsia="zh-CN"/>
        </w:rPr>
        <w:t xml:space="preserve"> </w:t>
      </w:r>
      <w:r w:rsidR="00085E28">
        <w:rPr>
          <w:b/>
          <w:kern w:val="2"/>
          <w:lang w:eastAsia="zh-CN"/>
        </w:rPr>
        <w:t>12</w:t>
      </w:r>
      <w:r w:rsidR="00085E28" w:rsidRPr="004B208B">
        <w:rPr>
          <w:b/>
          <w:kern w:val="2"/>
          <w:lang w:eastAsia="zh-CN"/>
        </w:rPr>
        <w:t xml:space="preserve"> </w:t>
      </w:r>
      <w:r w:rsidR="00793A70" w:rsidRPr="004B208B">
        <w:rPr>
          <w:b/>
          <w:kern w:val="2"/>
          <w:lang w:eastAsia="zh-CN"/>
        </w:rPr>
        <w:t>–</w:t>
      </w:r>
      <w:r w:rsidR="006058FD">
        <w:rPr>
          <w:b/>
          <w:kern w:val="2"/>
          <w:lang w:eastAsia="zh-CN"/>
        </w:rPr>
        <w:t xml:space="preserve"> </w:t>
      </w:r>
      <w:r w:rsidR="00085E28">
        <w:rPr>
          <w:b/>
          <w:kern w:val="2"/>
          <w:lang w:eastAsia="zh-CN"/>
        </w:rPr>
        <w:t>20</w:t>
      </w:r>
      <w:r w:rsidR="00793A70" w:rsidRPr="004B208B">
        <w:rPr>
          <w:b/>
          <w:kern w:val="2"/>
          <w:lang w:eastAsia="zh-CN"/>
        </w:rPr>
        <w:t>, 202</w:t>
      </w:r>
      <w:r w:rsidR="007E4C95">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0E6D78A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A74C7C">
        <w:rPr>
          <w:b/>
          <w:kern w:val="2"/>
          <w:lang w:eastAsia="zh-CN"/>
        </w:rPr>
        <w:t>3</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3046E3CF"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A74C7C" w:rsidRPr="00A74C7C">
        <w:rPr>
          <w:b/>
          <w:kern w:val="2"/>
          <w:lang w:eastAsia="zh-CN"/>
        </w:rPr>
        <w:t>Discussion on duplex operation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Heading1"/>
      </w:pPr>
      <w:bookmarkStart w:id="0" w:name="_Ref124589705"/>
      <w:bookmarkStart w:id="1" w:name="_Ref129681862"/>
      <w:r w:rsidRPr="004B208B">
        <w:t>Introduction</w:t>
      </w:r>
      <w:bookmarkEnd w:id="0"/>
      <w:bookmarkEnd w:id="1"/>
    </w:p>
    <w:p w14:paraId="7C61FB6B" w14:textId="1B8F393E"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8A35DF">
        <w:rPr>
          <w:rFonts w:eastAsia="MS Mincho"/>
          <w:lang w:eastAsia="ja-JP"/>
        </w:rPr>
        <w:t>1</w:t>
      </w:r>
      <w:r w:rsidR="00425C4F">
        <w:rPr>
          <w:rFonts w:eastAsia="MS Mincho"/>
          <w:lang w:eastAsia="ja-JP"/>
        </w:rPr>
        <w:t>#104-e</w:t>
      </w:r>
      <w:r>
        <w:rPr>
          <w:rFonts w:eastAsia="MS Mincho"/>
          <w:lang w:eastAsia="ja-JP"/>
        </w:rPr>
        <w:t xml:space="preserve"> meeting, </w:t>
      </w:r>
      <w:r w:rsidR="00977342">
        <w:rPr>
          <w:rFonts w:eastAsia="MS Mincho"/>
          <w:lang w:eastAsia="ja-JP"/>
        </w:rPr>
        <w:t xml:space="preserve">the </w:t>
      </w:r>
      <w:r w:rsidR="008A35DF" w:rsidRPr="008A35DF">
        <w:rPr>
          <w:rFonts w:eastAsia="MS Mincho"/>
          <w:lang w:eastAsia="ja-JP"/>
        </w:rPr>
        <w:t>duplex operation for RedCap</w:t>
      </w:r>
      <w:r w:rsidR="008A35DF">
        <w:rPr>
          <w:rFonts w:eastAsia="MS Mincho"/>
          <w:lang w:eastAsia="ja-JP"/>
        </w:rPr>
        <w:t xml:space="preserve"> UEs</w:t>
      </w:r>
      <w:r w:rsidR="00977342">
        <w:rPr>
          <w:rFonts w:eastAsia="MS Mincho"/>
          <w:lang w:eastAsia="ja-JP"/>
        </w:rPr>
        <w:t xml:space="preserve">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r w:rsidR="001D578B">
        <w:rPr>
          <w:rFonts w:eastAsia="MS Mincho"/>
          <w:lang w:eastAsia="ja-JP"/>
        </w:rPr>
        <w:t xml:space="preserve"> [1]</w:t>
      </w:r>
      <w:r w:rsidR="00977342" w:rsidRPr="00977342">
        <w:rPr>
          <w:rFonts w:eastAsia="MS Mincho"/>
          <w:lang w:eastAsia="ja-JP"/>
        </w:rPr>
        <w:t>:</w:t>
      </w:r>
    </w:p>
    <w:tbl>
      <w:tblPr>
        <w:tblStyle w:val="TableGrid"/>
        <w:tblW w:w="0" w:type="auto"/>
        <w:tblLook w:val="04A0" w:firstRow="1" w:lastRow="0" w:firstColumn="1" w:lastColumn="0" w:noHBand="0" w:noVBand="1"/>
      </w:tblPr>
      <w:tblGrid>
        <w:gridCol w:w="9307"/>
      </w:tblGrid>
      <w:tr w:rsidR="006768B3" w14:paraId="10832FA7" w14:textId="77777777" w:rsidTr="006768B3">
        <w:tc>
          <w:tcPr>
            <w:tcW w:w="9307" w:type="dxa"/>
          </w:tcPr>
          <w:p w14:paraId="18552F3F" w14:textId="7AFD7FF8" w:rsidR="00425C4F" w:rsidRPr="0053786C" w:rsidRDefault="00425C4F" w:rsidP="00425C4F">
            <w:pPr>
              <w:rPr>
                <w:szCs w:val="20"/>
                <w:lang w:eastAsia="x-none"/>
              </w:rPr>
            </w:pPr>
            <w:r w:rsidRPr="0053786C">
              <w:rPr>
                <w:szCs w:val="20"/>
                <w:highlight w:val="green"/>
                <w:lang w:eastAsia="x-none"/>
              </w:rPr>
              <w:t>Agreements:</w:t>
            </w:r>
          </w:p>
          <w:p w14:paraId="17023471" w14:textId="2C9DEA59" w:rsidR="00425C4F" w:rsidRPr="0053786C" w:rsidRDefault="00425C4F" w:rsidP="00F731F1">
            <w:pPr>
              <w:pStyle w:val="ListParagraph"/>
              <w:numPr>
                <w:ilvl w:val="0"/>
                <w:numId w:val="6"/>
              </w:numPr>
              <w:spacing w:after="180" w:line="252" w:lineRule="auto"/>
              <w:ind w:leftChars="0" w:left="720"/>
              <w:contextualSpacing/>
              <w:rPr>
                <w:rFonts w:ascii="Times New Roman" w:hAnsi="Times New Roman"/>
                <w:szCs w:val="20"/>
              </w:rPr>
            </w:pPr>
            <w:r w:rsidRPr="0053786C">
              <w:rPr>
                <w:rFonts w:ascii="Times New Roman" w:hAnsi="Times New Roman"/>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4AA2A180" w14:textId="5DBBB666" w:rsidR="00425C4F" w:rsidRPr="00E32D28" w:rsidRDefault="00425C4F" w:rsidP="00425C4F">
            <w:pPr>
              <w:rPr>
                <w:szCs w:val="20"/>
              </w:rPr>
            </w:pPr>
            <w:r w:rsidRPr="00E32D28">
              <w:rPr>
                <w:szCs w:val="20"/>
                <w:highlight w:val="green"/>
              </w:rPr>
              <w:t>Agreements</w:t>
            </w:r>
            <w:r w:rsidRPr="00E32D28">
              <w:rPr>
                <w:szCs w:val="20"/>
              </w:rPr>
              <w:t>:</w:t>
            </w:r>
          </w:p>
          <w:p w14:paraId="5C1A8C28" w14:textId="1BC5A540" w:rsidR="00425C4F" w:rsidRPr="00E32D28" w:rsidRDefault="00425C4F" w:rsidP="00F731F1">
            <w:pPr>
              <w:pStyle w:val="ListParagraph"/>
              <w:numPr>
                <w:ilvl w:val="0"/>
                <w:numId w:val="7"/>
              </w:numPr>
              <w:spacing w:before="40" w:after="180" w:line="252" w:lineRule="auto"/>
              <w:ind w:leftChars="0"/>
              <w:contextualSpacing/>
              <w:jc w:val="both"/>
              <w:rPr>
                <w:rFonts w:ascii="Times New Roman" w:hAnsi="Times New Roman"/>
                <w:szCs w:val="20"/>
              </w:rPr>
            </w:pPr>
            <w:r w:rsidRPr="00E32D28">
              <w:rPr>
                <w:rFonts w:ascii="Times New Roman" w:hAnsi="Times New Roman"/>
                <w:szCs w:val="20"/>
              </w:rPr>
              <w:t>(Working assumption) For HD-FDD switching time, reuse existing switching times for UE not capable of full duplex in TS 38.211, Table 4.3.2-3.</w:t>
            </w:r>
          </w:p>
          <w:p w14:paraId="017FC083" w14:textId="1DC71428" w:rsidR="00425C4F" w:rsidRPr="00E32D28" w:rsidRDefault="00425C4F" w:rsidP="00F731F1">
            <w:pPr>
              <w:pStyle w:val="ListParagraph"/>
              <w:numPr>
                <w:ilvl w:val="1"/>
                <w:numId w:val="7"/>
              </w:numPr>
              <w:spacing w:after="180" w:line="252" w:lineRule="auto"/>
              <w:ind w:leftChars="0"/>
              <w:contextualSpacing/>
              <w:rPr>
                <w:rFonts w:ascii="Times New Roman" w:hAnsi="Times New Roman"/>
                <w:szCs w:val="20"/>
              </w:rPr>
            </w:pPr>
            <w:r w:rsidRPr="00E32D28">
              <w:rPr>
                <w:rFonts w:ascii="Times New Roman" w:hAnsi="Times New Roman"/>
                <w:szCs w:val="20"/>
              </w:rPr>
              <w:t>FFS: whether to define the guard times in symbol units</w:t>
            </w:r>
          </w:p>
          <w:p w14:paraId="1D091D3C" w14:textId="020551FC" w:rsidR="00425C4F" w:rsidRPr="00E32D28" w:rsidRDefault="00425C4F" w:rsidP="00F731F1">
            <w:pPr>
              <w:pStyle w:val="ListParagraph"/>
              <w:numPr>
                <w:ilvl w:val="1"/>
                <w:numId w:val="7"/>
              </w:numPr>
              <w:spacing w:before="40"/>
              <w:ind w:leftChars="0"/>
              <w:contextualSpacing/>
              <w:jc w:val="both"/>
              <w:rPr>
                <w:rFonts w:ascii="Times New Roman" w:hAnsi="Times New Roman"/>
                <w:szCs w:val="20"/>
              </w:rPr>
            </w:pPr>
            <w:r w:rsidRPr="00E32D28">
              <w:rPr>
                <w:rFonts w:ascii="Times New Roman" w:hAnsi="Times New Roman"/>
                <w:szCs w:val="20"/>
              </w:rPr>
              <w:t>FFS: the switching positions</w:t>
            </w:r>
          </w:p>
          <w:p w14:paraId="01B350C2" w14:textId="6AA21BE3" w:rsidR="00425C4F" w:rsidRPr="00E32D28" w:rsidRDefault="00425C4F" w:rsidP="00F731F1">
            <w:pPr>
              <w:pStyle w:val="ListParagraph"/>
              <w:numPr>
                <w:ilvl w:val="0"/>
                <w:numId w:val="7"/>
              </w:numPr>
              <w:spacing w:before="40"/>
              <w:ind w:leftChars="0"/>
              <w:contextualSpacing/>
              <w:jc w:val="both"/>
              <w:rPr>
                <w:rFonts w:ascii="Times New Roman" w:hAnsi="Times New Roman"/>
                <w:szCs w:val="20"/>
              </w:rPr>
            </w:pPr>
            <w:r w:rsidRPr="00E32D28">
              <w:rPr>
                <w:rFonts w:ascii="Times New Roman" w:hAnsi="Times New Roman"/>
                <w:szCs w:val="20"/>
              </w:rPr>
              <w:t xml:space="preserve">Sending an LS to RAN4 to inform the above working assumption, and to ask for feedback if any </w:t>
            </w:r>
          </w:p>
          <w:p w14:paraId="6E32BE60" w14:textId="0181FEE0" w:rsidR="00425C4F" w:rsidRPr="00425C4F" w:rsidRDefault="00425C4F" w:rsidP="00F731F1">
            <w:pPr>
              <w:pStyle w:val="ListParagraph"/>
              <w:numPr>
                <w:ilvl w:val="1"/>
                <w:numId w:val="7"/>
              </w:numPr>
              <w:spacing w:before="40"/>
              <w:ind w:leftChars="0"/>
              <w:contextualSpacing/>
              <w:jc w:val="both"/>
              <w:rPr>
                <w:rFonts w:ascii="Times New Roman" w:hAnsi="Times New Roman"/>
                <w:szCs w:val="20"/>
              </w:rPr>
            </w:pPr>
            <w:r w:rsidRPr="00E32D28">
              <w:rPr>
                <w:rFonts w:ascii="Times New Roman" w:hAnsi="Times New Roman"/>
                <w:szCs w:val="20"/>
              </w:rPr>
              <w:t>The LS will not include the two FFS bullets</w:t>
            </w:r>
          </w:p>
          <w:p w14:paraId="18B8E879" w14:textId="06D214B4" w:rsidR="00425C4F" w:rsidRPr="00B77987" w:rsidRDefault="00425C4F" w:rsidP="00425C4F">
            <w:pPr>
              <w:rPr>
                <w:lang w:val="sv-SE"/>
              </w:rPr>
            </w:pPr>
            <w:r w:rsidRPr="00B77987">
              <w:rPr>
                <w:highlight w:val="green"/>
                <w:lang w:val="sv-SE"/>
              </w:rPr>
              <w:t>Agreements:</w:t>
            </w:r>
          </w:p>
          <w:p w14:paraId="08BB2993" w14:textId="7B97A2C0" w:rsidR="00425C4F" w:rsidRPr="00ED62C1" w:rsidRDefault="00425C4F" w:rsidP="00F731F1">
            <w:pPr>
              <w:pStyle w:val="ListParagraph"/>
              <w:numPr>
                <w:ilvl w:val="0"/>
                <w:numId w:val="7"/>
              </w:numPr>
              <w:spacing w:after="180" w:line="252" w:lineRule="auto"/>
              <w:ind w:leftChars="0"/>
              <w:contextualSpacing/>
              <w:rPr>
                <w:rFonts w:ascii="Times New Roman" w:hAnsi="Times New Roman"/>
                <w:color w:val="000000" w:themeColor="text1"/>
                <w:szCs w:val="20"/>
                <w:lang w:val="en-US"/>
              </w:rPr>
            </w:pPr>
            <w:r w:rsidRPr="00ED62C1">
              <w:rPr>
                <w:rFonts w:ascii="Times New Roman" w:hAnsi="Times New Roman"/>
                <w:color w:val="000000" w:themeColor="text1"/>
              </w:rPr>
              <w:t>For HD-FDD operation for RedCap UEs,</w:t>
            </w:r>
            <w:r w:rsidRPr="00ED62C1">
              <w:rPr>
                <w:rFonts w:ascii="Times New Roman" w:hAnsi="Times New Roman"/>
                <w:strike/>
                <w:color w:val="000000" w:themeColor="text1"/>
              </w:rPr>
              <w:t xml:space="preserve"> consider at least the following DL/UL collision cases </w:t>
            </w:r>
            <w:r w:rsidRPr="00ED62C1">
              <w:rPr>
                <w:rFonts w:ascii="Times New Roman" w:hAnsi="Times New Roman"/>
                <w:color w:val="000000" w:themeColor="text1"/>
              </w:rPr>
              <w:t>collisions may be addressed or alleviated with proper scheduling. The following cases of potential collisions can be further studied to see if any change to the current specs is necessary:</w:t>
            </w:r>
          </w:p>
          <w:p w14:paraId="0F36A80C" w14:textId="042AC916"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1: Dynamically scheduled DL reception vs. semi-statically configured UL transmission</w:t>
            </w:r>
          </w:p>
          <w:p w14:paraId="3ED99E50" w14:textId="78434BB1" w:rsidR="00425C4F" w:rsidRPr="00ED62C1" w:rsidRDefault="00425C4F" w:rsidP="00F731F1">
            <w:pPr>
              <w:pStyle w:val="ListParagraph"/>
              <w:numPr>
                <w:ilvl w:val="2"/>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e.g., dynamic PDSCH or CSI-RS collides with configured SRS, PUCCH, or CG PUSCH</w:t>
            </w:r>
            <w:r w:rsidRPr="00ED62C1">
              <w:rPr>
                <w:rFonts w:ascii="Times New Roman" w:hAnsi="Times New Roman"/>
                <w:strike/>
                <w:color w:val="000000" w:themeColor="text1"/>
              </w:rPr>
              <w:t>, or RO</w:t>
            </w:r>
          </w:p>
          <w:p w14:paraId="3D9B479E" w14:textId="3919177D"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2: Semi-statically configured DL reception vs. dynamically scheduled UL transmission</w:t>
            </w:r>
          </w:p>
          <w:p w14:paraId="0917491A" w14:textId="2B0AC586" w:rsidR="00425C4F" w:rsidRPr="00ED62C1" w:rsidRDefault="00425C4F" w:rsidP="00F731F1">
            <w:pPr>
              <w:pStyle w:val="ListParagraph"/>
              <w:numPr>
                <w:ilvl w:val="2"/>
                <w:numId w:val="7"/>
              </w:numPr>
              <w:spacing w:after="180" w:line="252" w:lineRule="auto"/>
              <w:ind w:leftChars="0"/>
              <w:contextualSpacing/>
              <w:rPr>
                <w:rFonts w:ascii="Times New Roman" w:hAnsi="Times New Roman"/>
                <w:color w:val="000000" w:themeColor="text1"/>
                <w:lang w:val="en-US"/>
              </w:rPr>
            </w:pPr>
            <w:r w:rsidRPr="00ED62C1">
              <w:rPr>
                <w:rFonts w:ascii="Times New Roman" w:hAnsi="Times New Roman"/>
                <w:color w:val="000000" w:themeColor="text1"/>
              </w:rPr>
              <w:t>e.g., PDCCH or SPS PDSCH collides with dynamic PUSCH or PUCCH</w:t>
            </w:r>
          </w:p>
          <w:p w14:paraId="5D5C0F9C" w14:textId="1298EB45"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 xml:space="preserve">Case 3: Semi-statically configured DL reception vs. semi-statically configured UL transmission  </w:t>
            </w:r>
          </w:p>
          <w:p w14:paraId="2FCFB11C" w14:textId="10BD15AB"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4: Dynamically scheduled DL reception vs. dynamic scheduled UL transmission</w:t>
            </w:r>
          </w:p>
          <w:p w14:paraId="4DCA460E" w14:textId="106C825A"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5: Configured SSB vs. dynamically scheduled or configured UL transmission</w:t>
            </w:r>
          </w:p>
          <w:p w14:paraId="63EE5A7B" w14:textId="573EBC02" w:rsidR="00425C4F" w:rsidRPr="00ED62C1" w:rsidRDefault="00425C4F" w:rsidP="00F731F1">
            <w:pPr>
              <w:pStyle w:val="ListParagraph"/>
              <w:numPr>
                <w:ilvl w:val="2"/>
                <w:numId w:val="7"/>
              </w:numPr>
              <w:spacing w:after="180" w:line="252" w:lineRule="auto"/>
              <w:ind w:leftChars="0"/>
              <w:contextualSpacing/>
              <w:rPr>
                <w:rFonts w:ascii="Times New Roman" w:hAnsi="Times New Roman"/>
                <w:color w:val="000000" w:themeColor="text1"/>
                <w:lang w:val="sv-SE"/>
              </w:rPr>
            </w:pPr>
            <w:r w:rsidRPr="00ED62C1">
              <w:rPr>
                <w:rFonts w:ascii="Times New Roman" w:hAnsi="Times New Roman"/>
                <w:color w:val="000000" w:themeColor="text1"/>
                <w:lang w:val="sv-SE"/>
              </w:rPr>
              <w:t>e.g., PUSCH, PUCCH, PRACH, SRS</w:t>
            </w:r>
          </w:p>
          <w:p w14:paraId="4A1200E4" w14:textId="778C96FE" w:rsidR="00425C4F" w:rsidRPr="00ED62C1" w:rsidRDefault="00425C4F" w:rsidP="00F731F1">
            <w:pPr>
              <w:pStyle w:val="ListParagraph"/>
              <w:numPr>
                <w:ilvl w:val="1"/>
                <w:numId w:val="7"/>
              </w:numPr>
              <w:spacing w:after="180" w:line="252" w:lineRule="auto"/>
              <w:ind w:leftChars="0"/>
              <w:contextualSpacing/>
              <w:rPr>
                <w:rFonts w:ascii="Times New Roman" w:hAnsi="Times New Roman"/>
                <w:strike/>
                <w:color w:val="000000" w:themeColor="text1"/>
                <w:lang w:val="en-US"/>
              </w:rPr>
            </w:pPr>
            <w:r w:rsidRPr="00ED62C1">
              <w:rPr>
                <w:rFonts w:ascii="Times New Roman" w:hAnsi="Times New Roman"/>
                <w:strike/>
                <w:color w:val="000000" w:themeColor="text1"/>
              </w:rPr>
              <w:t>Case 6: Monitoring for UL cancellation indication (if supported) while transmitting in UL</w:t>
            </w:r>
          </w:p>
          <w:p w14:paraId="2FB90D5C" w14:textId="3134F93C" w:rsidR="00425C4F" w:rsidRPr="00ED62C1" w:rsidRDefault="00425C4F" w:rsidP="00F731F1">
            <w:pPr>
              <w:pStyle w:val="ListParagraph"/>
              <w:numPr>
                <w:ilvl w:val="1"/>
                <w:numId w:val="7"/>
              </w:numPr>
              <w:spacing w:after="180" w:line="252" w:lineRule="auto"/>
              <w:ind w:leftChars="0"/>
              <w:contextualSpacing/>
              <w:rPr>
                <w:rFonts w:ascii="Times New Roman" w:hAnsi="Times New Roman"/>
                <w:strike/>
                <w:color w:val="000000" w:themeColor="text1"/>
              </w:rPr>
            </w:pPr>
            <w:r w:rsidRPr="00ED62C1">
              <w:rPr>
                <w:rFonts w:ascii="Times New Roman" w:hAnsi="Times New Roman"/>
                <w:strike/>
                <w:color w:val="000000" w:themeColor="text1"/>
              </w:rPr>
              <w:t>Case 7: Collision due to BWP switching (if supported)</w:t>
            </w:r>
          </w:p>
          <w:p w14:paraId="694256CA" w14:textId="318847A2" w:rsidR="00425C4F" w:rsidRPr="00ED62C1" w:rsidRDefault="00425C4F" w:rsidP="00F731F1">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8: Dynamic or semi-static DL vs. valid RO</w:t>
            </w:r>
          </w:p>
          <w:p w14:paraId="1039B28B" w14:textId="3C0297F4" w:rsidR="00425C4F" w:rsidRPr="00A74C7C" w:rsidRDefault="00425C4F" w:rsidP="00A74C7C">
            <w:pPr>
              <w:pStyle w:val="ListParagraph"/>
              <w:numPr>
                <w:ilvl w:val="1"/>
                <w:numId w:val="7"/>
              </w:numPr>
              <w:spacing w:after="180" w:line="252" w:lineRule="auto"/>
              <w:ind w:leftChars="0"/>
              <w:contextualSpacing/>
              <w:rPr>
                <w:rFonts w:ascii="Times New Roman" w:hAnsi="Times New Roman"/>
                <w:color w:val="000000" w:themeColor="text1"/>
              </w:rPr>
            </w:pPr>
            <w:r w:rsidRPr="00ED62C1">
              <w:rPr>
                <w:rFonts w:ascii="Times New Roman" w:hAnsi="Times New Roman"/>
                <w:color w:val="000000" w:themeColor="text1"/>
              </w:rPr>
              <w:t>Case 9: Collision due to direction switching</w:t>
            </w:r>
          </w:p>
        </w:tc>
      </w:tr>
    </w:tbl>
    <w:p w14:paraId="1F3E5353" w14:textId="0E450D0A" w:rsidR="00540D62" w:rsidRDefault="006768B3" w:rsidP="00267E4A">
      <w:pPr>
        <w:rPr>
          <w:rFonts w:eastAsia="MS Mincho"/>
          <w:lang w:eastAsia="ja-JP"/>
        </w:rPr>
      </w:pPr>
      <w:r>
        <w:rPr>
          <w:rFonts w:eastAsiaTheme="minorEastAsia" w:hint="eastAsia"/>
          <w:lang w:eastAsia="zh-CN"/>
        </w:rPr>
        <w:t>I</w:t>
      </w:r>
      <w:r>
        <w:rPr>
          <w:rFonts w:eastAsiaTheme="minorEastAsia"/>
          <w:lang w:eastAsia="zh-CN"/>
        </w:rPr>
        <w:t xml:space="preserve">n this contribution, the </w:t>
      </w:r>
      <w:r w:rsidR="00541211">
        <w:rPr>
          <w:rFonts w:eastAsiaTheme="minorEastAsia"/>
          <w:lang w:eastAsia="zh-CN"/>
        </w:rPr>
        <w:t xml:space="preserve">potential solutions </w:t>
      </w:r>
      <w:r w:rsidR="008A35DF">
        <w:rPr>
          <w:rFonts w:eastAsiaTheme="minorEastAsia"/>
          <w:lang w:eastAsia="zh-CN"/>
        </w:rPr>
        <w:t xml:space="preserve">related </w:t>
      </w:r>
      <w:r w:rsidR="00541211">
        <w:rPr>
          <w:rFonts w:eastAsiaTheme="minorEastAsia"/>
          <w:lang w:eastAsia="zh-CN"/>
        </w:rPr>
        <w:t xml:space="preserve">to </w:t>
      </w:r>
      <w:r w:rsidR="008A35DF" w:rsidRPr="008A35DF">
        <w:rPr>
          <w:rFonts w:eastAsiaTheme="minorEastAsia"/>
          <w:lang w:eastAsia="zh-CN"/>
        </w:rPr>
        <w:t>duplex operation</w:t>
      </w:r>
      <w:r>
        <w:rPr>
          <w:rFonts w:eastAsiaTheme="minorEastAsia"/>
          <w:lang w:eastAsia="zh-CN"/>
        </w:rPr>
        <w:t xml:space="preserve"> are analyzed, focusing on </w:t>
      </w:r>
      <w:r w:rsidR="008A35DF">
        <w:rPr>
          <w:rFonts w:eastAsiaTheme="minorEastAsia"/>
          <w:lang w:eastAsia="zh-CN"/>
        </w:rPr>
        <w:t>the</w:t>
      </w:r>
      <w:r w:rsidR="00541211">
        <w:rPr>
          <w:lang w:eastAsia="ja-JP"/>
        </w:rPr>
        <w:t xml:space="preserve"> </w:t>
      </w:r>
      <w:r w:rsidR="004C582C" w:rsidRPr="004C582C">
        <w:rPr>
          <w:lang w:eastAsia="ja-JP"/>
        </w:rPr>
        <w:t xml:space="preserve">HD-FDD </w:t>
      </w:r>
      <w:r w:rsidR="003B110C">
        <w:rPr>
          <w:lang w:eastAsia="ja-JP"/>
        </w:rPr>
        <w:t>switch time,</w:t>
      </w:r>
      <w:r w:rsidR="003B110C" w:rsidRPr="004C582C">
        <w:rPr>
          <w:lang w:eastAsia="ja-JP"/>
        </w:rPr>
        <w:t xml:space="preserve"> </w:t>
      </w:r>
      <w:r w:rsidR="004C582C" w:rsidRPr="004C582C">
        <w:rPr>
          <w:lang w:eastAsia="ja-JP"/>
        </w:rPr>
        <w:t>capability signaling</w:t>
      </w:r>
      <w:r w:rsidR="003B110C">
        <w:rPr>
          <w:lang w:eastAsia="ja-JP"/>
        </w:rPr>
        <w:t xml:space="preserve">, </w:t>
      </w:r>
      <w:r w:rsidR="004C582C">
        <w:rPr>
          <w:lang w:eastAsia="ja-JP"/>
        </w:rPr>
        <w:t>and the collision handling</w:t>
      </w:r>
      <w:r w:rsidR="00541211">
        <w:rPr>
          <w:lang w:eastAsia="ja-JP"/>
        </w:rPr>
        <w:t>.</w:t>
      </w:r>
      <w:r w:rsidRPr="004B208B">
        <w:rPr>
          <w:rFonts w:eastAsia="MS Mincho"/>
          <w:lang w:eastAsia="ja-JP"/>
        </w:rPr>
        <w:t xml:space="preserve"> </w:t>
      </w:r>
    </w:p>
    <w:p w14:paraId="639D42AC" w14:textId="29557773" w:rsidR="00ED62C1" w:rsidRPr="00B97904" w:rsidRDefault="008C541E" w:rsidP="008C541E">
      <w:pPr>
        <w:pStyle w:val="Heading1"/>
      </w:pPr>
      <w:bookmarkStart w:id="2" w:name="OLE_LINK72"/>
      <w:r>
        <w:t>On the</w:t>
      </w:r>
      <w:r w:rsidR="003B110C" w:rsidRPr="003B110C">
        <w:t xml:space="preserve"> </w:t>
      </w:r>
      <w:r w:rsidR="003B110C" w:rsidRPr="00896A10">
        <w:t>switch time and</w:t>
      </w:r>
      <w:r w:rsidR="003B110C" w:rsidRPr="003B110C">
        <w:t xml:space="preserve"> </w:t>
      </w:r>
      <w:r w:rsidR="003B110C" w:rsidRPr="008C541E">
        <w:t xml:space="preserve">HD-FDD </w:t>
      </w:r>
      <w:r w:rsidRPr="008C541E">
        <w:t>capability signaling</w:t>
      </w:r>
      <w:r w:rsidR="00ED62C1">
        <w:rPr>
          <w:lang w:eastAsia="zh-CN"/>
        </w:rPr>
        <w:t xml:space="preserve"> </w:t>
      </w:r>
    </w:p>
    <w:bookmarkEnd w:id="2"/>
    <w:p w14:paraId="77878BAA" w14:textId="34666C51" w:rsidR="003B110C" w:rsidRDefault="003B110C" w:rsidP="003B110C">
      <w:r>
        <w:t xml:space="preserve">The NR specification has defined a guard time for the </w:t>
      </w:r>
      <w:r w:rsidRPr="00445C3A">
        <w:t>UE not capable of full-duplex communication</w:t>
      </w:r>
      <w:r>
        <w:t>.</w:t>
      </w:r>
      <w:r w:rsidRPr="00445C3A">
        <w:t xml:space="preserve"> </w:t>
      </w:r>
      <w:r>
        <w:t>The</w:t>
      </w:r>
      <w:r w:rsidRPr="00D0314F">
        <w:t xml:space="preserve">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w:t>
      </w:r>
      <w:r>
        <w:t>, and</w:t>
      </w:r>
      <w:r w:rsidRPr="00D0314F">
        <w:t xml:space="preserve">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w:t>
      </w:r>
      <w:r>
        <w:t>.</w:t>
      </w:r>
      <w:r w:rsidRPr="00D0314F">
        <w:t xml:space="preserve"> </w:t>
      </w:r>
      <m:oMath>
        <m:sSub>
          <m:sSubPr>
            <m:ctrlPr>
              <w:rPr>
                <w:rFonts w:ascii="Cambria Math" w:hAnsi="Cambria Math"/>
                <w:i/>
              </w:rPr>
            </m:ctrlPr>
          </m:sSubPr>
          <m:e>
            <m:r>
              <w:rPr>
                <w:rFonts w:ascii="Cambria Math" w:hAnsi="Cambria Math"/>
              </w:rPr>
              <m:t>N</m:t>
            </m:r>
          </m:e>
          <m:sub>
            <m:r>
              <m:rPr>
                <m:nor/>
              </m:rPr>
              <m:t>Tx-Rx</m:t>
            </m:r>
          </m:sub>
        </m:sSub>
      </m:oMath>
      <w:r w:rsidRPr="00D0314F">
        <w:t xml:space="preserve"> </w:t>
      </w:r>
      <w:r>
        <w:t>and</w:t>
      </w:r>
      <w:r w:rsidRPr="00D0314F">
        <w:t xml:space="preserve"> </w:t>
      </w:r>
      <m:oMath>
        <m:sSub>
          <m:sSubPr>
            <m:ctrlPr>
              <w:rPr>
                <w:rFonts w:ascii="Cambria Math" w:hAnsi="Cambria Math"/>
                <w:i/>
              </w:rPr>
            </m:ctrlPr>
          </m:sSubPr>
          <m:e>
            <m:r>
              <w:rPr>
                <w:rFonts w:ascii="Cambria Math" w:hAnsi="Cambria Math"/>
              </w:rPr>
              <m:t>N</m:t>
            </m:r>
          </m:e>
          <m:sub>
            <m:r>
              <m:rPr>
                <m:nor/>
              </m:rPr>
              <m:t>Rx-Tx</m:t>
            </m:r>
          </m:sub>
        </m:sSub>
      </m:oMath>
      <w:r>
        <w:t xml:space="preserve"> are</w:t>
      </w:r>
      <w:r w:rsidRPr="00D0314F">
        <w:t xml:space="preserve"> given </w:t>
      </w:r>
      <w:r w:rsidRPr="00D0314F">
        <w:lastRenderedPageBreak/>
        <w:t>by Table 4.3.2-3</w:t>
      </w:r>
      <w:r>
        <w:t xml:space="preserve"> in TS38.211</w:t>
      </w:r>
      <w:r w:rsidR="001D578B">
        <w:t>[2]</w:t>
      </w:r>
      <w:r w:rsidR="00087569">
        <w:t xml:space="preserve">, where </w:t>
      </w:r>
      <w:r w:rsidR="00087569" w:rsidRPr="00C12953">
        <w:rPr>
          <w:position w:val="-10"/>
        </w:rPr>
        <w:object w:dxaOrig="1540" w:dyaOrig="300" w14:anchorId="27CA1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15pt" o:ole="">
            <v:imagedata r:id="rId8" o:title=""/>
          </v:shape>
          <o:OLEObject Type="Embed" ProgID="Equation.3" ShapeID="_x0000_i1025" DrawAspect="Content" ObjectID="_1679257325" r:id="rId9"/>
        </w:object>
      </w:r>
      <w:r w:rsidR="00087569">
        <w:t xml:space="preserve"> equals to about 5.09E-4 us</w:t>
      </w:r>
      <w:r w:rsidRPr="00D0314F">
        <w:t>.</w:t>
      </w:r>
      <w:r>
        <w:t xml:space="preserve"> The guard time </w:t>
      </w:r>
      <w:r w:rsidR="00087569">
        <w:t>is agreed as the w</w:t>
      </w:r>
      <w:r w:rsidR="00087569" w:rsidRPr="00087569">
        <w:t xml:space="preserve">orking assumption </w:t>
      </w:r>
      <w:r w:rsidR="00087569">
        <w:t xml:space="preserve">that </w:t>
      </w:r>
      <w:r>
        <w:t xml:space="preserve">can be reused for the </w:t>
      </w:r>
      <w:r w:rsidR="0078209B">
        <w:t>RedCap</w:t>
      </w:r>
      <w:r>
        <w:t xml:space="preserve"> UE with</w:t>
      </w:r>
      <w:r w:rsidRPr="00F925CC">
        <w:t xml:space="preserve"> HD-FDD capability</w:t>
      </w:r>
      <w:r>
        <w:t>.</w:t>
      </w:r>
    </w:p>
    <w:p w14:paraId="2605E721" w14:textId="77777777" w:rsidR="003B110C" w:rsidRPr="00445C3A" w:rsidRDefault="003B110C" w:rsidP="003B110C">
      <w:pPr>
        <w:jc w:val="center"/>
        <w:rPr>
          <w:rFonts w:eastAsiaTheme="minorEastAsia"/>
          <w:lang w:eastAsia="zh-CN"/>
        </w:rPr>
      </w:pPr>
      <w:r>
        <w:rPr>
          <w:rFonts w:eastAsiaTheme="minorEastAsia"/>
          <w:noProof/>
          <w:lang w:eastAsia="zh-CN"/>
        </w:rPr>
        <mc:AlternateContent>
          <mc:Choice Requires="wps">
            <w:drawing>
              <wp:inline distT="0" distB="0" distL="0" distR="0" wp14:anchorId="216911EB" wp14:editId="56E12209">
                <wp:extent cx="3687288" cy="890649"/>
                <wp:effectExtent l="0" t="0" r="27940" b="24130"/>
                <wp:docPr id="4" name="矩形 4"/>
                <wp:cNvGraphicFramePr/>
                <a:graphic xmlns:a="http://schemas.openxmlformats.org/drawingml/2006/main">
                  <a:graphicData uri="http://schemas.microsoft.com/office/word/2010/wordprocessingShape">
                    <wps:wsp>
                      <wps:cNvSpPr/>
                      <wps:spPr>
                        <a:xfrm>
                          <a:off x="0" y="0"/>
                          <a:ext cx="3687288" cy="890649"/>
                        </a:xfrm>
                        <a:prstGeom prst="rect">
                          <a:avLst/>
                        </a:prstGeom>
                        <a:solidFill>
                          <a:srgbClr val="FFFFFF"/>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426714" w14:textId="77777777" w:rsidR="003B110C" w:rsidRPr="004B7048" w:rsidRDefault="003B110C" w:rsidP="003B110C">
                            <w:pPr>
                              <w:keepNext/>
                              <w:keepLines/>
                              <w:autoSpaceDE/>
                              <w:autoSpaceDN/>
                              <w:adjustRightInd/>
                              <w:snapToGrid/>
                              <w:spacing w:before="60" w:after="180"/>
                              <w:jc w:val="center"/>
                              <w:rPr>
                                <w:rFonts w:ascii="Arial" w:eastAsia="DengXian" w:hAnsi="Arial"/>
                                <w:b/>
                                <w:color w:val="000000" w:themeColor="text1"/>
                                <w:sz w:val="20"/>
                                <w:szCs w:val="20"/>
                                <w:lang w:val="en-GB"/>
                              </w:rPr>
                            </w:pPr>
                            <w:r w:rsidRPr="004B7048">
                              <w:rPr>
                                <w:rFonts w:ascii="Arial" w:eastAsia="DengXian" w:hAnsi="Arial"/>
                                <w:b/>
                                <w:color w:val="000000" w:themeColor="text1"/>
                                <w:sz w:val="20"/>
                                <w:szCs w:val="20"/>
                                <w:lang w:val="en-GB"/>
                              </w:rPr>
                              <w:t xml:space="preserve">Table 4.3.2-3: Transition time </w:t>
                            </w:r>
                            <m:oMath>
                              <m:sSub>
                                <m:sSubPr>
                                  <m:ctrlPr>
                                    <w:rPr>
                                      <w:rFonts w:ascii="Cambria Math" w:eastAsia="DengXian" w:hAnsi="Cambria Math"/>
                                      <w:b/>
                                      <w:i/>
                                      <w:color w:val="000000" w:themeColor="text1"/>
                                      <w:sz w:val="20"/>
                                      <w:szCs w:val="20"/>
                                      <w:lang w:val="en-GB"/>
                                    </w:rPr>
                                  </m:ctrlPr>
                                </m:sSubPr>
                                <m:e>
                                  <m:r>
                                    <m:rPr>
                                      <m:sty m:val="bi"/>
                                    </m:rPr>
                                    <w:rPr>
                                      <w:rFonts w:ascii="Cambria Math" w:eastAsia="DengXian" w:hAnsi="Cambria Math"/>
                                      <w:color w:val="000000" w:themeColor="text1"/>
                                      <w:sz w:val="20"/>
                                      <w:szCs w:val="20"/>
                                      <w:lang w:val="en-GB"/>
                                    </w:rPr>
                                    <m:t>N</m:t>
                                  </m:r>
                                </m:e>
                                <m:sub>
                                  <m:r>
                                    <m:rPr>
                                      <m:nor/>
                                    </m:rPr>
                                    <w:rPr>
                                      <w:rFonts w:ascii="Cambria Math" w:eastAsia="DengXian" w:hAnsi="Cambria Math"/>
                                      <w:b/>
                                      <w:color w:val="000000" w:themeColor="text1"/>
                                      <w:sz w:val="20"/>
                                      <w:szCs w:val="20"/>
                                      <w:lang w:val="en-GB"/>
                                    </w:rPr>
                                    <m:t>Rx-Tx</m:t>
                                  </m:r>
                                </m:sub>
                              </m:sSub>
                            </m:oMath>
                            <w:r w:rsidRPr="004B7048">
                              <w:rPr>
                                <w:rFonts w:ascii="Arial" w:eastAsia="DengXian" w:hAnsi="Arial"/>
                                <w:b/>
                                <w:color w:val="000000" w:themeColor="text1"/>
                                <w:sz w:val="20"/>
                                <w:szCs w:val="20"/>
                                <w:lang w:val="en-GB"/>
                              </w:rPr>
                              <w:t xml:space="preserve"> and </w:t>
                            </w:r>
                            <m:oMath>
                              <m:sSub>
                                <m:sSubPr>
                                  <m:ctrlPr>
                                    <w:rPr>
                                      <w:rFonts w:ascii="Cambria Math" w:eastAsia="DengXian" w:hAnsi="Cambria Math"/>
                                      <w:b/>
                                      <w:i/>
                                      <w:color w:val="000000" w:themeColor="text1"/>
                                      <w:sz w:val="20"/>
                                      <w:szCs w:val="20"/>
                                      <w:lang w:val="en-GB"/>
                                    </w:rPr>
                                  </m:ctrlPr>
                                </m:sSubPr>
                                <m:e>
                                  <m:r>
                                    <m:rPr>
                                      <m:sty m:val="bi"/>
                                    </m:rPr>
                                    <w:rPr>
                                      <w:rFonts w:ascii="Cambria Math" w:eastAsia="DengXian" w:hAnsi="Cambria Math"/>
                                      <w:color w:val="000000" w:themeColor="text1"/>
                                      <w:sz w:val="20"/>
                                      <w:szCs w:val="20"/>
                                      <w:lang w:val="en-GB"/>
                                    </w:rPr>
                                    <m:t>N</m:t>
                                  </m:r>
                                </m:e>
                                <m:sub>
                                  <m:r>
                                    <m:rPr>
                                      <m:nor/>
                                    </m:rPr>
                                    <w:rPr>
                                      <w:rFonts w:ascii="Cambria Math" w:eastAsia="DengXian" w:hAnsi="Cambria Math"/>
                                      <w:b/>
                                      <w:color w:val="000000" w:themeColor="text1"/>
                                      <w:sz w:val="20"/>
                                      <w:szCs w:val="20"/>
                                      <w:lang w:val="en-G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3B110C" w:rsidRPr="004B7048" w14:paraId="14831F86" w14:textId="77777777" w:rsidTr="0084661C">
                              <w:trPr>
                                <w:jc w:val="center"/>
                              </w:trPr>
                              <w:tc>
                                <w:tcPr>
                                  <w:tcW w:w="2122" w:type="dxa"/>
                                </w:tcPr>
                                <w:p w14:paraId="25792636"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Transition time</w:t>
                                  </w:r>
                                </w:p>
                              </w:tc>
                              <w:tc>
                                <w:tcPr>
                                  <w:tcW w:w="1134" w:type="dxa"/>
                                </w:tcPr>
                                <w:p w14:paraId="33BBA516"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FR1</w:t>
                                  </w:r>
                                </w:p>
                              </w:tc>
                              <w:tc>
                                <w:tcPr>
                                  <w:tcW w:w="992" w:type="dxa"/>
                                </w:tcPr>
                                <w:p w14:paraId="40B901B4"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FR2</w:t>
                                  </w:r>
                                </w:p>
                              </w:tc>
                            </w:tr>
                            <w:tr w:rsidR="003B110C" w:rsidRPr="004B7048" w14:paraId="0E9AD095" w14:textId="77777777" w:rsidTr="0084661C">
                              <w:trPr>
                                <w:jc w:val="center"/>
                              </w:trPr>
                              <w:tc>
                                <w:tcPr>
                                  <w:tcW w:w="2122" w:type="dxa"/>
                                </w:tcPr>
                                <w:p w14:paraId="055D15F3" w14:textId="77777777" w:rsidR="003B110C" w:rsidRPr="004B7048" w:rsidRDefault="00AD2185" w:rsidP="0084661C">
                                  <w:pPr>
                                    <w:keepNext/>
                                    <w:keepLines/>
                                    <w:autoSpaceDE/>
                                    <w:autoSpaceDN/>
                                    <w:adjustRightInd/>
                                    <w:snapToGrid/>
                                    <w:spacing w:after="0"/>
                                    <w:jc w:val="center"/>
                                    <w:rPr>
                                      <w:rFonts w:ascii="Arial" w:hAnsi="Arial"/>
                                      <w:color w:val="000000" w:themeColor="text1"/>
                                      <w:sz w:val="18"/>
                                      <w:szCs w:val="20"/>
                                    </w:rPr>
                                  </w:pPr>
                                  <m:oMathPara>
                                    <m:oMath>
                                      <m:sSub>
                                        <m:sSubPr>
                                          <m:ctrlPr>
                                            <w:rPr>
                                              <w:rFonts w:ascii="Cambria Math" w:hAnsi="Cambria Math"/>
                                              <w:i/>
                                              <w:color w:val="000000" w:themeColor="text1"/>
                                              <w:sz w:val="18"/>
                                              <w:szCs w:val="20"/>
                                            </w:rPr>
                                          </m:ctrlPr>
                                        </m:sSubPr>
                                        <m:e>
                                          <m:r>
                                            <w:rPr>
                                              <w:rFonts w:ascii="Cambria Math" w:hAnsi="Cambria Math"/>
                                              <w:color w:val="000000" w:themeColor="text1"/>
                                              <w:sz w:val="18"/>
                                              <w:szCs w:val="20"/>
                                            </w:rPr>
                                            <m:t>N</m:t>
                                          </m:r>
                                        </m:e>
                                        <m:sub>
                                          <m:r>
                                            <m:rPr>
                                              <m:nor/>
                                            </m:rPr>
                                            <w:rPr>
                                              <w:rFonts w:ascii="Arial" w:hAnsi="Arial"/>
                                              <w:color w:val="000000" w:themeColor="text1"/>
                                              <w:sz w:val="18"/>
                                              <w:szCs w:val="20"/>
                                            </w:rPr>
                                            <m:t>Tx-Rx</m:t>
                                          </m:r>
                                        </m:sub>
                                      </m:sSub>
                                    </m:oMath>
                                  </m:oMathPara>
                                </w:p>
                              </w:tc>
                              <w:tc>
                                <w:tcPr>
                                  <w:tcW w:w="1134" w:type="dxa"/>
                                </w:tcPr>
                                <w:p w14:paraId="5F1FBC94"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25600</w:t>
                                  </w:r>
                                </w:p>
                              </w:tc>
                              <w:tc>
                                <w:tcPr>
                                  <w:tcW w:w="992" w:type="dxa"/>
                                </w:tcPr>
                                <w:p w14:paraId="5F926789"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13792</w:t>
                                  </w:r>
                                </w:p>
                              </w:tc>
                            </w:tr>
                            <w:tr w:rsidR="003B110C" w:rsidRPr="004B7048" w14:paraId="35D4B49D" w14:textId="77777777" w:rsidTr="0084661C">
                              <w:trPr>
                                <w:jc w:val="center"/>
                              </w:trPr>
                              <w:tc>
                                <w:tcPr>
                                  <w:tcW w:w="2122" w:type="dxa"/>
                                </w:tcPr>
                                <w:p w14:paraId="6440A77D" w14:textId="77777777" w:rsidR="003B110C" w:rsidRPr="004B7048" w:rsidRDefault="00AD2185" w:rsidP="0084661C">
                                  <w:pPr>
                                    <w:keepNext/>
                                    <w:keepLines/>
                                    <w:autoSpaceDE/>
                                    <w:autoSpaceDN/>
                                    <w:adjustRightInd/>
                                    <w:snapToGrid/>
                                    <w:spacing w:after="0"/>
                                    <w:jc w:val="center"/>
                                    <w:rPr>
                                      <w:rFonts w:ascii="Arial" w:hAnsi="Arial"/>
                                      <w:color w:val="000000" w:themeColor="text1"/>
                                      <w:sz w:val="18"/>
                                      <w:szCs w:val="20"/>
                                    </w:rPr>
                                  </w:pPr>
                                  <m:oMathPara>
                                    <m:oMath>
                                      <m:sSub>
                                        <m:sSubPr>
                                          <m:ctrlPr>
                                            <w:rPr>
                                              <w:rFonts w:ascii="Cambria Math" w:hAnsi="Cambria Math"/>
                                              <w:i/>
                                              <w:color w:val="000000" w:themeColor="text1"/>
                                              <w:sz w:val="18"/>
                                              <w:szCs w:val="20"/>
                                            </w:rPr>
                                          </m:ctrlPr>
                                        </m:sSubPr>
                                        <m:e>
                                          <m:r>
                                            <w:rPr>
                                              <w:rFonts w:ascii="Cambria Math" w:hAnsi="Cambria Math"/>
                                              <w:color w:val="000000" w:themeColor="text1"/>
                                              <w:sz w:val="18"/>
                                              <w:szCs w:val="20"/>
                                            </w:rPr>
                                            <m:t>N</m:t>
                                          </m:r>
                                        </m:e>
                                        <m:sub>
                                          <m:r>
                                            <m:rPr>
                                              <m:nor/>
                                            </m:rPr>
                                            <w:rPr>
                                              <w:rFonts w:ascii="Arial" w:hAnsi="Arial"/>
                                              <w:color w:val="000000" w:themeColor="text1"/>
                                              <w:sz w:val="18"/>
                                              <w:szCs w:val="20"/>
                                            </w:rPr>
                                            <m:t>Rx-Tx</m:t>
                                          </m:r>
                                        </m:sub>
                                      </m:sSub>
                                    </m:oMath>
                                  </m:oMathPara>
                                </w:p>
                              </w:tc>
                              <w:tc>
                                <w:tcPr>
                                  <w:tcW w:w="1134" w:type="dxa"/>
                                </w:tcPr>
                                <w:p w14:paraId="1F664B91"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25600</w:t>
                                  </w:r>
                                </w:p>
                              </w:tc>
                              <w:tc>
                                <w:tcPr>
                                  <w:tcW w:w="992" w:type="dxa"/>
                                </w:tcPr>
                                <w:p w14:paraId="326DB565"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13792</w:t>
                                  </w:r>
                                </w:p>
                              </w:tc>
                            </w:tr>
                          </w:tbl>
                          <w:p w14:paraId="3C21CB78" w14:textId="77777777" w:rsidR="003B110C" w:rsidRPr="00445C3A" w:rsidRDefault="003B110C" w:rsidP="003B110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16911EB" id="矩形 4" o:spid="_x0000_s1026" style="width:290.35pt;height:7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" strokecolor="black [3213]">
                <v:textbox>
                  <w:txbxContent>
                    <w:p w14:paraId="03426714" w14:textId="77777777" w:rsidR="003B110C" w:rsidRPr="004B7048" w:rsidRDefault="003B110C" w:rsidP="003B110C">
                      <w:pPr>
                        <w:keepNext/>
                        <w:keepLines/>
                        <w:autoSpaceDE/>
                        <w:autoSpaceDN/>
                        <w:adjustRightInd/>
                        <w:snapToGrid/>
                        <w:spacing w:before="60" w:after="180"/>
                        <w:jc w:val="center"/>
                        <w:rPr>
                          <w:rFonts w:ascii="Arial" w:eastAsia="DengXian" w:hAnsi="Arial"/>
                          <w:b/>
                          <w:color w:val="000000" w:themeColor="text1"/>
                          <w:sz w:val="20"/>
                          <w:szCs w:val="20"/>
                          <w:lang w:val="en-GB"/>
                        </w:rPr>
                      </w:pPr>
                      <w:r w:rsidRPr="004B7048">
                        <w:rPr>
                          <w:rFonts w:ascii="Arial" w:eastAsia="DengXian" w:hAnsi="Arial"/>
                          <w:b/>
                          <w:color w:val="000000" w:themeColor="text1"/>
                          <w:sz w:val="20"/>
                          <w:szCs w:val="20"/>
                          <w:lang w:val="en-GB"/>
                        </w:rPr>
                        <w:t xml:space="preserve">Table 4.3.2-3: Transition time </w:t>
                      </w:r>
                      <m:oMath>
                        <m:sSub>
                          <m:sSubPr>
                            <m:ctrlPr>
                              <w:rPr>
                                <w:rFonts w:ascii="Cambria Math" w:eastAsia="DengXian" w:hAnsi="Cambria Math"/>
                                <w:b/>
                                <w:i/>
                                <w:color w:val="000000" w:themeColor="text1"/>
                                <w:sz w:val="20"/>
                                <w:szCs w:val="20"/>
                                <w:lang w:val="en-GB"/>
                              </w:rPr>
                            </m:ctrlPr>
                          </m:sSubPr>
                          <m:e>
                            <m:r>
                              <m:rPr>
                                <m:sty m:val="bi"/>
                              </m:rPr>
                              <w:rPr>
                                <w:rFonts w:ascii="Cambria Math" w:eastAsia="DengXian" w:hAnsi="Cambria Math"/>
                                <w:color w:val="000000" w:themeColor="text1"/>
                                <w:sz w:val="20"/>
                                <w:szCs w:val="20"/>
                                <w:lang w:val="en-GB"/>
                              </w:rPr>
                              <m:t>N</m:t>
                            </m:r>
                          </m:e>
                          <m:sub>
                            <m:r>
                              <m:rPr>
                                <m:nor/>
                              </m:rPr>
                              <w:rPr>
                                <w:rFonts w:ascii="Cambria Math" w:eastAsia="DengXian" w:hAnsi="Cambria Math"/>
                                <w:b/>
                                <w:color w:val="000000" w:themeColor="text1"/>
                                <w:sz w:val="20"/>
                                <w:szCs w:val="20"/>
                                <w:lang w:val="en-GB"/>
                              </w:rPr>
                              <m:t>Rx-Tx</m:t>
                            </m:r>
                          </m:sub>
                        </m:sSub>
                      </m:oMath>
                      <w:r w:rsidRPr="004B7048">
                        <w:rPr>
                          <w:rFonts w:ascii="Arial" w:eastAsia="DengXian" w:hAnsi="Arial"/>
                          <w:b/>
                          <w:color w:val="000000" w:themeColor="text1"/>
                          <w:sz w:val="20"/>
                          <w:szCs w:val="20"/>
                          <w:lang w:val="en-GB"/>
                        </w:rPr>
                        <w:t xml:space="preserve"> and </w:t>
                      </w:r>
                      <m:oMath>
                        <m:sSub>
                          <m:sSubPr>
                            <m:ctrlPr>
                              <w:rPr>
                                <w:rFonts w:ascii="Cambria Math" w:eastAsia="DengXian" w:hAnsi="Cambria Math"/>
                                <w:b/>
                                <w:i/>
                                <w:color w:val="000000" w:themeColor="text1"/>
                                <w:sz w:val="20"/>
                                <w:szCs w:val="20"/>
                                <w:lang w:val="en-GB"/>
                              </w:rPr>
                            </m:ctrlPr>
                          </m:sSubPr>
                          <m:e>
                            <m:r>
                              <m:rPr>
                                <m:sty m:val="bi"/>
                              </m:rPr>
                              <w:rPr>
                                <w:rFonts w:ascii="Cambria Math" w:eastAsia="DengXian" w:hAnsi="Cambria Math"/>
                                <w:color w:val="000000" w:themeColor="text1"/>
                                <w:sz w:val="20"/>
                                <w:szCs w:val="20"/>
                                <w:lang w:val="en-GB"/>
                              </w:rPr>
                              <m:t>N</m:t>
                            </m:r>
                          </m:e>
                          <m:sub>
                            <m:r>
                              <m:rPr>
                                <m:nor/>
                              </m:rPr>
                              <w:rPr>
                                <w:rFonts w:ascii="Cambria Math" w:eastAsia="DengXian" w:hAnsi="Cambria Math"/>
                                <w:b/>
                                <w:color w:val="000000" w:themeColor="text1"/>
                                <w:sz w:val="20"/>
                                <w:szCs w:val="20"/>
                                <w:lang w:val="en-GB"/>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3B110C" w:rsidRPr="004B7048" w14:paraId="14831F86" w14:textId="77777777" w:rsidTr="0084661C">
                        <w:trPr>
                          <w:jc w:val="center"/>
                        </w:trPr>
                        <w:tc>
                          <w:tcPr>
                            <w:tcW w:w="2122" w:type="dxa"/>
                          </w:tcPr>
                          <w:p w14:paraId="25792636"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Transition time</w:t>
                            </w:r>
                          </w:p>
                        </w:tc>
                        <w:tc>
                          <w:tcPr>
                            <w:tcW w:w="1134" w:type="dxa"/>
                          </w:tcPr>
                          <w:p w14:paraId="33BBA516"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FR1</w:t>
                            </w:r>
                          </w:p>
                        </w:tc>
                        <w:tc>
                          <w:tcPr>
                            <w:tcW w:w="992" w:type="dxa"/>
                          </w:tcPr>
                          <w:p w14:paraId="40B901B4" w14:textId="77777777" w:rsidR="003B110C" w:rsidRPr="004B7048" w:rsidRDefault="003B110C" w:rsidP="0084661C">
                            <w:pPr>
                              <w:keepNext/>
                              <w:keepLines/>
                              <w:autoSpaceDE/>
                              <w:autoSpaceDN/>
                              <w:adjustRightInd/>
                              <w:snapToGrid/>
                              <w:spacing w:after="0"/>
                              <w:jc w:val="center"/>
                              <w:rPr>
                                <w:rFonts w:ascii="Arial" w:hAnsi="Arial"/>
                                <w:b/>
                                <w:color w:val="000000" w:themeColor="text1"/>
                                <w:sz w:val="18"/>
                                <w:szCs w:val="20"/>
                              </w:rPr>
                            </w:pPr>
                            <w:r w:rsidRPr="004B7048">
                              <w:rPr>
                                <w:rFonts w:ascii="Arial" w:hAnsi="Arial"/>
                                <w:b/>
                                <w:color w:val="000000" w:themeColor="text1"/>
                                <w:sz w:val="18"/>
                                <w:szCs w:val="20"/>
                              </w:rPr>
                              <w:t>FR2</w:t>
                            </w:r>
                          </w:p>
                        </w:tc>
                      </w:tr>
                      <w:tr w:rsidR="003B110C" w:rsidRPr="004B7048" w14:paraId="0E9AD095" w14:textId="77777777" w:rsidTr="0084661C">
                        <w:trPr>
                          <w:jc w:val="center"/>
                        </w:trPr>
                        <w:tc>
                          <w:tcPr>
                            <w:tcW w:w="2122" w:type="dxa"/>
                          </w:tcPr>
                          <w:p w14:paraId="055D15F3" w14:textId="77777777" w:rsidR="003B110C" w:rsidRPr="004B7048" w:rsidRDefault="00AD2185" w:rsidP="0084661C">
                            <w:pPr>
                              <w:keepNext/>
                              <w:keepLines/>
                              <w:autoSpaceDE/>
                              <w:autoSpaceDN/>
                              <w:adjustRightInd/>
                              <w:snapToGrid/>
                              <w:spacing w:after="0"/>
                              <w:jc w:val="center"/>
                              <w:rPr>
                                <w:rFonts w:ascii="Arial" w:hAnsi="Arial"/>
                                <w:color w:val="000000" w:themeColor="text1"/>
                                <w:sz w:val="18"/>
                                <w:szCs w:val="20"/>
                              </w:rPr>
                            </w:pPr>
                            <m:oMathPara>
                              <m:oMath>
                                <m:sSub>
                                  <m:sSubPr>
                                    <m:ctrlPr>
                                      <w:rPr>
                                        <w:rFonts w:ascii="Cambria Math" w:hAnsi="Cambria Math"/>
                                        <w:i/>
                                        <w:color w:val="000000" w:themeColor="text1"/>
                                        <w:sz w:val="18"/>
                                        <w:szCs w:val="20"/>
                                      </w:rPr>
                                    </m:ctrlPr>
                                  </m:sSubPr>
                                  <m:e>
                                    <m:r>
                                      <w:rPr>
                                        <w:rFonts w:ascii="Cambria Math" w:hAnsi="Cambria Math"/>
                                        <w:color w:val="000000" w:themeColor="text1"/>
                                        <w:sz w:val="18"/>
                                        <w:szCs w:val="20"/>
                                      </w:rPr>
                                      <m:t>N</m:t>
                                    </m:r>
                                  </m:e>
                                  <m:sub>
                                    <m:r>
                                      <m:rPr>
                                        <m:nor/>
                                      </m:rPr>
                                      <w:rPr>
                                        <w:rFonts w:ascii="Arial" w:hAnsi="Arial"/>
                                        <w:color w:val="000000" w:themeColor="text1"/>
                                        <w:sz w:val="18"/>
                                        <w:szCs w:val="20"/>
                                      </w:rPr>
                                      <m:t>Tx-Rx</m:t>
                                    </m:r>
                                  </m:sub>
                                </m:sSub>
                              </m:oMath>
                            </m:oMathPara>
                          </w:p>
                        </w:tc>
                        <w:tc>
                          <w:tcPr>
                            <w:tcW w:w="1134" w:type="dxa"/>
                          </w:tcPr>
                          <w:p w14:paraId="5F1FBC94"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25600</w:t>
                            </w:r>
                          </w:p>
                        </w:tc>
                        <w:tc>
                          <w:tcPr>
                            <w:tcW w:w="992" w:type="dxa"/>
                          </w:tcPr>
                          <w:p w14:paraId="5F926789"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13792</w:t>
                            </w:r>
                          </w:p>
                        </w:tc>
                      </w:tr>
                      <w:tr w:rsidR="003B110C" w:rsidRPr="004B7048" w14:paraId="35D4B49D" w14:textId="77777777" w:rsidTr="0084661C">
                        <w:trPr>
                          <w:jc w:val="center"/>
                        </w:trPr>
                        <w:tc>
                          <w:tcPr>
                            <w:tcW w:w="2122" w:type="dxa"/>
                          </w:tcPr>
                          <w:p w14:paraId="6440A77D" w14:textId="77777777" w:rsidR="003B110C" w:rsidRPr="004B7048" w:rsidRDefault="00AD2185" w:rsidP="0084661C">
                            <w:pPr>
                              <w:keepNext/>
                              <w:keepLines/>
                              <w:autoSpaceDE/>
                              <w:autoSpaceDN/>
                              <w:adjustRightInd/>
                              <w:snapToGrid/>
                              <w:spacing w:after="0"/>
                              <w:jc w:val="center"/>
                              <w:rPr>
                                <w:rFonts w:ascii="Arial" w:hAnsi="Arial"/>
                                <w:color w:val="000000" w:themeColor="text1"/>
                                <w:sz w:val="18"/>
                                <w:szCs w:val="20"/>
                              </w:rPr>
                            </w:pPr>
                            <m:oMathPara>
                              <m:oMath>
                                <m:sSub>
                                  <m:sSubPr>
                                    <m:ctrlPr>
                                      <w:rPr>
                                        <w:rFonts w:ascii="Cambria Math" w:hAnsi="Cambria Math"/>
                                        <w:i/>
                                        <w:color w:val="000000" w:themeColor="text1"/>
                                        <w:sz w:val="18"/>
                                        <w:szCs w:val="20"/>
                                      </w:rPr>
                                    </m:ctrlPr>
                                  </m:sSubPr>
                                  <m:e>
                                    <m:r>
                                      <w:rPr>
                                        <w:rFonts w:ascii="Cambria Math" w:hAnsi="Cambria Math"/>
                                        <w:color w:val="000000" w:themeColor="text1"/>
                                        <w:sz w:val="18"/>
                                        <w:szCs w:val="20"/>
                                      </w:rPr>
                                      <m:t>N</m:t>
                                    </m:r>
                                  </m:e>
                                  <m:sub>
                                    <m:r>
                                      <m:rPr>
                                        <m:nor/>
                                      </m:rPr>
                                      <w:rPr>
                                        <w:rFonts w:ascii="Arial" w:hAnsi="Arial"/>
                                        <w:color w:val="000000" w:themeColor="text1"/>
                                        <w:sz w:val="18"/>
                                        <w:szCs w:val="20"/>
                                      </w:rPr>
                                      <m:t>Rx-Tx</m:t>
                                    </m:r>
                                  </m:sub>
                                </m:sSub>
                              </m:oMath>
                            </m:oMathPara>
                          </w:p>
                        </w:tc>
                        <w:tc>
                          <w:tcPr>
                            <w:tcW w:w="1134" w:type="dxa"/>
                          </w:tcPr>
                          <w:p w14:paraId="1F664B91"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25600</w:t>
                            </w:r>
                          </w:p>
                        </w:tc>
                        <w:tc>
                          <w:tcPr>
                            <w:tcW w:w="992" w:type="dxa"/>
                          </w:tcPr>
                          <w:p w14:paraId="326DB565" w14:textId="77777777" w:rsidR="003B110C" w:rsidRPr="004B7048" w:rsidRDefault="003B110C" w:rsidP="0084661C">
                            <w:pPr>
                              <w:keepNext/>
                              <w:keepLines/>
                              <w:autoSpaceDE/>
                              <w:autoSpaceDN/>
                              <w:adjustRightInd/>
                              <w:snapToGrid/>
                              <w:spacing w:after="0"/>
                              <w:jc w:val="center"/>
                              <w:rPr>
                                <w:rFonts w:ascii="Arial" w:hAnsi="Arial"/>
                                <w:color w:val="000000" w:themeColor="text1"/>
                                <w:sz w:val="18"/>
                                <w:szCs w:val="20"/>
                              </w:rPr>
                            </w:pPr>
                            <w:r w:rsidRPr="004B7048">
                              <w:rPr>
                                <w:rFonts w:ascii="Arial" w:hAnsi="Arial"/>
                                <w:color w:val="000000" w:themeColor="text1"/>
                                <w:sz w:val="18"/>
                                <w:szCs w:val="20"/>
                              </w:rPr>
                              <w:t>13792</w:t>
                            </w:r>
                          </w:p>
                        </w:tc>
                      </w:tr>
                    </w:tbl>
                    <w:p w14:paraId="3C21CB78" w14:textId="77777777" w:rsidR="003B110C" w:rsidRPr="00445C3A" w:rsidRDefault="003B110C" w:rsidP="003B110C"/>
                  </w:txbxContent>
                </v:textbox>
                <w10:anchorlock/>
              </v:rect>
            </w:pict>
          </mc:Fallback>
        </mc:AlternateContent>
      </w:r>
    </w:p>
    <w:p w14:paraId="30682AD0" w14:textId="7CBCCB9A" w:rsidR="00FA6CCA" w:rsidRDefault="00FA6CCA" w:rsidP="003B110C">
      <w:pPr>
        <w:rPr>
          <w:lang w:eastAsia="zh-CN"/>
        </w:rPr>
      </w:pPr>
      <w:r>
        <w:rPr>
          <w:lang w:eastAsia="zh-CN"/>
        </w:rPr>
        <w:t>In Rel-15 the transition time is applicable to a UE concerning (</w:t>
      </w:r>
      <w:r w:rsidR="0078209B">
        <w:rPr>
          <w:lang w:eastAsia="zh-CN"/>
        </w:rPr>
        <w:t>/</w:t>
      </w:r>
      <w:r>
        <w:rPr>
          <w:lang w:eastAsia="zh-CN"/>
        </w:rPr>
        <w:t>not supporting) simultaneous transmission and reception</w:t>
      </w:r>
      <w:r w:rsidR="0078209B">
        <w:rPr>
          <w:lang w:eastAsia="zh-CN"/>
        </w:rPr>
        <w:t xml:space="preserve"> in a same or different cell among a cell group</w:t>
      </w:r>
      <w:r>
        <w:rPr>
          <w:lang w:eastAsia="zh-CN"/>
        </w:rPr>
        <w:t xml:space="preserve"> in inter-band EN-DC, inter-band CA or b</w:t>
      </w:r>
      <w:r w:rsidR="0078209B">
        <w:rPr>
          <w:lang w:eastAsia="zh-CN"/>
        </w:rPr>
        <w:t xml:space="preserve">ands including SUL. For a RedCap UE, when it supports SUL band(s), the current specification and transition time is also applicable, given that DC and CA is not supported by RedCap as per the WID, and the working assumption has eventually required a similar UE capability for a RedCap UE operating </w:t>
      </w:r>
      <w:r w:rsidR="00BC6C77">
        <w:rPr>
          <w:lang w:eastAsia="zh-CN"/>
        </w:rPr>
        <w:t>in a single carrier as that in a single cell with SUL carrier</w:t>
      </w:r>
      <w:r w:rsidR="0078209B">
        <w:rPr>
          <w:lang w:eastAsia="zh-CN"/>
        </w:rPr>
        <w:t>.</w:t>
      </w:r>
    </w:p>
    <w:p w14:paraId="1B7AAF05" w14:textId="62C8046A" w:rsidR="0078209B" w:rsidRPr="00A03B6E" w:rsidRDefault="0078209B" w:rsidP="003B110C">
      <w:pPr>
        <w:rPr>
          <w:i/>
          <w:lang w:eastAsia="zh-CN"/>
        </w:rPr>
      </w:pPr>
      <w:r w:rsidRPr="00A03B6E">
        <w:rPr>
          <w:b/>
          <w:i/>
          <w:lang w:eastAsia="zh-CN"/>
        </w:rPr>
        <w:t>Proposal 1</w:t>
      </w:r>
      <w:r w:rsidRPr="00A03B6E">
        <w:rPr>
          <w:i/>
          <w:lang w:eastAsia="zh-CN"/>
        </w:rPr>
        <w:t>: The transition time defined in current specification is also applicable for a RedCap UE supporting SUL band(s).</w:t>
      </w:r>
    </w:p>
    <w:p w14:paraId="09357E4A" w14:textId="0DD3BF73" w:rsidR="00FB603C" w:rsidRDefault="00BC6C77" w:rsidP="003B110C">
      <w:pPr>
        <w:rPr>
          <w:lang w:eastAsia="zh-CN"/>
        </w:rPr>
      </w:pPr>
      <w:r>
        <w:rPr>
          <w:lang w:eastAsia="zh-CN"/>
        </w:rPr>
        <w:t>Furthermore</w:t>
      </w:r>
      <w:r w:rsidR="00087569">
        <w:rPr>
          <w:lang w:eastAsia="zh-CN"/>
        </w:rPr>
        <w:t xml:space="preserve">, it seems no benefit to further define </w:t>
      </w:r>
      <w:r w:rsidR="00087569" w:rsidRPr="00087569">
        <w:rPr>
          <w:lang w:eastAsia="zh-CN"/>
        </w:rPr>
        <w:t>the guard times in symbol units</w:t>
      </w:r>
      <w:r w:rsidR="00087569">
        <w:rPr>
          <w:lang w:eastAsia="zh-CN"/>
        </w:rPr>
        <w:t xml:space="preserve">, since there are different SCSs corresponding to different symbol length. The switch time </w:t>
      </w:r>
      <w:r>
        <w:rPr>
          <w:lang w:eastAsia="zh-CN"/>
        </w:rPr>
        <w:t>may need to be taken into account by gNB and</w:t>
      </w:r>
      <w:r w:rsidR="00087569">
        <w:rPr>
          <w:lang w:eastAsia="zh-CN"/>
        </w:rPr>
        <w:t xml:space="preserve"> it </w:t>
      </w:r>
      <w:r>
        <w:rPr>
          <w:lang w:eastAsia="zh-CN"/>
        </w:rPr>
        <w:t>may</w:t>
      </w:r>
      <w:r w:rsidR="00087569">
        <w:rPr>
          <w:lang w:eastAsia="zh-CN"/>
        </w:rPr>
        <w:t xml:space="preserve"> compl</w:t>
      </w:r>
      <w:r>
        <w:rPr>
          <w:lang w:eastAsia="zh-CN"/>
        </w:rPr>
        <w:t>icate the gNB scheduling</w:t>
      </w:r>
      <w:r w:rsidR="00087569">
        <w:rPr>
          <w:lang w:eastAsia="zh-CN"/>
        </w:rPr>
        <w:t xml:space="preserve"> if the </w:t>
      </w:r>
      <w:r w:rsidR="00087569" w:rsidRPr="00087569">
        <w:rPr>
          <w:lang w:eastAsia="zh-CN"/>
        </w:rPr>
        <w:t xml:space="preserve">guard times </w:t>
      </w:r>
      <w:r w:rsidR="00087569">
        <w:rPr>
          <w:lang w:eastAsia="zh-CN"/>
        </w:rPr>
        <w:t>are</w:t>
      </w:r>
      <w:r>
        <w:rPr>
          <w:lang w:eastAsia="zh-CN"/>
        </w:rPr>
        <w:t xml:space="preserve"> further transferred </w:t>
      </w:r>
      <w:r w:rsidR="00087569" w:rsidRPr="00087569">
        <w:rPr>
          <w:lang w:eastAsia="zh-CN"/>
        </w:rPr>
        <w:t>in symbol units</w:t>
      </w:r>
      <w:r w:rsidR="00FB603C">
        <w:rPr>
          <w:lang w:eastAsia="zh-CN"/>
        </w:rPr>
        <w:t>.</w:t>
      </w:r>
    </w:p>
    <w:p w14:paraId="4B80A5E5" w14:textId="23E587A2" w:rsidR="003B110C" w:rsidRPr="004553D2" w:rsidRDefault="00BC6C77" w:rsidP="003B110C">
      <w:r>
        <w:rPr>
          <w:b/>
          <w:bCs/>
          <w:i/>
          <w:lang w:eastAsia="zh-CN"/>
        </w:rPr>
        <w:t>Observation 1</w:t>
      </w:r>
      <w:r w:rsidR="003B110C" w:rsidRPr="004B208B">
        <w:rPr>
          <w:b/>
          <w:bCs/>
          <w:i/>
          <w:lang w:eastAsia="zh-CN"/>
        </w:rPr>
        <w:t>:</w:t>
      </w:r>
      <w:r w:rsidR="003B110C" w:rsidRPr="000A7FE0">
        <w:t xml:space="preserve"> </w:t>
      </w:r>
      <w:r w:rsidR="000F76A8">
        <w:rPr>
          <w:bCs/>
          <w:i/>
          <w:lang w:eastAsia="zh-CN"/>
        </w:rPr>
        <w:t>T</w:t>
      </w:r>
      <w:r>
        <w:rPr>
          <w:bCs/>
          <w:i/>
          <w:lang w:eastAsia="zh-CN"/>
        </w:rPr>
        <w:t>here does not seem to be benefits and need</w:t>
      </w:r>
      <w:r w:rsidR="00087569">
        <w:rPr>
          <w:bCs/>
          <w:i/>
          <w:lang w:eastAsia="zh-CN"/>
        </w:rPr>
        <w:t xml:space="preserve"> to </w:t>
      </w:r>
      <w:r w:rsidR="00087569" w:rsidRPr="00087569">
        <w:rPr>
          <w:bCs/>
          <w:i/>
          <w:lang w:eastAsia="zh-CN"/>
        </w:rPr>
        <w:t>define the guard times in symbol units</w:t>
      </w:r>
      <w:r w:rsidR="00087569">
        <w:rPr>
          <w:bCs/>
          <w:i/>
          <w:lang w:eastAsia="zh-CN"/>
        </w:rPr>
        <w:t>.</w:t>
      </w:r>
    </w:p>
    <w:p w14:paraId="5DFD0439" w14:textId="18DA3D4F" w:rsidR="008824A4" w:rsidRDefault="004C582C" w:rsidP="00ED62C1">
      <w:pPr>
        <w:rPr>
          <w:rFonts w:eastAsiaTheme="minorEastAsia"/>
          <w:lang w:eastAsia="zh-CN"/>
        </w:rPr>
      </w:pPr>
      <w:r>
        <w:rPr>
          <w:rFonts w:eastAsiaTheme="minorEastAsia"/>
          <w:lang w:eastAsia="zh-CN"/>
        </w:rPr>
        <w:t xml:space="preserve">If the </w:t>
      </w:r>
      <w:r w:rsidRPr="004C582C">
        <w:rPr>
          <w:rFonts w:eastAsiaTheme="minorEastAsia"/>
          <w:lang w:eastAsia="zh-CN"/>
        </w:rPr>
        <w:t xml:space="preserve">existing switching times for UE not capable of full duplex </w:t>
      </w:r>
      <w:r>
        <w:rPr>
          <w:rFonts w:eastAsiaTheme="minorEastAsia"/>
          <w:lang w:eastAsia="zh-CN"/>
        </w:rPr>
        <w:t>are reused for HD-FDD RedCap UEs, in general there is no specification impact during RedCap UE’s</w:t>
      </w:r>
      <w:r w:rsidR="00ED62C1">
        <w:rPr>
          <w:rFonts w:eastAsiaTheme="minorEastAsia"/>
          <w:lang w:eastAsia="zh-CN"/>
        </w:rPr>
        <w:t xml:space="preserve"> initial access</w:t>
      </w:r>
      <w:r w:rsidR="008824A4">
        <w:rPr>
          <w:rFonts w:eastAsiaTheme="minorEastAsia"/>
          <w:lang w:eastAsia="zh-CN"/>
        </w:rPr>
        <w:t xml:space="preserve"> and random access</w:t>
      </w:r>
      <w:r w:rsidR="00ED62C1">
        <w:rPr>
          <w:rFonts w:eastAsiaTheme="minorEastAsia"/>
          <w:lang w:eastAsia="zh-CN"/>
        </w:rPr>
        <w:t xml:space="preserve"> procedure</w:t>
      </w:r>
      <w:r w:rsidR="008824A4">
        <w:rPr>
          <w:rFonts w:eastAsiaTheme="minorEastAsia"/>
          <w:lang w:eastAsia="zh-CN"/>
        </w:rPr>
        <w:t>.</w:t>
      </w:r>
      <w:r w:rsidR="008824A4" w:rsidRPr="008824A4">
        <w:rPr>
          <w:rFonts w:eastAsiaTheme="minorEastAsia"/>
          <w:lang w:eastAsia="zh-CN"/>
        </w:rPr>
        <w:t xml:space="preserve"> </w:t>
      </w:r>
      <w:r w:rsidR="008824A4">
        <w:rPr>
          <w:rFonts w:eastAsiaTheme="minorEastAsia"/>
          <w:lang w:eastAsia="zh-CN"/>
        </w:rPr>
        <w:t>The existing RACH procedure can support the UEs with HD-FDD capability</w:t>
      </w:r>
      <w:r w:rsidR="00ED62C1">
        <w:rPr>
          <w:rFonts w:eastAsiaTheme="minorEastAsia"/>
          <w:lang w:eastAsia="zh-CN"/>
        </w:rPr>
        <w:t xml:space="preserve">. </w:t>
      </w:r>
      <w:r w:rsidR="008824A4">
        <w:rPr>
          <w:rFonts w:eastAsiaTheme="minorEastAsia"/>
          <w:lang w:eastAsia="zh-CN"/>
        </w:rPr>
        <w:t>So the half-duplex capability can</w:t>
      </w:r>
      <w:r w:rsidR="00ED62C1" w:rsidRPr="00E35D1D">
        <w:rPr>
          <w:rFonts w:eastAsiaTheme="minorEastAsia"/>
          <w:lang w:eastAsia="zh-CN"/>
        </w:rPr>
        <w:t xml:space="preserve"> be </w:t>
      </w:r>
      <w:r w:rsidR="007D15BA">
        <w:rPr>
          <w:rFonts w:eastAsiaTheme="minorEastAsia"/>
          <w:lang w:eastAsia="zh-CN"/>
        </w:rPr>
        <w:t xml:space="preserve">considered as </w:t>
      </w:r>
      <w:r w:rsidR="007D15BA">
        <w:rPr>
          <w:rFonts w:eastAsia="MS Mincho"/>
          <w:lang w:eastAsia="ja-JP"/>
        </w:rPr>
        <w:t>an optional capability</w:t>
      </w:r>
      <w:r w:rsidR="007D15BA" w:rsidRPr="00E35D1D">
        <w:rPr>
          <w:rFonts w:eastAsiaTheme="minorEastAsia"/>
          <w:lang w:eastAsia="zh-CN"/>
        </w:rPr>
        <w:t xml:space="preserve"> </w:t>
      </w:r>
      <w:r w:rsidR="007D15BA">
        <w:rPr>
          <w:rFonts w:eastAsiaTheme="minorEastAsia"/>
          <w:lang w:eastAsia="zh-CN"/>
        </w:rPr>
        <w:t xml:space="preserve">and </w:t>
      </w:r>
      <w:r w:rsidR="00ED62C1" w:rsidRPr="00E35D1D">
        <w:rPr>
          <w:rFonts w:eastAsiaTheme="minorEastAsia"/>
          <w:lang w:eastAsia="zh-CN"/>
        </w:rPr>
        <w:t>reported explicitly to the network after random access</w:t>
      </w:r>
      <w:r w:rsidR="007D15BA">
        <w:rPr>
          <w:rFonts w:eastAsia="MS Mincho"/>
          <w:lang w:eastAsia="ja-JP"/>
        </w:rPr>
        <w:t>, which is like the HD-FDD in LTE</w:t>
      </w:r>
      <w:r w:rsidR="007D15BA" w:rsidRPr="007D15BA">
        <w:rPr>
          <w:rFonts w:eastAsia="MS Mincho"/>
          <w:lang w:eastAsia="ja-JP"/>
        </w:rPr>
        <w:t xml:space="preserve"> </w:t>
      </w:r>
      <w:r w:rsidR="007D15BA">
        <w:rPr>
          <w:rFonts w:eastAsia="MS Mincho"/>
          <w:lang w:eastAsia="ja-JP"/>
        </w:rPr>
        <w:t>specification</w:t>
      </w:r>
      <w:r w:rsidR="00ED62C1">
        <w:rPr>
          <w:rFonts w:eastAsiaTheme="minorEastAsia"/>
          <w:lang w:eastAsia="zh-CN"/>
        </w:rPr>
        <w:t xml:space="preserve">. </w:t>
      </w:r>
    </w:p>
    <w:p w14:paraId="01E60CEF" w14:textId="12D872F8" w:rsidR="00ED62C1" w:rsidRPr="004553D2" w:rsidRDefault="00ED62C1" w:rsidP="00ED62C1">
      <w:pPr>
        <w:rPr>
          <w:bCs/>
          <w:i/>
          <w:lang w:eastAsia="zh-CN"/>
        </w:rPr>
      </w:pPr>
      <w:r>
        <w:rPr>
          <w:b/>
          <w:bCs/>
          <w:i/>
          <w:lang w:eastAsia="zh-CN"/>
        </w:rPr>
        <w:t>Observation</w:t>
      </w:r>
      <w:r w:rsidRPr="004B208B">
        <w:rPr>
          <w:b/>
          <w:bCs/>
          <w:i/>
          <w:lang w:eastAsia="zh-CN"/>
        </w:rPr>
        <w:t xml:space="preserve"> </w:t>
      </w:r>
      <w:r w:rsidR="00BC6C77">
        <w:rPr>
          <w:b/>
          <w:bCs/>
          <w:i/>
          <w:lang w:eastAsia="zh-CN"/>
        </w:rPr>
        <w:t>2</w:t>
      </w:r>
      <w:r w:rsidRPr="004B208B">
        <w:rPr>
          <w:b/>
          <w:bCs/>
          <w:i/>
          <w:lang w:eastAsia="zh-CN"/>
        </w:rPr>
        <w:t>:</w:t>
      </w:r>
      <w:r>
        <w:rPr>
          <w:b/>
          <w:bCs/>
          <w:i/>
          <w:lang w:eastAsia="zh-CN"/>
        </w:rPr>
        <w:t xml:space="preserve"> </w:t>
      </w:r>
      <w:r w:rsidRPr="004553D2">
        <w:rPr>
          <w:bCs/>
          <w:i/>
          <w:lang w:eastAsia="zh-CN"/>
        </w:rPr>
        <w:t>HD-FDD type-A has no impact on existing random access procedure</w:t>
      </w:r>
      <w:r>
        <w:rPr>
          <w:bCs/>
          <w:i/>
          <w:lang w:eastAsia="zh-CN"/>
        </w:rPr>
        <w:t>.</w:t>
      </w:r>
      <w:r w:rsidRPr="004553D2">
        <w:rPr>
          <w:bCs/>
          <w:i/>
          <w:lang w:eastAsia="zh-CN"/>
        </w:rPr>
        <w:t xml:space="preserve"> The network do</w:t>
      </w:r>
      <w:r w:rsidR="00BD64FF">
        <w:rPr>
          <w:bCs/>
          <w:i/>
          <w:lang w:eastAsia="zh-CN"/>
        </w:rPr>
        <w:t>es</w:t>
      </w:r>
      <w:r w:rsidRPr="004553D2">
        <w:rPr>
          <w:bCs/>
          <w:i/>
          <w:lang w:eastAsia="zh-CN"/>
        </w:rPr>
        <w:t xml:space="preserve"> not need to know the half-duplex capability before or during RACH.</w:t>
      </w:r>
    </w:p>
    <w:p w14:paraId="718AD67B" w14:textId="31695C87" w:rsidR="00ED62C1" w:rsidRDefault="00ED62C1" w:rsidP="00ED62C1">
      <w:pPr>
        <w:rPr>
          <w:bCs/>
          <w:i/>
          <w:lang w:eastAsia="zh-CN"/>
        </w:rPr>
      </w:pPr>
      <w:r w:rsidRPr="004B208B">
        <w:rPr>
          <w:b/>
          <w:bCs/>
          <w:i/>
          <w:lang w:eastAsia="zh-CN"/>
        </w:rPr>
        <w:t xml:space="preserve">Proposal </w:t>
      </w:r>
      <w:r w:rsidR="007D15BA">
        <w:rPr>
          <w:b/>
          <w:bCs/>
          <w:i/>
          <w:lang w:eastAsia="zh-CN"/>
        </w:rPr>
        <w:t>2</w:t>
      </w:r>
      <w:r w:rsidRPr="004B208B">
        <w:rPr>
          <w:b/>
          <w:bCs/>
          <w:i/>
          <w:lang w:eastAsia="zh-CN"/>
        </w:rPr>
        <w:t>:</w:t>
      </w:r>
      <w:r>
        <w:rPr>
          <w:bCs/>
          <w:i/>
          <w:lang w:eastAsia="zh-CN"/>
        </w:rPr>
        <w:t xml:space="preserve"> The half-duplex capability</w:t>
      </w:r>
      <w:r w:rsidR="007D15BA">
        <w:rPr>
          <w:bCs/>
          <w:i/>
          <w:lang w:eastAsia="zh-CN"/>
        </w:rPr>
        <w:t xml:space="preserve"> </w:t>
      </w:r>
      <w:r w:rsidR="00BC6C77">
        <w:rPr>
          <w:bCs/>
          <w:i/>
          <w:lang w:eastAsia="zh-CN"/>
        </w:rPr>
        <w:t xml:space="preserve">is </w:t>
      </w:r>
      <w:r w:rsidR="00BC6C77" w:rsidRPr="007D15BA">
        <w:rPr>
          <w:bCs/>
          <w:i/>
          <w:lang w:eastAsia="zh-CN"/>
        </w:rPr>
        <w:t>explicitly</w:t>
      </w:r>
      <w:r w:rsidR="00BC6C77">
        <w:rPr>
          <w:bCs/>
          <w:i/>
          <w:lang w:eastAsia="zh-CN"/>
        </w:rPr>
        <w:t xml:space="preserve"> </w:t>
      </w:r>
      <w:r w:rsidR="007D15BA" w:rsidRPr="007D15BA">
        <w:rPr>
          <w:bCs/>
          <w:i/>
          <w:lang w:eastAsia="zh-CN"/>
        </w:rPr>
        <w:t xml:space="preserve">reported to the network after </w:t>
      </w:r>
      <w:r w:rsidR="00BC6C77">
        <w:rPr>
          <w:bCs/>
          <w:i/>
          <w:lang w:eastAsia="zh-CN"/>
        </w:rPr>
        <w:t>initial</w:t>
      </w:r>
      <w:r w:rsidR="00BC6C77" w:rsidRPr="007D15BA">
        <w:rPr>
          <w:bCs/>
          <w:i/>
          <w:lang w:eastAsia="zh-CN"/>
        </w:rPr>
        <w:t xml:space="preserve"> </w:t>
      </w:r>
      <w:r w:rsidR="007D15BA" w:rsidRPr="007D15BA">
        <w:rPr>
          <w:bCs/>
          <w:i/>
          <w:lang w:eastAsia="zh-CN"/>
        </w:rPr>
        <w:t>access</w:t>
      </w:r>
      <w:r>
        <w:rPr>
          <w:bCs/>
          <w:i/>
          <w:lang w:eastAsia="zh-CN"/>
        </w:rPr>
        <w:t>.</w:t>
      </w:r>
    </w:p>
    <w:p w14:paraId="76532C96" w14:textId="667BC529" w:rsidR="00ED62C1" w:rsidRPr="008C541E" w:rsidRDefault="00BD64FF" w:rsidP="008C541E">
      <w:pPr>
        <w:pStyle w:val="Heading1"/>
      </w:pPr>
      <w:r>
        <w:t>C</w:t>
      </w:r>
      <w:r w:rsidR="00ED62C1" w:rsidRPr="00896A10">
        <w:t>ollision handling</w:t>
      </w:r>
    </w:p>
    <w:p w14:paraId="5B907989" w14:textId="1AD9D1FD" w:rsidR="007D15BA" w:rsidRDefault="00ED62C1" w:rsidP="00ED62C1">
      <w:pPr>
        <w:rPr>
          <w:lang w:eastAsia="zh-CN"/>
        </w:rPr>
      </w:pPr>
      <w:r>
        <w:rPr>
          <w:lang w:eastAsia="zh-CN"/>
        </w:rPr>
        <w:t xml:space="preserve">In </w:t>
      </w:r>
      <w:r w:rsidR="007D15BA">
        <w:rPr>
          <w:lang w:eastAsia="zh-CN"/>
        </w:rPr>
        <w:t>RAN1#104-e</w:t>
      </w:r>
      <w:r>
        <w:rPr>
          <w:lang w:eastAsia="zh-CN"/>
        </w:rPr>
        <w:t xml:space="preserve">, there is an agreement that </w:t>
      </w:r>
      <w:r w:rsidR="00BD64FF">
        <w:rPr>
          <w:lang w:eastAsia="zh-CN"/>
        </w:rPr>
        <w:t>remaining</w:t>
      </w:r>
      <w:r>
        <w:rPr>
          <w:lang w:eastAsia="zh-CN"/>
        </w:rPr>
        <w:t xml:space="preserve"> </w:t>
      </w:r>
      <w:r w:rsidR="007D15BA">
        <w:rPr>
          <w:lang w:eastAsia="zh-CN"/>
        </w:rPr>
        <w:t>7</w:t>
      </w:r>
      <w:r>
        <w:rPr>
          <w:lang w:eastAsia="zh-CN"/>
        </w:rPr>
        <w:t xml:space="preserve"> </w:t>
      </w:r>
      <w:r w:rsidRPr="00926A18">
        <w:rPr>
          <w:lang w:eastAsia="zh-CN"/>
        </w:rPr>
        <w:t>cases of potential collisions</w:t>
      </w:r>
      <w:r>
        <w:rPr>
          <w:lang w:eastAsia="zh-CN"/>
        </w:rPr>
        <w:t xml:space="preserve"> </w:t>
      </w:r>
      <w:r w:rsidRPr="00926A18">
        <w:rPr>
          <w:lang w:eastAsia="zh-CN"/>
        </w:rPr>
        <w:t>can be further studied to see if</w:t>
      </w:r>
      <w:r>
        <w:rPr>
          <w:lang w:eastAsia="zh-CN"/>
        </w:rPr>
        <w:t xml:space="preserve"> </w:t>
      </w:r>
      <w:r w:rsidR="007D15BA">
        <w:rPr>
          <w:lang w:eastAsia="zh-CN"/>
        </w:rPr>
        <w:t xml:space="preserve">there is </w:t>
      </w:r>
      <w:r>
        <w:rPr>
          <w:lang w:eastAsia="zh-CN"/>
        </w:rPr>
        <w:t xml:space="preserve">any change to the current specifications. </w:t>
      </w:r>
    </w:p>
    <w:p w14:paraId="65792BE8" w14:textId="667B5D7C" w:rsidR="00ED62C1" w:rsidRDefault="007D15BA" w:rsidP="00ED62C1">
      <w:pPr>
        <w:rPr>
          <w:lang w:eastAsia="zh-CN"/>
        </w:rPr>
      </w:pPr>
      <w:r>
        <w:rPr>
          <w:lang w:eastAsia="zh-CN"/>
        </w:rPr>
        <w:t>Within the 7 cases, Case</w:t>
      </w:r>
      <w:r w:rsidR="00BD64FF">
        <w:rPr>
          <w:lang w:eastAsia="zh-CN"/>
        </w:rPr>
        <w:t xml:space="preserve">s </w:t>
      </w:r>
      <w:r>
        <w:rPr>
          <w:lang w:eastAsia="zh-CN"/>
        </w:rPr>
        <w:t>1,</w:t>
      </w:r>
      <w:r w:rsidR="000712FF">
        <w:rPr>
          <w:lang w:eastAsia="zh-CN"/>
        </w:rPr>
        <w:t xml:space="preserve"> 2, 4, 8</w:t>
      </w:r>
      <w:r>
        <w:rPr>
          <w:lang w:eastAsia="zh-CN"/>
        </w:rPr>
        <w:t xml:space="preserve"> </w:t>
      </w:r>
      <w:r w:rsidR="000712FF">
        <w:rPr>
          <w:lang w:eastAsia="zh-CN"/>
        </w:rPr>
        <w:t>are related to the dynamic scheduling. F</w:t>
      </w:r>
      <w:r w:rsidR="00ED62C1">
        <w:rPr>
          <w:lang w:eastAsia="zh-CN"/>
        </w:rPr>
        <w:t xml:space="preserve">rom the implementation point of view, the dynamic scheduling is flexible to avoid collision with semi-static or dynamic transmission </w:t>
      </w:r>
      <w:r>
        <w:rPr>
          <w:lang w:eastAsia="zh-CN"/>
        </w:rPr>
        <w:t>from</w:t>
      </w:r>
      <w:r w:rsidR="00ED62C1">
        <w:rPr>
          <w:lang w:eastAsia="zh-CN"/>
        </w:rPr>
        <w:t xml:space="preserve"> the other direction. </w:t>
      </w:r>
      <w:r w:rsidR="000712FF">
        <w:rPr>
          <w:lang w:eastAsia="zh-CN"/>
        </w:rPr>
        <w:t>On the other hand, the</w:t>
      </w:r>
      <w:r w:rsidR="000712FF" w:rsidRPr="000712FF">
        <w:t xml:space="preserve"> </w:t>
      </w:r>
      <w:r w:rsidR="000712FF" w:rsidRPr="000712FF">
        <w:rPr>
          <w:lang w:eastAsia="zh-CN"/>
        </w:rPr>
        <w:t>semi-static resource</w:t>
      </w:r>
      <w:r w:rsidR="000712FF">
        <w:rPr>
          <w:lang w:eastAsia="zh-CN"/>
        </w:rPr>
        <w:t xml:space="preserve"> collision may happen with the highest possibility and cannot be avoided easily as flexible scheduling. So </w:t>
      </w:r>
      <w:r w:rsidR="00ED62C1">
        <w:rPr>
          <w:lang w:eastAsia="zh-CN"/>
        </w:rPr>
        <w:t>the UL and DL semi-static resource</w:t>
      </w:r>
      <w:r w:rsidR="000712FF">
        <w:rPr>
          <w:lang w:eastAsia="zh-CN"/>
        </w:rPr>
        <w:t xml:space="preserve"> </w:t>
      </w:r>
      <w:r>
        <w:rPr>
          <w:lang w:eastAsia="zh-CN"/>
        </w:rPr>
        <w:t>should be discussed</w:t>
      </w:r>
      <w:r w:rsidR="00ED62C1">
        <w:rPr>
          <w:lang w:eastAsia="zh-CN"/>
        </w:rPr>
        <w:t xml:space="preserve"> with the highest </w:t>
      </w:r>
      <w:r w:rsidR="00FB603C">
        <w:rPr>
          <w:lang w:eastAsia="zh-CN"/>
        </w:rPr>
        <w:t>priority</w:t>
      </w:r>
      <w:r w:rsidR="00ED62C1">
        <w:rPr>
          <w:lang w:eastAsia="zh-CN"/>
        </w:rPr>
        <w:t xml:space="preserve">, i.e. Case 3 and Case 5. Following </w:t>
      </w:r>
      <w:r w:rsidR="000712FF">
        <w:rPr>
          <w:lang w:eastAsia="zh-CN"/>
        </w:rPr>
        <w:t>are</w:t>
      </w:r>
      <w:r w:rsidR="00ED62C1">
        <w:rPr>
          <w:lang w:eastAsia="zh-CN"/>
        </w:rPr>
        <w:t xml:space="preserve"> the semi-static resources of UL and DL</w:t>
      </w:r>
      <w:r w:rsidR="000712FF">
        <w:rPr>
          <w:lang w:eastAsia="zh-CN"/>
        </w:rPr>
        <w:t xml:space="preserve"> that can be mainly considered</w:t>
      </w:r>
      <w:r w:rsidR="00ED62C1">
        <w:rPr>
          <w:lang w:eastAsia="zh-CN"/>
        </w:rPr>
        <w:t>:</w:t>
      </w:r>
    </w:p>
    <w:p w14:paraId="74963DA4" w14:textId="35EFB86E" w:rsidR="00ED62C1" w:rsidRPr="007D15BA" w:rsidRDefault="00ED62C1" w:rsidP="00ED62C1">
      <w:pPr>
        <w:pStyle w:val="ListParagraph"/>
        <w:numPr>
          <w:ilvl w:val="0"/>
          <w:numId w:val="17"/>
        </w:numPr>
        <w:spacing w:afterLines="50" w:after="120"/>
        <w:ind w:leftChars="0"/>
        <w:rPr>
          <w:sz w:val="21"/>
          <w:lang w:eastAsia="zh-CN"/>
        </w:rPr>
      </w:pPr>
      <w:r w:rsidRPr="007D15BA">
        <w:rPr>
          <w:sz w:val="21"/>
          <w:lang w:eastAsia="zh-CN"/>
        </w:rPr>
        <w:t>UL semi-static resources: semi-static SRS, Configured Grant PUSCH, PRACH, etc.</w:t>
      </w:r>
    </w:p>
    <w:p w14:paraId="42C7BF07" w14:textId="48833106" w:rsidR="00ED62C1" w:rsidRPr="007D15BA" w:rsidRDefault="00ED62C1" w:rsidP="00ED62C1">
      <w:pPr>
        <w:pStyle w:val="ListParagraph"/>
        <w:numPr>
          <w:ilvl w:val="0"/>
          <w:numId w:val="17"/>
        </w:numPr>
        <w:spacing w:afterLines="50" w:after="120"/>
        <w:ind w:leftChars="0"/>
        <w:rPr>
          <w:sz w:val="21"/>
          <w:lang w:eastAsia="zh-CN"/>
        </w:rPr>
      </w:pPr>
      <w:r w:rsidRPr="007D15BA">
        <w:rPr>
          <w:sz w:val="21"/>
          <w:lang w:eastAsia="zh-CN"/>
        </w:rPr>
        <w:t>DL semi-static resources: SSB, semi-static RS (CSI-RS, PRS), PDCCH, SPS PDSCH etc.</w:t>
      </w:r>
    </w:p>
    <w:p w14:paraId="03F85287" w14:textId="7A51645E" w:rsidR="00ED62C1" w:rsidRDefault="00ED62C1" w:rsidP="00ED62C1">
      <w:pPr>
        <w:rPr>
          <w:lang w:eastAsia="zh-CN"/>
        </w:rPr>
      </w:pPr>
      <w:r>
        <w:rPr>
          <w:lang w:eastAsia="zh-CN"/>
        </w:rPr>
        <w:t>So we have the proposal</w:t>
      </w:r>
    </w:p>
    <w:p w14:paraId="69C059FE" w14:textId="5E14F911" w:rsidR="00ED62C1" w:rsidRPr="00ED62C1" w:rsidRDefault="00ED62C1" w:rsidP="00ED62C1">
      <w:pPr>
        <w:rPr>
          <w:bCs/>
          <w:i/>
          <w:lang w:eastAsia="zh-CN"/>
        </w:rPr>
      </w:pPr>
      <w:r w:rsidRPr="004B208B">
        <w:rPr>
          <w:b/>
          <w:bCs/>
          <w:i/>
          <w:lang w:eastAsia="zh-CN"/>
        </w:rPr>
        <w:t xml:space="preserve">Proposal </w:t>
      </w:r>
      <w:r w:rsidR="001D578B">
        <w:rPr>
          <w:b/>
          <w:bCs/>
          <w:i/>
          <w:lang w:eastAsia="zh-CN"/>
        </w:rPr>
        <w:t>3</w:t>
      </w:r>
      <w:r w:rsidRPr="004B208B">
        <w:rPr>
          <w:b/>
          <w:bCs/>
          <w:i/>
          <w:lang w:eastAsia="zh-CN"/>
        </w:rPr>
        <w:t>:</w:t>
      </w:r>
      <w:r>
        <w:rPr>
          <w:b/>
          <w:bCs/>
          <w:i/>
          <w:lang w:eastAsia="zh-CN"/>
        </w:rPr>
        <w:t xml:space="preserve"> </w:t>
      </w:r>
      <w:r>
        <w:rPr>
          <w:bCs/>
          <w:i/>
          <w:lang w:eastAsia="zh-CN"/>
        </w:rPr>
        <w:t>T</w:t>
      </w:r>
      <w:r w:rsidRPr="00CD2425">
        <w:rPr>
          <w:bCs/>
          <w:i/>
          <w:lang w:eastAsia="zh-CN"/>
        </w:rPr>
        <w:t>he collision of semi-</w:t>
      </w:r>
      <w:r>
        <w:rPr>
          <w:bCs/>
          <w:i/>
          <w:lang w:eastAsia="zh-CN"/>
        </w:rPr>
        <w:t>static</w:t>
      </w:r>
      <w:r w:rsidRPr="00CD2425">
        <w:rPr>
          <w:bCs/>
          <w:i/>
          <w:lang w:eastAsia="zh-CN"/>
        </w:rPr>
        <w:t xml:space="preserve"> UL and DL</w:t>
      </w:r>
      <w:r>
        <w:rPr>
          <w:bCs/>
          <w:i/>
          <w:lang w:eastAsia="zh-CN"/>
        </w:rPr>
        <w:t xml:space="preserve"> resources need</w:t>
      </w:r>
      <w:r w:rsidR="00BD63E3">
        <w:rPr>
          <w:bCs/>
          <w:i/>
          <w:lang w:eastAsia="zh-CN"/>
        </w:rPr>
        <w:t>s</w:t>
      </w:r>
      <w:r>
        <w:rPr>
          <w:bCs/>
          <w:i/>
          <w:lang w:eastAsia="zh-CN"/>
        </w:rPr>
        <w:t xml:space="preserve"> to be discussed with high priority.</w:t>
      </w:r>
    </w:p>
    <w:p w14:paraId="1EA5F5DB" w14:textId="204307B1" w:rsidR="004E6442" w:rsidRPr="00210055" w:rsidRDefault="00D549C5" w:rsidP="00183E95">
      <w:pPr>
        <w:pStyle w:val="Heading1"/>
        <w:tabs>
          <w:tab w:val="clear" w:pos="432"/>
        </w:tabs>
        <w:spacing w:before="240"/>
        <w:ind w:left="431" w:hanging="431"/>
      </w:pPr>
      <w:r w:rsidRPr="00210055">
        <w:t>Conclusions</w:t>
      </w:r>
    </w:p>
    <w:p w14:paraId="0F0467A8" w14:textId="396AE44B" w:rsidR="00BC6C77" w:rsidRPr="004553D2" w:rsidRDefault="00BC6C77" w:rsidP="00BC6C77">
      <w:bookmarkStart w:id="3" w:name="_Ref124589665"/>
      <w:bookmarkStart w:id="4" w:name="_Ref71620620"/>
      <w:bookmarkStart w:id="5" w:name="_Ref124671424"/>
      <w:r>
        <w:rPr>
          <w:b/>
          <w:bCs/>
          <w:i/>
          <w:lang w:eastAsia="zh-CN"/>
        </w:rPr>
        <w:t>Observation 1</w:t>
      </w:r>
      <w:r w:rsidRPr="004B208B">
        <w:rPr>
          <w:b/>
          <w:bCs/>
          <w:i/>
          <w:lang w:eastAsia="zh-CN"/>
        </w:rPr>
        <w:t>:</w:t>
      </w:r>
      <w:r w:rsidRPr="000A7FE0">
        <w:t xml:space="preserve"> </w:t>
      </w:r>
      <w:r w:rsidR="000F76A8">
        <w:rPr>
          <w:bCs/>
          <w:i/>
          <w:lang w:eastAsia="zh-CN"/>
        </w:rPr>
        <w:t>Th</w:t>
      </w:r>
      <w:r>
        <w:rPr>
          <w:bCs/>
          <w:i/>
          <w:lang w:eastAsia="zh-CN"/>
        </w:rPr>
        <w:t xml:space="preserve">ere does not seem to be benefits and need to </w:t>
      </w:r>
      <w:r w:rsidRPr="00087569">
        <w:rPr>
          <w:bCs/>
          <w:i/>
          <w:lang w:eastAsia="zh-CN"/>
        </w:rPr>
        <w:t>define the guard times in symbol units</w:t>
      </w:r>
      <w:r>
        <w:rPr>
          <w:bCs/>
          <w:i/>
          <w:lang w:eastAsia="zh-CN"/>
        </w:rPr>
        <w:t>.</w:t>
      </w:r>
    </w:p>
    <w:p w14:paraId="75EA6890" w14:textId="25BE5CE7" w:rsidR="001D578B" w:rsidRPr="004553D2" w:rsidRDefault="001D578B" w:rsidP="001D578B">
      <w:pPr>
        <w:rPr>
          <w:bCs/>
          <w:i/>
          <w:lang w:eastAsia="zh-CN"/>
        </w:rPr>
      </w:pPr>
      <w:r>
        <w:rPr>
          <w:b/>
          <w:bCs/>
          <w:i/>
          <w:lang w:eastAsia="zh-CN"/>
        </w:rPr>
        <w:t>Observation</w:t>
      </w:r>
      <w:r w:rsidRPr="004B208B">
        <w:rPr>
          <w:b/>
          <w:bCs/>
          <w:i/>
          <w:lang w:eastAsia="zh-CN"/>
        </w:rPr>
        <w:t xml:space="preserve"> </w:t>
      </w:r>
      <w:r w:rsidR="00BC6C77">
        <w:rPr>
          <w:b/>
          <w:bCs/>
          <w:i/>
          <w:lang w:eastAsia="zh-CN"/>
        </w:rPr>
        <w:t>2</w:t>
      </w:r>
      <w:r w:rsidRPr="004B208B">
        <w:rPr>
          <w:b/>
          <w:bCs/>
          <w:i/>
          <w:lang w:eastAsia="zh-CN"/>
        </w:rPr>
        <w:t>:</w:t>
      </w:r>
      <w:r>
        <w:rPr>
          <w:b/>
          <w:bCs/>
          <w:i/>
          <w:lang w:eastAsia="zh-CN"/>
        </w:rPr>
        <w:t xml:space="preserve"> </w:t>
      </w:r>
      <w:r w:rsidRPr="004553D2">
        <w:rPr>
          <w:bCs/>
          <w:i/>
          <w:lang w:eastAsia="zh-CN"/>
        </w:rPr>
        <w:t>HD-FDD type-A has no impact on existing random access procedure</w:t>
      </w:r>
      <w:r>
        <w:rPr>
          <w:bCs/>
          <w:i/>
          <w:lang w:eastAsia="zh-CN"/>
        </w:rPr>
        <w:t>.</w:t>
      </w:r>
      <w:r w:rsidRPr="004553D2">
        <w:rPr>
          <w:bCs/>
          <w:i/>
          <w:lang w:eastAsia="zh-CN"/>
        </w:rPr>
        <w:t xml:space="preserve"> The network do</w:t>
      </w:r>
      <w:r w:rsidR="00BD64FF">
        <w:rPr>
          <w:bCs/>
          <w:i/>
          <w:lang w:eastAsia="zh-CN"/>
        </w:rPr>
        <w:t>es</w:t>
      </w:r>
      <w:r w:rsidRPr="004553D2">
        <w:rPr>
          <w:bCs/>
          <w:i/>
          <w:lang w:eastAsia="zh-CN"/>
        </w:rPr>
        <w:t xml:space="preserve"> not need to know the half-duplex capability before or during RACH.</w:t>
      </w:r>
    </w:p>
    <w:p w14:paraId="2487DF2D" w14:textId="77777777" w:rsidR="00BC6C77" w:rsidRPr="00651BF0" w:rsidRDefault="00BC6C77" w:rsidP="00BC6C77">
      <w:pPr>
        <w:rPr>
          <w:i/>
          <w:lang w:eastAsia="zh-CN"/>
        </w:rPr>
      </w:pPr>
      <w:r w:rsidRPr="00651BF0">
        <w:rPr>
          <w:b/>
          <w:i/>
          <w:lang w:eastAsia="zh-CN"/>
        </w:rPr>
        <w:lastRenderedPageBreak/>
        <w:t>Proposal 1</w:t>
      </w:r>
      <w:r w:rsidRPr="00651BF0">
        <w:rPr>
          <w:i/>
          <w:lang w:eastAsia="zh-CN"/>
        </w:rPr>
        <w:t>: The transition time defined in current specification is also applicable for a RedCap UE supporting SUL band(s).</w:t>
      </w:r>
    </w:p>
    <w:p w14:paraId="2C0BEF27" w14:textId="609F43AF" w:rsidR="001D578B" w:rsidRDefault="001D578B" w:rsidP="001D578B">
      <w:pPr>
        <w:rPr>
          <w:bCs/>
          <w:i/>
          <w:lang w:eastAsia="zh-CN"/>
        </w:rPr>
      </w:pPr>
      <w:r w:rsidRPr="004B208B">
        <w:rPr>
          <w:b/>
          <w:bCs/>
          <w:i/>
          <w:lang w:eastAsia="zh-CN"/>
        </w:rPr>
        <w:t xml:space="preserve">Proposal </w:t>
      </w:r>
      <w:r>
        <w:rPr>
          <w:b/>
          <w:bCs/>
          <w:i/>
          <w:lang w:eastAsia="zh-CN"/>
        </w:rPr>
        <w:t>2</w:t>
      </w:r>
      <w:r w:rsidRPr="004B208B">
        <w:rPr>
          <w:b/>
          <w:bCs/>
          <w:i/>
          <w:lang w:eastAsia="zh-CN"/>
        </w:rPr>
        <w:t>:</w:t>
      </w:r>
      <w:r>
        <w:rPr>
          <w:bCs/>
          <w:i/>
          <w:lang w:eastAsia="zh-CN"/>
        </w:rPr>
        <w:t xml:space="preserve"> </w:t>
      </w:r>
      <w:r w:rsidR="00BC6C77">
        <w:rPr>
          <w:bCs/>
          <w:i/>
          <w:lang w:eastAsia="zh-CN"/>
        </w:rPr>
        <w:t xml:space="preserve">The half-duplex capability is </w:t>
      </w:r>
      <w:r w:rsidR="00BC6C77" w:rsidRPr="007D15BA">
        <w:rPr>
          <w:bCs/>
          <w:i/>
          <w:lang w:eastAsia="zh-CN"/>
        </w:rPr>
        <w:t>explicitly</w:t>
      </w:r>
      <w:r w:rsidR="00BC6C77">
        <w:rPr>
          <w:bCs/>
          <w:i/>
          <w:lang w:eastAsia="zh-CN"/>
        </w:rPr>
        <w:t xml:space="preserve"> </w:t>
      </w:r>
      <w:r w:rsidR="00BC6C77" w:rsidRPr="007D15BA">
        <w:rPr>
          <w:bCs/>
          <w:i/>
          <w:lang w:eastAsia="zh-CN"/>
        </w:rPr>
        <w:t xml:space="preserve">reported to the network after </w:t>
      </w:r>
      <w:r w:rsidR="00BC6C77">
        <w:rPr>
          <w:bCs/>
          <w:i/>
          <w:lang w:eastAsia="zh-CN"/>
        </w:rPr>
        <w:t>initial</w:t>
      </w:r>
      <w:r w:rsidR="00BC6C77" w:rsidRPr="007D15BA">
        <w:rPr>
          <w:bCs/>
          <w:i/>
          <w:lang w:eastAsia="zh-CN"/>
        </w:rPr>
        <w:t xml:space="preserve"> access</w:t>
      </w:r>
      <w:r>
        <w:rPr>
          <w:bCs/>
          <w:i/>
          <w:lang w:eastAsia="zh-CN"/>
        </w:rPr>
        <w:t>.</w:t>
      </w:r>
    </w:p>
    <w:p w14:paraId="686F64F0" w14:textId="65A3E354" w:rsidR="001D578B" w:rsidRPr="00ED62C1" w:rsidRDefault="001D578B" w:rsidP="001D578B">
      <w:pPr>
        <w:rPr>
          <w:bCs/>
          <w:i/>
          <w:lang w:eastAsia="zh-CN"/>
        </w:rPr>
      </w:pPr>
      <w:r w:rsidRPr="004B208B">
        <w:rPr>
          <w:b/>
          <w:bCs/>
          <w:i/>
          <w:lang w:eastAsia="zh-CN"/>
        </w:rPr>
        <w:t xml:space="preserve">Proposal </w:t>
      </w:r>
      <w:r>
        <w:rPr>
          <w:b/>
          <w:bCs/>
          <w:i/>
          <w:lang w:eastAsia="zh-CN"/>
        </w:rPr>
        <w:t>3</w:t>
      </w:r>
      <w:r w:rsidRPr="004B208B">
        <w:rPr>
          <w:b/>
          <w:bCs/>
          <w:i/>
          <w:lang w:eastAsia="zh-CN"/>
        </w:rPr>
        <w:t>:</w:t>
      </w:r>
      <w:r>
        <w:rPr>
          <w:b/>
          <w:bCs/>
          <w:i/>
          <w:lang w:eastAsia="zh-CN"/>
        </w:rPr>
        <w:t xml:space="preserve"> </w:t>
      </w:r>
      <w:r>
        <w:rPr>
          <w:bCs/>
          <w:i/>
          <w:lang w:eastAsia="zh-CN"/>
        </w:rPr>
        <w:t>T</w:t>
      </w:r>
      <w:r w:rsidRPr="00CD2425">
        <w:rPr>
          <w:bCs/>
          <w:i/>
          <w:lang w:eastAsia="zh-CN"/>
        </w:rPr>
        <w:t>he collision of semi-</w:t>
      </w:r>
      <w:r>
        <w:rPr>
          <w:bCs/>
          <w:i/>
          <w:lang w:eastAsia="zh-CN"/>
        </w:rPr>
        <w:t>static</w:t>
      </w:r>
      <w:r w:rsidRPr="00CD2425">
        <w:rPr>
          <w:bCs/>
          <w:i/>
          <w:lang w:eastAsia="zh-CN"/>
        </w:rPr>
        <w:t xml:space="preserve"> UL and DL</w:t>
      </w:r>
      <w:r>
        <w:rPr>
          <w:bCs/>
          <w:i/>
          <w:lang w:eastAsia="zh-CN"/>
        </w:rPr>
        <w:t xml:space="preserve"> resources need</w:t>
      </w:r>
      <w:r w:rsidR="00BD63E3">
        <w:rPr>
          <w:bCs/>
          <w:i/>
          <w:lang w:eastAsia="zh-CN"/>
        </w:rPr>
        <w:t>s</w:t>
      </w:r>
      <w:r>
        <w:rPr>
          <w:bCs/>
          <w:i/>
          <w:lang w:eastAsia="zh-CN"/>
        </w:rPr>
        <w:t xml:space="preserve"> to be discussed with high priority.</w:t>
      </w:r>
    </w:p>
    <w:p w14:paraId="4CF5DACA" w14:textId="77777777" w:rsidR="00ED62C1" w:rsidRPr="001D578B" w:rsidRDefault="00ED62C1" w:rsidP="00210055">
      <w:pPr>
        <w:rPr>
          <w:lang w:eastAsia="zh-CN"/>
        </w:rPr>
      </w:pPr>
    </w:p>
    <w:p w14:paraId="4BF37CD8" w14:textId="0AA014D7" w:rsidR="00D549C5" w:rsidRPr="004B208B" w:rsidRDefault="00D549C5" w:rsidP="00D549C5">
      <w:pPr>
        <w:pStyle w:val="Heading1"/>
        <w:numPr>
          <w:ilvl w:val="0"/>
          <w:numId w:val="0"/>
        </w:numPr>
        <w:ind w:left="432" w:hanging="432"/>
      </w:pPr>
      <w:r w:rsidRPr="004B208B">
        <w:t>References</w:t>
      </w:r>
    </w:p>
    <w:bookmarkEnd w:id="3"/>
    <w:bookmarkEnd w:id="4"/>
    <w:bookmarkEnd w:id="5"/>
    <w:p w14:paraId="31DBBAA4" w14:textId="1B53F95F" w:rsidR="00155DDE" w:rsidRDefault="008E5764" w:rsidP="008E5764">
      <w:pPr>
        <w:pStyle w:val="References"/>
        <w:rPr>
          <w:lang w:eastAsia="zh-CN"/>
        </w:rPr>
      </w:pPr>
      <w:r w:rsidRPr="008E5764">
        <w:rPr>
          <w:lang w:eastAsia="zh-CN"/>
        </w:rPr>
        <w:t>D</w:t>
      </w:r>
      <w:bookmarkStart w:id="6" w:name="_GoBack"/>
      <w:r w:rsidRPr="008E5764">
        <w:rPr>
          <w:lang w:eastAsia="zh-CN"/>
        </w:rPr>
        <w:t>raft Report</w:t>
      </w:r>
      <w:bookmarkEnd w:id="6"/>
      <w:r w:rsidRPr="008E5764">
        <w:rPr>
          <w:lang w:eastAsia="zh-CN"/>
        </w:rPr>
        <w:t xml:space="preserve"> of </w:t>
      </w:r>
      <w:r w:rsidR="00BD64FF">
        <w:rPr>
          <w:lang w:eastAsia="zh-CN"/>
        </w:rPr>
        <w:t>RAN1#104-e</w:t>
      </w:r>
    </w:p>
    <w:p w14:paraId="4E3968EA" w14:textId="54AE5B17" w:rsidR="008926E3" w:rsidRPr="00D6670A" w:rsidRDefault="001D578B" w:rsidP="0021420F">
      <w:pPr>
        <w:pStyle w:val="References"/>
        <w:rPr>
          <w:lang w:eastAsia="zh-CN"/>
        </w:rPr>
      </w:pPr>
      <w:r>
        <w:t>TS</w:t>
      </w:r>
      <w:r w:rsidR="00BD64FF">
        <w:t xml:space="preserve"> </w:t>
      </w:r>
      <w:r>
        <w:t>38.211</w:t>
      </w:r>
      <w:r w:rsidR="0021420F">
        <w:t xml:space="preserve">, NR, </w:t>
      </w:r>
      <w:r w:rsidR="0021420F" w:rsidRPr="0021420F">
        <w:t>Physical channels and modulation</w:t>
      </w:r>
      <w:r w:rsidR="0021420F">
        <w:t>.</w:t>
      </w: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72A0F" w14:textId="77777777" w:rsidR="00AD2185" w:rsidRDefault="00AD2185">
      <w:r>
        <w:separator/>
      </w:r>
    </w:p>
  </w:endnote>
  <w:endnote w:type="continuationSeparator" w:id="0">
    <w:p w14:paraId="2DC63390" w14:textId="77777777" w:rsidR="00AD2185" w:rsidRDefault="00AD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73C68" w14:textId="77777777" w:rsidR="00AD2185" w:rsidRDefault="00AD2185">
      <w:r>
        <w:separator/>
      </w:r>
    </w:p>
  </w:footnote>
  <w:footnote w:type="continuationSeparator" w:id="0">
    <w:p w14:paraId="1D7FDF80" w14:textId="77777777" w:rsidR="00AD2185" w:rsidRDefault="00AD2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1"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5242A5"/>
    <w:multiLevelType w:val="hybridMultilevel"/>
    <w:tmpl w:val="F09655CC"/>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307CF3"/>
    <w:multiLevelType w:val="hybridMultilevel"/>
    <w:tmpl w:val="95F2F4A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8"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5"/>
  </w:num>
  <w:num w:numId="5">
    <w:abstractNumId w:val="12"/>
  </w:num>
  <w:num w:numId="6">
    <w:abstractNumId w:val="3"/>
  </w:num>
  <w:num w:numId="7">
    <w:abstractNumId w:val="15"/>
  </w:num>
  <w:num w:numId="8">
    <w:abstractNumId w:val="2"/>
  </w:num>
  <w:num w:numId="9">
    <w:abstractNumId w:val="19"/>
  </w:num>
  <w:num w:numId="10">
    <w:abstractNumId w:val="2"/>
  </w:num>
  <w:num w:numId="11">
    <w:abstractNumId w:val="11"/>
  </w:num>
  <w:num w:numId="12">
    <w:abstractNumId w:val="10"/>
  </w:num>
  <w:num w:numId="13">
    <w:abstractNumId w:val="1"/>
  </w:num>
  <w:num w:numId="14">
    <w:abstractNumId w:val="9"/>
  </w:num>
  <w:num w:numId="15">
    <w:abstractNumId w:val="17"/>
  </w:num>
  <w:num w:numId="16">
    <w:abstractNumId w:val="0"/>
  </w:num>
  <w:num w:numId="17">
    <w:abstractNumId w:val="18"/>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3"/>
  </w:num>
  <w:num w:numId="36">
    <w:abstractNumId w:val="7"/>
  </w:num>
  <w:num w:numId="37">
    <w:abstractNumId w:val="8"/>
  </w:num>
  <w:num w:numId="38">
    <w:abstractNumId w:val="14"/>
  </w:num>
  <w:num w:numId="39">
    <w:abstractNumId w:val="16"/>
  </w:num>
  <w:num w:numId="40">
    <w:abstractNumId w:val="2"/>
  </w:num>
  <w:num w:numId="4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6A8"/>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B13"/>
    <w:rsid w:val="00120CF9"/>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CA2"/>
    <w:rsid w:val="001A055B"/>
    <w:rsid w:val="001A09EC"/>
    <w:rsid w:val="001A0D8D"/>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48"/>
    <w:rsid w:val="00211D8D"/>
    <w:rsid w:val="00212CB6"/>
    <w:rsid w:val="00212E37"/>
    <w:rsid w:val="00212FA9"/>
    <w:rsid w:val="00213D96"/>
    <w:rsid w:val="002140FF"/>
    <w:rsid w:val="0021420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5D2"/>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728"/>
    <w:rsid w:val="00270A6B"/>
    <w:rsid w:val="00270D42"/>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73CC"/>
    <w:rsid w:val="003A7834"/>
    <w:rsid w:val="003B0B5B"/>
    <w:rsid w:val="003B0BFD"/>
    <w:rsid w:val="003B0DEC"/>
    <w:rsid w:val="003B0E79"/>
    <w:rsid w:val="003B1067"/>
    <w:rsid w:val="003B110C"/>
    <w:rsid w:val="003B19A2"/>
    <w:rsid w:val="003B1E1F"/>
    <w:rsid w:val="003B3575"/>
    <w:rsid w:val="003B36F5"/>
    <w:rsid w:val="003B4EE0"/>
    <w:rsid w:val="003B4EF5"/>
    <w:rsid w:val="003B50BC"/>
    <w:rsid w:val="003B5D97"/>
    <w:rsid w:val="003B63A4"/>
    <w:rsid w:val="003B68EE"/>
    <w:rsid w:val="003B68FE"/>
    <w:rsid w:val="003B6D7D"/>
    <w:rsid w:val="003B6E57"/>
    <w:rsid w:val="003B6F91"/>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DAB"/>
    <w:rsid w:val="00457B9B"/>
    <w:rsid w:val="00457F70"/>
    <w:rsid w:val="00460CC3"/>
    <w:rsid w:val="00460E86"/>
    <w:rsid w:val="0046232D"/>
    <w:rsid w:val="004632DB"/>
    <w:rsid w:val="00463919"/>
    <w:rsid w:val="004646B4"/>
    <w:rsid w:val="00464A88"/>
    <w:rsid w:val="004651A0"/>
    <w:rsid w:val="00465422"/>
    <w:rsid w:val="00466446"/>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B6D"/>
    <w:rsid w:val="004E2DE0"/>
    <w:rsid w:val="004E4060"/>
    <w:rsid w:val="004E409A"/>
    <w:rsid w:val="004E6442"/>
    <w:rsid w:val="004E664C"/>
    <w:rsid w:val="004E6B95"/>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73A7"/>
    <w:rsid w:val="0051763B"/>
    <w:rsid w:val="005177E1"/>
    <w:rsid w:val="0052021F"/>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9B"/>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A97"/>
    <w:rsid w:val="007C7F79"/>
    <w:rsid w:val="007D0093"/>
    <w:rsid w:val="007D0973"/>
    <w:rsid w:val="007D15BA"/>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602"/>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4A4"/>
    <w:rsid w:val="0088260B"/>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41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D85"/>
    <w:rsid w:val="008D3F61"/>
    <w:rsid w:val="008D4352"/>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BF2"/>
    <w:rsid w:val="008E5C81"/>
    <w:rsid w:val="008E654C"/>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3CAB"/>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A22"/>
    <w:rsid w:val="00A03A3B"/>
    <w:rsid w:val="00A03B6E"/>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4C7C"/>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36C"/>
    <w:rsid w:val="00A915CF"/>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AE3"/>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185"/>
    <w:rsid w:val="00AD2852"/>
    <w:rsid w:val="00AD28C0"/>
    <w:rsid w:val="00AD2BEB"/>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61BE2"/>
    <w:rsid w:val="00B6266F"/>
    <w:rsid w:val="00B62C82"/>
    <w:rsid w:val="00B62E0B"/>
    <w:rsid w:val="00B63B37"/>
    <w:rsid w:val="00B63C32"/>
    <w:rsid w:val="00B64215"/>
    <w:rsid w:val="00B64434"/>
    <w:rsid w:val="00B65BFA"/>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7E7"/>
    <w:rsid w:val="00BC6C77"/>
    <w:rsid w:val="00BC6FD6"/>
    <w:rsid w:val="00BD008E"/>
    <w:rsid w:val="00BD0258"/>
    <w:rsid w:val="00BD2F3B"/>
    <w:rsid w:val="00BD3372"/>
    <w:rsid w:val="00BD3D09"/>
    <w:rsid w:val="00BD466D"/>
    <w:rsid w:val="00BD50AA"/>
    <w:rsid w:val="00BD5135"/>
    <w:rsid w:val="00BD6278"/>
    <w:rsid w:val="00BD63BB"/>
    <w:rsid w:val="00BD63E3"/>
    <w:rsid w:val="00BD64FF"/>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8AD"/>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5E8"/>
    <w:rsid w:val="00CD087D"/>
    <w:rsid w:val="00CD0F5D"/>
    <w:rsid w:val="00CD1C0B"/>
    <w:rsid w:val="00CD239A"/>
    <w:rsid w:val="00CD25FF"/>
    <w:rsid w:val="00CD308A"/>
    <w:rsid w:val="00CD30A0"/>
    <w:rsid w:val="00CD30B3"/>
    <w:rsid w:val="00CD44DE"/>
    <w:rsid w:val="00CD4641"/>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E87"/>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0406"/>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E0D"/>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1D84"/>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A6CCA"/>
    <w:rsid w:val="00FB0082"/>
    <w:rsid w:val="00FB0243"/>
    <w:rsid w:val="00FB0E0D"/>
    <w:rsid w:val="00FB12B3"/>
    <w:rsid w:val="00FB1527"/>
    <w:rsid w:val="00FB2537"/>
    <w:rsid w:val="00FB33DC"/>
    <w:rsid w:val="00FB3E29"/>
    <w:rsid w:val="00FB4338"/>
    <w:rsid w:val="00FB477E"/>
    <w:rsid w:val="00FB4C4C"/>
    <w:rsid w:val="00FB4C9C"/>
    <w:rsid w:val="00FB506E"/>
    <w:rsid w:val="00FB603C"/>
    <w:rsid w:val="00FB6165"/>
    <w:rsid w:val="00FB71CB"/>
    <w:rsid w:val="00FC0150"/>
    <w:rsid w:val="00FC03AB"/>
    <w:rsid w:val="00FC0F39"/>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unhideWhenUsed/>
    <w:rsid w:val="00962972"/>
    <w:pPr>
      <w:jc w:val="left"/>
    </w:pPr>
  </w:style>
  <w:style w:type="character" w:customStyle="1" w:styleId="CommentTextChar">
    <w:name w:val="Comment Text Char"/>
    <w:basedOn w:val="DefaultParagraphFont"/>
    <w:link w:val="CommentTex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15BEA-DD50-489D-9E37-D1E46EAC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 final</cp:lastModifiedBy>
  <cp:revision>5</cp:revision>
  <cp:lastPrinted>2007-06-18T22:08:00Z</cp:lastPrinted>
  <dcterms:created xsi:type="dcterms:W3CDTF">2021-04-06T11:05:00Z</dcterms:created>
  <dcterms:modified xsi:type="dcterms:W3CDTF">2021-04-06T22:36:00Z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(3)WQYc/9W4vNPFQcpYc1zv2KRwPUWGobOg+rKARWlLS85NGQifCeRn2rMU/Ra2Beb3lSDs6fEy
8m1gCyvZ3F1BVcD9v35th0AdvoZaNVCqgNbLFoXSFsr+cTh9AUjGEpZckb+SY/17tABEibdr
OSpWf0zlRiFB0ObzmrQYUZoXyL37dSBL43zeSit6H1AGKxHQhnLtbAsxkzaPQT7IY9I8Arwr
QJTWlqGqvEpmLq2s4L</vt:lpwstr>
  </property>
  <property fmtid="{D5CDD505-2E9C-101B-9397-08002B2CF9AE}" pid="13" name="_2015_ms_pID_725343_00">
    <vt:lpwstr>_2015_ms_pID_725343</vt:lpwstr>
  </property>
  <property fmtid="{D5CDD505-2E9C-101B-9397-08002B2CF9AE}" pid="14" name="_2015_ms_pID_7253431">
    <vt:lpwstr>zFkIHeyW4DvUn06G9UdSejLJiuSprOzX72BX+rtflADqjnjG0TQSbh
VUIQi8VUOJJMZmLS6hP9NKUCsgxcV6GZbN/ACP3ha+BFr8ypHRPdPBWrFK5T0yHuW/JZsEPN
gxJDB0umdsrEKkAS9rnfhtcyK7UN+HOs7EtDo9OFiconCbhgNn9DXIkVAuN9O1vuR+I+t+SY
bQuX9zipuYg2VXm6BBFHBRTk4Sv/Xze6GZJl</vt:lpwstr>
  </property>
  <property fmtid="{D5CDD505-2E9C-101B-9397-08002B2CF9AE}" pid="15" name="_2015_ms_pID_7253431_00">
    <vt:lpwstr>_2015_ms_pID_7253431</vt:lpwstr>
  </property>
  <property fmtid="{D5CDD505-2E9C-101B-9397-08002B2CF9AE}" pid="16" name="_2015_ms_pID_7253432">
    <vt:lpwstr>cF4NymTN0DGQvAAhgyjp76O/48sCiXFrVHLl
g5zEO7SMrYdPxO6qx4kFB38sHHWU3w==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1617335746</vt:lpwstr>
  </property>
</Properties>
</file>