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w:t>
                            </w:r>
                            <w:proofErr w:type="spellStart"/>
                            <w:r w:rsidRPr="00787267">
                              <w:rPr>
                                <w:i/>
                              </w:rPr>
                              <w:t>eMTC</w:t>
                            </w:r>
                            <w:proofErr w:type="spellEnd"/>
                            <w:r w:rsidRPr="00787267">
                              <w:rPr>
                                <w:i/>
                              </w:rPr>
                              <w:t xml:space="preserve">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w:t>
      </w:r>
      <w:proofErr w:type="gramStart"/>
      <w:r>
        <w:rPr>
          <w:lang w:val="en-GB" w:eastAsia="en-US"/>
        </w:rPr>
        <w:t>round trip</w:t>
      </w:r>
      <w:proofErr w:type="gramEnd"/>
      <w:r>
        <w:rPr>
          <w:lang w:val="en-GB" w:eastAsia="en-US"/>
        </w:rPr>
        <w:t xml:space="preserve">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w:t>
      </w:r>
      <w:proofErr w:type="spellStart"/>
      <w:r w:rsidR="009153A8">
        <w:rPr>
          <w:lang w:val="en-GB" w:eastAsia="en-US"/>
        </w:rPr>
        <w:t>eMTC</w:t>
      </w:r>
      <w:proofErr w:type="spellEnd"/>
      <w:r w:rsidR="009153A8">
        <w:rPr>
          <w:lang w:val="en-GB" w:eastAsia="en-US"/>
        </w:rPr>
        <w:t xml:space="preserve">,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 xml:space="preserve">NB-IoT and </w:t>
      </w:r>
      <w:proofErr w:type="spellStart"/>
      <w:r w:rsidR="0060215B">
        <w:rPr>
          <w:lang w:val="en-GB"/>
        </w:rPr>
        <w:t>eMTC</w:t>
      </w:r>
      <w:proofErr w:type="spellEnd"/>
      <w:r w:rsidR="0060215B">
        <w:rPr>
          <w:lang w:val="en-GB"/>
        </w:rPr>
        <w:t xml:space="preserve">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 xml:space="preserve">Oppo, Huawei (for NB-IoT), ZTE, CATT, Vivo, MediaTek, Intel, Lenovo, </w:t>
            </w:r>
            <w:proofErr w:type="spellStart"/>
            <w:r w:rsidRPr="00084036">
              <w:rPr>
                <w:rFonts w:ascii="Times" w:hAnsi="Times" w:cs="Times"/>
                <w:sz w:val="20"/>
                <w:szCs w:val="20"/>
              </w:rPr>
              <w:t>Spreadtrum</w:t>
            </w:r>
            <w:proofErr w:type="spellEnd"/>
            <w:r w:rsidRPr="00084036">
              <w:rPr>
                <w:rFonts w:ascii="Times" w:hAnsi="Times" w:cs="Times"/>
                <w:sz w:val="20"/>
                <w:szCs w:val="20"/>
              </w:rPr>
              <w:t xml:space="preserve"> (for NB-IoT), Xiaomi, Samsung, Sierra Wireless (for </w:t>
            </w:r>
            <w:proofErr w:type="spellStart"/>
            <w:r w:rsidRPr="00084036">
              <w:rPr>
                <w:rFonts w:ascii="Times" w:hAnsi="Times" w:cs="Times"/>
                <w:sz w:val="20"/>
                <w:szCs w:val="20"/>
              </w:rPr>
              <w:t>eMTC</w:t>
            </w:r>
            <w:proofErr w:type="spellEnd"/>
            <w:r w:rsidRPr="00084036">
              <w:rPr>
                <w:rFonts w:ascii="Times" w:hAnsi="Times" w:cs="Times"/>
                <w:sz w:val="20"/>
                <w:szCs w:val="20"/>
              </w:rPr>
              <w:t>),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Further discuss </w:t>
            </w:r>
            <w:proofErr w:type="gramStart"/>
            <w:r w:rsidRPr="00084036">
              <w:rPr>
                <w:rFonts w:ascii="Times" w:hAnsi="Times" w:cs="Times"/>
                <w:b/>
                <w:sz w:val="20"/>
                <w:szCs w:val="20"/>
              </w:rPr>
              <w:t>(</w:t>
            </w:r>
            <w:r w:rsidRPr="00084036">
              <w:rPr>
                <w:rFonts w:ascii="Times" w:hAnsi="Times" w:cs="Times"/>
                <w:sz w:val="20"/>
                <w:szCs w:val="20"/>
              </w:rPr>
              <w:t xml:space="preserve"> Ericsson</w:t>
            </w:r>
            <w:proofErr w:type="gramEnd"/>
            <w:r w:rsidRPr="00084036">
              <w:rPr>
                <w:rFonts w:ascii="Times" w:hAnsi="Times" w:cs="Times"/>
                <w:sz w:val="20"/>
                <w:szCs w:val="20"/>
              </w:rPr>
              <w:t>,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w:t>
            </w:r>
            <w:proofErr w:type="spellStart"/>
            <w:r w:rsidRPr="00084036">
              <w:rPr>
                <w:rFonts w:ascii="Times" w:eastAsia="SimSun" w:hAnsi="Times" w:cs="Times"/>
                <w:sz w:val="20"/>
                <w:szCs w:val="20"/>
                <w:lang w:eastAsia="en-US"/>
              </w:rPr>
              <w:t>eMTC</w:t>
            </w:r>
            <w:proofErr w:type="spellEnd"/>
            <w:r w:rsidRPr="00084036">
              <w:rPr>
                <w:rFonts w:ascii="Times" w:eastAsia="SimSun" w:hAnsi="Times" w:cs="Times"/>
                <w:sz w:val="20"/>
                <w:szCs w:val="20"/>
                <w:lang w:eastAsia="en-US"/>
              </w:rPr>
              <w:t xml:space="preserve">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 xml:space="preserve">UE complexity (Oppo, Huawei, CATT, Vivo, Intel, </w:t>
            </w:r>
            <w:proofErr w:type="spellStart"/>
            <w:r w:rsidRPr="00084036">
              <w:rPr>
                <w:rFonts w:ascii="Times" w:eastAsia="SimSun" w:hAnsi="Times" w:cs="Times"/>
                <w:sz w:val="20"/>
                <w:szCs w:val="20"/>
                <w:lang w:eastAsia="en-US"/>
              </w:rPr>
              <w:t>Spreadtrum</w:t>
            </w:r>
            <w:proofErr w:type="spellEnd"/>
            <w:r w:rsidRPr="00084036">
              <w:rPr>
                <w:rFonts w:ascii="Times" w:eastAsia="SimSun" w:hAnsi="Times" w:cs="Times"/>
                <w:sz w:val="20"/>
                <w:szCs w:val="20"/>
                <w:lang w:eastAsia="en-US"/>
              </w:rPr>
              <w:t>,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 xml:space="preserve">Not needed for NB-IoT, existing mechanism for aggregating resources can be used (Huawei, </w:t>
            </w:r>
            <w:proofErr w:type="spellStart"/>
            <w:r w:rsidRPr="00084036">
              <w:rPr>
                <w:rFonts w:ascii="Times" w:eastAsia="SimSun" w:hAnsi="Times" w:cs="Times"/>
                <w:sz w:val="20"/>
                <w:szCs w:val="20"/>
                <w:lang w:eastAsia="en-US"/>
              </w:rPr>
              <w:t>Spreadtrum</w:t>
            </w:r>
            <w:proofErr w:type="spellEnd"/>
            <w:r w:rsidRPr="00084036">
              <w:rPr>
                <w:rFonts w:ascii="Times" w:eastAsia="SimSun" w:hAnsi="Times" w:cs="Times"/>
                <w:sz w:val="20"/>
                <w:szCs w:val="20"/>
                <w:lang w:eastAsia="en-US"/>
              </w:rPr>
              <w:t>,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 xml:space="preserve">number of HARQ processes for NB-IoT and </w:t>
      </w:r>
      <w:proofErr w:type="spellStart"/>
      <w:r w:rsidR="003B5E71">
        <w:rPr>
          <w:rFonts w:eastAsia="DengXian"/>
          <w:szCs w:val="22"/>
          <w:lang w:eastAsia="zh-CN" w:bidi="ar"/>
        </w:rPr>
        <w:t>eMTC</w:t>
      </w:r>
      <w:proofErr w:type="spellEnd"/>
      <w:r w:rsidR="003B5E71">
        <w:rPr>
          <w:rFonts w:eastAsia="DengXian"/>
          <w:szCs w:val="22"/>
          <w:lang w:eastAsia="zh-CN" w:bidi="ar"/>
        </w:rPr>
        <w:t xml:space="preserve">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77"/>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SimSun"/>
                <w:sz w:val="18"/>
                <w:szCs w:val="18"/>
                <w:lang w:eastAsia="zh-CN"/>
              </w:rPr>
            </w:pPr>
            <w:r>
              <w:rPr>
                <w:rFonts w:eastAsia="DengXian"/>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SimSun"/>
                <w:sz w:val="18"/>
                <w:szCs w:val="18"/>
                <w:lang w:eastAsia="zh-CN"/>
              </w:rPr>
            </w:pPr>
            <w:r w:rsidRPr="00B84A63">
              <w:rPr>
                <w:rFonts w:eastAsia="DengXian"/>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SimSun"/>
                <w:sz w:val="18"/>
                <w:szCs w:val="18"/>
                <w:lang w:eastAsia="zh-CN"/>
              </w:rPr>
            </w:pPr>
            <w:r w:rsidRPr="00B84A63">
              <w:rPr>
                <w:rFonts w:eastAsia="DengXian"/>
                <w:sz w:val="18"/>
                <w:szCs w:val="18"/>
                <w:lang w:eastAsia="zh-CN"/>
              </w:rPr>
              <w:t>In principle we agree that</w:t>
            </w:r>
            <w:r w:rsidRPr="00B84A63">
              <w:t xml:space="preserve"> </w:t>
            </w:r>
            <w:r w:rsidRPr="00B84A63">
              <w:rPr>
                <w:rFonts w:eastAsia="DengXian"/>
                <w:sz w:val="18"/>
                <w:szCs w:val="18"/>
                <w:lang w:eastAsia="zh-CN"/>
              </w:rPr>
              <w:t xml:space="preserve">increasing the number of HARQ processes is likely not needed for IoT </w:t>
            </w:r>
            <w:proofErr w:type="gramStart"/>
            <w:r w:rsidRPr="00B84A63">
              <w:rPr>
                <w:rFonts w:eastAsia="DengXian"/>
                <w:sz w:val="18"/>
                <w:szCs w:val="18"/>
                <w:lang w:eastAsia="zh-CN"/>
              </w:rPr>
              <w:t>NTN  but</w:t>
            </w:r>
            <w:proofErr w:type="gramEnd"/>
            <w:r w:rsidRPr="00B84A63">
              <w:rPr>
                <w:rFonts w:eastAsia="DengXian"/>
                <w:sz w:val="18"/>
                <w:szCs w:val="18"/>
                <w:lang w:eastAsia="zh-CN"/>
              </w:rPr>
              <w:t xml:space="preserve"> since this is a study item, it would seem proper to have a thorough investigation before concluding this topic.</w:t>
            </w:r>
          </w:p>
        </w:tc>
      </w:tr>
      <w:tr w:rsidR="00B84A6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7777777" w:rsidR="00B84A63" w:rsidRDefault="00B84A63" w:rsidP="00B84A6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854CE4" w14:textId="77777777" w:rsidR="00B84A63" w:rsidRPr="00802789" w:rsidRDefault="00B84A63" w:rsidP="00B84A63">
            <w:pPr>
              <w:ind w:firstLine="180"/>
              <w:rPr>
                <w:rFonts w:eastAsia="SimSun"/>
                <w:sz w:val="18"/>
                <w:lang w:eastAsia="en-US"/>
              </w:rPr>
            </w:pPr>
          </w:p>
        </w:tc>
      </w:tr>
      <w:tr w:rsidR="00B84A63"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77777777" w:rsidR="00B84A63" w:rsidRDefault="00B84A63" w:rsidP="00B84A6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DBAAE55" w14:textId="77777777" w:rsidR="00B84A63" w:rsidRDefault="00B84A63" w:rsidP="00B84A63">
            <w:pPr>
              <w:snapToGrid w:val="0"/>
              <w:ind w:firstLine="180"/>
              <w:rPr>
                <w:rFonts w:eastAsia="DengXian"/>
                <w:sz w:val="18"/>
                <w:szCs w:val="18"/>
                <w:lang w:eastAsia="zh-CN"/>
              </w:rPr>
            </w:pPr>
          </w:p>
        </w:tc>
      </w:tr>
      <w:tr w:rsidR="00B84A63"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77777777" w:rsidR="00B84A63" w:rsidRDefault="00B84A63" w:rsidP="00B84A6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A6101F3" w14:textId="77777777" w:rsidR="00B84A63" w:rsidRPr="00B81BD4" w:rsidRDefault="00B84A63" w:rsidP="00B84A63">
            <w:pPr>
              <w:snapToGrid w:val="0"/>
              <w:ind w:firstLine="180"/>
              <w:rPr>
                <w:sz w:val="18"/>
              </w:rPr>
            </w:pPr>
          </w:p>
        </w:tc>
      </w:tr>
      <w:tr w:rsidR="00B84A63"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77777777" w:rsidR="00B84A63" w:rsidRDefault="00B84A63" w:rsidP="00B84A6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A7416D" w14:textId="77777777" w:rsidR="00B84A63" w:rsidRDefault="00B84A63" w:rsidP="00B84A63">
            <w:pPr>
              <w:snapToGrid w:val="0"/>
              <w:ind w:firstLine="180"/>
              <w:rPr>
                <w:rFonts w:eastAsia="DengXian"/>
                <w:sz w:val="18"/>
                <w:szCs w:val="18"/>
                <w:lang w:eastAsia="zh-CN"/>
              </w:rPr>
            </w:pPr>
          </w:p>
        </w:tc>
      </w:tr>
      <w:tr w:rsidR="00B84A63"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77777777" w:rsidR="00B84A63" w:rsidRDefault="00B84A63" w:rsidP="00B84A6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D01BA4" w14:textId="77777777" w:rsidR="00B84A63" w:rsidRPr="000B0AC1" w:rsidRDefault="00B84A63" w:rsidP="00B84A63">
            <w:pPr>
              <w:snapToGrid w:val="0"/>
              <w:ind w:firstLine="180"/>
              <w:rPr>
                <w:sz w:val="18"/>
                <w:szCs w:val="18"/>
                <w:highlight w:val="yellow"/>
              </w:rPr>
            </w:pPr>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w:t>
            </w:r>
            <w:proofErr w:type="spellStart"/>
            <w:r w:rsidRPr="009722CB">
              <w:rPr>
                <w:rFonts w:ascii="Times New Roman" w:eastAsia="SimSun" w:hAnsi="Times New Roman"/>
                <w:sz w:val="20"/>
                <w:szCs w:val="20"/>
                <w:lang w:eastAsia="en-US"/>
              </w:rPr>
              <w:t>eMTC</w:t>
            </w:r>
            <w:proofErr w:type="spellEnd"/>
            <w:r w:rsidRPr="009722CB">
              <w:rPr>
                <w:rFonts w:ascii="Times New Roman" w:eastAsia="SimSun" w:hAnsi="Times New Roman"/>
                <w:sz w:val="20"/>
                <w:szCs w:val="20"/>
                <w:lang w:eastAsia="en-US"/>
              </w:rPr>
              <w:t xml:space="preserve">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Vivo, Intel, </w:t>
            </w:r>
            <w:proofErr w:type="spellStart"/>
            <w:r w:rsidRPr="009722CB">
              <w:rPr>
                <w:rFonts w:ascii="Times New Roman" w:eastAsia="SimSun" w:hAnsi="Times New Roman"/>
                <w:sz w:val="20"/>
                <w:szCs w:val="20"/>
                <w:lang w:eastAsia="en-US"/>
              </w:rPr>
              <w:t>Spreadtrum</w:t>
            </w:r>
            <w:proofErr w:type="spellEnd"/>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w:t>
            </w:r>
            <w:proofErr w:type="spellStart"/>
            <w:r w:rsidRPr="009722CB">
              <w:rPr>
                <w:rFonts w:ascii="Times New Roman" w:eastAsia="SimSun" w:hAnsi="Times New Roman"/>
                <w:sz w:val="20"/>
                <w:szCs w:val="20"/>
                <w:lang w:eastAsia="en-US"/>
              </w:rPr>
              <w:t>eMTC</w:t>
            </w:r>
            <w:proofErr w:type="spellEnd"/>
            <w:r w:rsidRPr="009722CB">
              <w:rPr>
                <w:rFonts w:ascii="Times New Roman" w:eastAsia="SimSun" w:hAnsi="Times New Roman"/>
                <w:sz w:val="20"/>
                <w:szCs w:val="20"/>
                <w:lang w:eastAsia="en-US"/>
              </w:rPr>
              <w:t xml:space="preserve"> </w:t>
            </w:r>
            <w:proofErr w:type="spellStart"/>
            <w:r w:rsidRPr="009722CB">
              <w:rPr>
                <w:rFonts w:ascii="Times New Roman" w:eastAsia="SimSun" w:hAnsi="Times New Roman"/>
                <w:sz w:val="20"/>
                <w:szCs w:val="20"/>
                <w:lang w:eastAsia="en-US"/>
              </w:rPr>
              <w:t>CEModeB</w:t>
            </w:r>
            <w:proofErr w:type="spellEnd"/>
            <w:r w:rsidRPr="009722CB">
              <w:rPr>
                <w:rFonts w:ascii="Times New Roman" w:eastAsia="SimSun" w:hAnsi="Times New Roman"/>
                <w:sz w:val="20"/>
                <w:szCs w:val="20"/>
                <w:lang w:eastAsia="en-US"/>
              </w:rPr>
              <w:t xml:space="preserve">),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Throughput requirement for </w:t>
            </w:r>
            <w:proofErr w:type="spellStart"/>
            <w:r w:rsidRPr="009722CB">
              <w:rPr>
                <w:rFonts w:ascii="Times New Roman" w:eastAsia="SimSun" w:hAnsi="Times New Roman"/>
                <w:sz w:val="20"/>
                <w:szCs w:val="20"/>
                <w:lang w:eastAsia="en-US"/>
              </w:rPr>
              <w:t>eMTC</w:t>
            </w:r>
            <w:proofErr w:type="spellEnd"/>
            <w:r w:rsidRPr="009722CB">
              <w:rPr>
                <w:rFonts w:ascii="Times New Roman" w:eastAsia="SimSun" w:hAnsi="Times New Roman"/>
                <w:sz w:val="20"/>
                <w:szCs w:val="20"/>
                <w:lang w:eastAsia="en-US"/>
              </w:rPr>
              <w:t xml:space="preserve">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Disabling HARQ feedback benefits UE power consumption (Vivo, </w:t>
            </w:r>
            <w:proofErr w:type="spellStart"/>
            <w:r w:rsidRPr="009722CB">
              <w:rPr>
                <w:rFonts w:ascii="Times New Roman" w:eastAsia="SimSun" w:hAnsi="Times New Roman"/>
                <w:sz w:val="20"/>
                <w:szCs w:val="20"/>
                <w:lang w:eastAsia="en-US"/>
              </w:rPr>
              <w:t>Spreadtrum</w:t>
            </w:r>
            <w:proofErr w:type="spellEnd"/>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RRC </w:t>
            </w:r>
            <w:proofErr w:type="spellStart"/>
            <w:r w:rsidRPr="009722CB">
              <w:rPr>
                <w:rFonts w:ascii="Times New Roman" w:hAnsi="Times New Roman"/>
                <w:iCs/>
                <w:sz w:val="20"/>
                <w:szCs w:val="20"/>
              </w:rPr>
              <w:t>signalling</w:t>
            </w:r>
            <w:proofErr w:type="spellEnd"/>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w:t>
            </w:r>
            <w:proofErr w:type="spellStart"/>
            <w:r w:rsidRPr="009722CB">
              <w:rPr>
                <w:rFonts w:ascii="Times New Roman" w:eastAsia="SimSun" w:hAnsi="Times New Roman"/>
                <w:sz w:val="20"/>
                <w:szCs w:val="20"/>
                <w:lang w:eastAsia="en-US"/>
              </w:rPr>
              <w:t>eMTC</w:t>
            </w:r>
            <w:proofErr w:type="spellEnd"/>
            <w:r w:rsidRPr="009722CB">
              <w:rPr>
                <w:rFonts w:ascii="Times New Roman" w:eastAsia="SimSun" w:hAnsi="Times New Roman"/>
                <w:sz w:val="20"/>
                <w:szCs w:val="20"/>
                <w:lang w:eastAsia="en-US"/>
              </w:rPr>
              <w:t xml:space="preserve">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 xml:space="preserve">ue to the higher number of repetitions, and low number of HARQ processes in NB-IoT (Huawei, ZTE, CATT, MediaTek, Lenovo, </w:t>
            </w:r>
            <w:proofErr w:type="spellStart"/>
            <w:r w:rsidRPr="009722CB">
              <w:rPr>
                <w:rFonts w:ascii="Times New Roman" w:hAnsi="Times New Roman"/>
                <w:sz w:val="20"/>
                <w:szCs w:val="20"/>
                <w:lang w:eastAsia="ko-KR"/>
              </w:rPr>
              <w:t>Spreadtrum</w:t>
            </w:r>
            <w:proofErr w:type="spellEnd"/>
            <w:r w:rsidRPr="009722CB">
              <w:rPr>
                <w:rFonts w:ascii="Times New Roman" w:hAnsi="Times New Roman"/>
                <w:sz w:val="20"/>
                <w:szCs w:val="20"/>
                <w:lang w:eastAsia="ko-KR"/>
              </w:rPr>
              <w:t>)</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 xml:space="preserve">for NB-IoT and </w:t>
      </w:r>
      <w:proofErr w:type="spellStart"/>
      <w:r w:rsidR="00EA15C2">
        <w:rPr>
          <w:rFonts w:eastAsia="DengXian"/>
          <w:szCs w:val="22"/>
          <w:lang w:eastAsia="zh-CN" w:bidi="ar"/>
        </w:rPr>
        <w:t>eMTC</w:t>
      </w:r>
      <w:proofErr w:type="spellEnd"/>
      <w:r w:rsidR="00EA15C2">
        <w:rPr>
          <w:rFonts w:eastAsia="DengXian"/>
          <w:szCs w:val="22"/>
          <w:lang w:eastAsia="zh-CN" w:bidi="ar"/>
        </w:rPr>
        <w:t xml:space="preserve">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NB-IoT and </w:t>
      </w:r>
      <w:proofErr w:type="spellStart"/>
      <w:r>
        <w:rPr>
          <w:rFonts w:eastAsia="DengXian"/>
          <w:szCs w:val="22"/>
          <w:lang w:eastAsia="zh-CN" w:bidi="ar"/>
        </w:rPr>
        <w:t>eMTC</w:t>
      </w:r>
      <w:proofErr w:type="spellEnd"/>
      <w:r>
        <w:rPr>
          <w:rFonts w:eastAsia="DengXian"/>
          <w:szCs w:val="22"/>
          <w:lang w:eastAsia="zh-CN" w:bidi="ar"/>
        </w:rPr>
        <w:t xml:space="preserve">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77"/>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SimSun"/>
                <w:sz w:val="18"/>
                <w:szCs w:val="18"/>
                <w:lang w:eastAsia="zh-CN"/>
              </w:rPr>
            </w:pPr>
            <w:r>
              <w:rPr>
                <w:rFonts w:eastAsia="SimSun"/>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SimSun"/>
                <w:sz w:val="18"/>
                <w:szCs w:val="18"/>
                <w:lang w:eastAsia="zh-CN"/>
              </w:rPr>
            </w:pPr>
            <w:r>
              <w:rPr>
                <w:rFonts w:eastAsia="DengXian"/>
                <w:sz w:val="18"/>
                <w:szCs w:val="18"/>
                <w:lang w:eastAsia="zh-CN"/>
              </w:rPr>
              <w:t xml:space="preserve">In principle agree with proposal 2, but possibly we can consider the necessity separately for NB-IoT and </w:t>
            </w:r>
            <w:proofErr w:type="spellStart"/>
            <w:r>
              <w:rPr>
                <w:rFonts w:eastAsia="DengXian"/>
                <w:sz w:val="18"/>
                <w:szCs w:val="18"/>
                <w:lang w:eastAsia="zh-CN"/>
              </w:rPr>
              <w:t>eMTC</w:t>
            </w:r>
            <w:proofErr w:type="spellEnd"/>
            <w:r>
              <w:rPr>
                <w:rFonts w:eastAsia="DengXian"/>
                <w:sz w:val="18"/>
                <w:szCs w:val="18"/>
                <w:lang w:eastAsia="zh-CN"/>
              </w:rPr>
              <w:t xml:space="preserve">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SimSun"/>
                <w:sz w:val="18"/>
                <w:szCs w:val="18"/>
                <w:lang w:eastAsia="zh-CN"/>
              </w:rPr>
            </w:pPr>
            <w:r w:rsidRPr="00133D83">
              <w:rPr>
                <w:rFonts w:eastAsia="SimSun"/>
                <w:sz w:val="18"/>
                <w:szCs w:val="18"/>
                <w:lang w:eastAsia="zh-CN"/>
              </w:rPr>
              <w:t>We are fine with the proposal.</w:t>
            </w:r>
          </w:p>
        </w:tc>
      </w:tr>
      <w:tr w:rsidR="002D7169"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E94B5A3" w14:textId="77777777" w:rsidR="002D7169" w:rsidRPr="00802789" w:rsidRDefault="002D7169" w:rsidP="00E9400D">
            <w:pPr>
              <w:ind w:firstLine="180"/>
              <w:rPr>
                <w:rFonts w:eastAsia="SimSun"/>
                <w:sz w:val="18"/>
                <w:lang w:eastAsia="en-US"/>
              </w:rPr>
            </w:pPr>
          </w:p>
        </w:tc>
      </w:tr>
      <w:tr w:rsidR="002D7169"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517FE41" w14:textId="77777777" w:rsidR="002D7169" w:rsidRDefault="002D7169" w:rsidP="00E9400D">
            <w:pPr>
              <w:snapToGrid w:val="0"/>
              <w:ind w:firstLine="180"/>
              <w:rPr>
                <w:rFonts w:eastAsia="DengXian"/>
                <w:sz w:val="18"/>
                <w:szCs w:val="18"/>
                <w:lang w:eastAsia="zh-CN"/>
              </w:rPr>
            </w:pPr>
          </w:p>
        </w:tc>
      </w:tr>
      <w:tr w:rsidR="002D7169"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4BF24CC" w14:textId="77777777" w:rsidR="002D7169" w:rsidRPr="00B81BD4" w:rsidRDefault="002D7169" w:rsidP="00E9400D">
            <w:pPr>
              <w:snapToGrid w:val="0"/>
              <w:ind w:firstLine="180"/>
              <w:rPr>
                <w:sz w:val="18"/>
              </w:rPr>
            </w:pPr>
          </w:p>
        </w:tc>
      </w:tr>
      <w:tr w:rsidR="002D7169"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C04AFCF" w14:textId="77777777" w:rsidR="002D7169" w:rsidRDefault="002D7169" w:rsidP="00E9400D">
            <w:pPr>
              <w:snapToGrid w:val="0"/>
              <w:ind w:firstLine="180"/>
              <w:rPr>
                <w:rFonts w:eastAsia="DengXian"/>
                <w:sz w:val="18"/>
                <w:szCs w:val="18"/>
                <w:lang w:eastAsia="zh-CN"/>
              </w:rPr>
            </w:pPr>
          </w:p>
        </w:tc>
      </w:tr>
      <w:tr w:rsidR="002D7169"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B74B2F1" w14:textId="77777777" w:rsidR="002D7169" w:rsidRPr="000B0AC1" w:rsidRDefault="002D7169" w:rsidP="00E9400D">
            <w:pPr>
              <w:snapToGrid w:val="0"/>
              <w:ind w:firstLine="180"/>
              <w:rPr>
                <w:sz w:val="18"/>
                <w:szCs w:val="18"/>
                <w:highlight w:val="yellow"/>
              </w:rPr>
            </w:pPr>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Heading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proofErr w:type="gramStart"/>
            <w:r w:rsidRPr="00581E49">
              <w:rPr>
                <w:rFonts w:ascii="Times" w:hAnsi="Times" w:cs="Times"/>
                <w:sz w:val="20"/>
                <w:szCs w:val="20"/>
              </w:rPr>
              <w:t>In order to</w:t>
            </w:r>
            <w:proofErr w:type="gramEnd"/>
            <w:r w:rsidRPr="00581E49">
              <w:rPr>
                <w:rFonts w:ascii="Times" w:hAnsi="Times" w:cs="Times"/>
                <w:sz w:val="20"/>
                <w:szCs w:val="20"/>
              </w:rPr>
              <w:t xml:space="preserve">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w:t>
            </w:r>
            <w:proofErr w:type="spellStart"/>
            <w:r w:rsidRPr="00581E49">
              <w:rPr>
                <w:rFonts w:ascii="Times" w:hAnsi="Times" w:cs="Times"/>
                <w:sz w:val="20"/>
                <w:szCs w:val="20"/>
                <w:lang w:eastAsia="zh-CN"/>
              </w:rPr>
              <w:t>eMTC</w:t>
            </w:r>
            <w:proofErr w:type="spellEnd"/>
            <w:r w:rsidRPr="00581E49">
              <w:rPr>
                <w:rFonts w:ascii="Times" w:hAnsi="Times" w:cs="Times"/>
                <w:sz w:val="20"/>
                <w:szCs w:val="20"/>
                <w:lang w:eastAsia="zh-CN"/>
              </w:rPr>
              <w:t xml:space="preserve">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w:t>
            </w:r>
            <w:proofErr w:type="gramStart"/>
            <w:r w:rsidR="00595813">
              <w:rPr>
                <w:rFonts w:ascii="Times" w:hAnsi="Times" w:cs="Times"/>
                <w:sz w:val="20"/>
                <w:szCs w:val="20"/>
                <w:lang w:eastAsia="zh-CN"/>
              </w:rPr>
              <w:t>taken into account</w:t>
            </w:r>
            <w:proofErr w:type="gramEnd"/>
            <w:r w:rsidR="00595813">
              <w:rPr>
                <w:rFonts w:ascii="Times" w:hAnsi="Times" w:cs="Times"/>
                <w:sz w:val="20"/>
                <w:szCs w:val="20"/>
                <w:lang w:eastAsia="zh-CN"/>
              </w:rPr>
              <w:t xml:space="preserve">.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 xml:space="preserve">how </w:t>
            </w:r>
            <w:proofErr w:type="spellStart"/>
            <w:r>
              <w:rPr>
                <w:rFonts w:ascii="Times" w:hAnsi="Times" w:cs="Times"/>
                <w:sz w:val="20"/>
                <w:szCs w:val="20"/>
                <w:lang w:eastAsia="zh-CN"/>
              </w:rPr>
              <w:t>gNB</w:t>
            </w:r>
            <w:proofErr w:type="spellEnd"/>
            <w:r>
              <w:rPr>
                <w:rFonts w:ascii="Times" w:hAnsi="Times" w:cs="Times"/>
                <w:sz w:val="20"/>
                <w:szCs w:val="20"/>
                <w:lang w:eastAsia="zh-CN"/>
              </w:rPr>
              <w:t xml:space="preserve">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proofErr w:type="spellStart"/>
            <w:r w:rsidRPr="00581E49">
              <w:rPr>
                <w:rFonts w:ascii="Times" w:hAnsi="Times" w:cs="Times"/>
                <w:sz w:val="20"/>
                <w:szCs w:val="20"/>
              </w:rPr>
              <w:t>eMTC</w:t>
            </w:r>
            <w:proofErr w:type="spellEnd"/>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proofErr w:type="gramStart"/>
      <w:r w:rsidRPr="00504550">
        <w:t>in order to</w:t>
      </w:r>
      <w:proofErr w:type="gramEnd"/>
      <w:r w:rsidRPr="00504550">
        <w:t xml:space="preserve">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77"/>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 xml:space="preserve">Issue 5: We agree with moderator’s note that the AI8.15.1 </w:t>
            </w:r>
            <w:proofErr w:type="gramStart"/>
            <w:r>
              <w:rPr>
                <w:rFonts w:eastAsia="DengXian"/>
                <w:sz w:val="18"/>
                <w:szCs w:val="18"/>
                <w:lang w:eastAsia="zh-CN"/>
              </w:rPr>
              <w:t>has to</w:t>
            </w:r>
            <w:proofErr w:type="gramEnd"/>
            <w:r>
              <w:rPr>
                <w:rFonts w:eastAsia="DengXian"/>
                <w:sz w:val="18"/>
                <w:szCs w:val="18"/>
                <w:lang w:eastAsia="zh-CN"/>
              </w:rPr>
              <w:t xml:space="preserve">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 xml:space="preserve">Issue 9: it is too early to consider adding HARQ processes particularly </w:t>
            </w:r>
            <w:proofErr w:type="gramStart"/>
            <w:r>
              <w:rPr>
                <w:rFonts w:eastAsia="DengXian"/>
                <w:sz w:val="18"/>
                <w:szCs w:val="18"/>
                <w:lang w:eastAsia="zh-CN"/>
              </w:rPr>
              <w:t>in light of</w:t>
            </w:r>
            <w:proofErr w:type="gramEnd"/>
            <w:r>
              <w:rPr>
                <w:rFonts w:eastAsia="DengXian"/>
                <w:sz w:val="18"/>
                <w:szCs w:val="18"/>
                <w:lang w:eastAsia="zh-CN"/>
              </w:rPr>
              <w:t xml:space="preserve"> the majority of company positions in Issue 1. Bit rate increase is not a key design target for NB-IoT.</w:t>
            </w:r>
          </w:p>
          <w:p w14:paraId="282A80B7" w14:textId="1A40D95E" w:rsidR="00755289" w:rsidRDefault="00755289" w:rsidP="00755289">
            <w:pPr>
              <w:snapToGrid w:val="0"/>
              <w:ind w:firstLineChars="0" w:firstLine="0"/>
              <w:rPr>
                <w:rFonts w:eastAsia="SimSun"/>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4: The necessity of these proposals </w:t>
            </w:r>
            <w:r>
              <w:rPr>
                <w:rFonts w:eastAsia="SimSun"/>
                <w:sz w:val="18"/>
                <w:szCs w:val="18"/>
                <w:lang w:eastAsia="zh-CN"/>
              </w:rPr>
              <w:t>is</w:t>
            </w:r>
            <w:r w:rsidRPr="00133D83">
              <w:rPr>
                <w:rFonts w:eastAsia="SimSun"/>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5: Agree with the FL’s note.</w:t>
            </w:r>
          </w:p>
          <w:p w14:paraId="2D466DE4"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6: Agree with the FL’s note.</w:t>
            </w:r>
          </w:p>
          <w:p w14:paraId="01F29EB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9: Agree with the FL’s note.</w:t>
            </w:r>
          </w:p>
          <w:p w14:paraId="7A3A97B9" w14:textId="113561C9" w:rsidR="00E74C6B" w:rsidRDefault="00133D83" w:rsidP="00133D83">
            <w:pPr>
              <w:snapToGrid w:val="0"/>
              <w:ind w:firstLine="180"/>
              <w:rPr>
                <w:rFonts w:eastAsia="SimSun"/>
                <w:sz w:val="18"/>
                <w:szCs w:val="18"/>
                <w:lang w:eastAsia="zh-CN"/>
              </w:rPr>
            </w:pPr>
            <w:r w:rsidRPr="00133D83">
              <w:rPr>
                <w:rFonts w:eastAsia="SimSun"/>
                <w:sz w:val="18"/>
                <w:szCs w:val="18"/>
                <w:lang w:eastAsia="zh-CN"/>
              </w:rPr>
              <w:t>Issue 10: Agree with the FL’s note.</w:t>
            </w:r>
          </w:p>
        </w:tc>
      </w:tr>
      <w:tr w:rsidR="00E74C6B"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4DB98C1" w14:textId="77777777" w:rsidR="00E74C6B" w:rsidRPr="00802789" w:rsidRDefault="00E74C6B" w:rsidP="00E9400D">
            <w:pPr>
              <w:ind w:firstLine="180"/>
              <w:rPr>
                <w:rFonts w:eastAsia="SimSun"/>
                <w:sz w:val="18"/>
                <w:lang w:eastAsia="en-US"/>
              </w:rPr>
            </w:pPr>
          </w:p>
        </w:tc>
      </w:tr>
      <w:tr w:rsidR="00E74C6B"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CA1338" w14:textId="77777777" w:rsidR="00E74C6B" w:rsidRDefault="00E74C6B" w:rsidP="00E9400D">
            <w:pPr>
              <w:snapToGrid w:val="0"/>
              <w:ind w:firstLine="180"/>
              <w:rPr>
                <w:rFonts w:eastAsia="DengXian"/>
                <w:sz w:val="18"/>
                <w:szCs w:val="18"/>
                <w:lang w:eastAsia="zh-CN"/>
              </w:rPr>
            </w:pPr>
          </w:p>
        </w:tc>
      </w:tr>
      <w:tr w:rsidR="00E74C6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DFD3AC" w14:textId="77777777" w:rsidR="00E74C6B" w:rsidRPr="00B81BD4" w:rsidRDefault="00E74C6B" w:rsidP="00E9400D">
            <w:pPr>
              <w:snapToGrid w:val="0"/>
              <w:ind w:firstLine="180"/>
              <w:rPr>
                <w:sz w:val="18"/>
              </w:rPr>
            </w:pPr>
          </w:p>
        </w:tc>
      </w:tr>
      <w:tr w:rsidR="00E74C6B"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E091729" w14:textId="77777777" w:rsidR="00E74C6B" w:rsidRDefault="00E74C6B" w:rsidP="00E9400D">
            <w:pPr>
              <w:snapToGrid w:val="0"/>
              <w:ind w:firstLine="180"/>
              <w:rPr>
                <w:rFonts w:eastAsia="DengXian"/>
                <w:sz w:val="18"/>
                <w:szCs w:val="18"/>
                <w:lang w:eastAsia="zh-CN"/>
              </w:rPr>
            </w:pPr>
          </w:p>
        </w:tc>
      </w:tr>
      <w:tr w:rsidR="00E74C6B"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E74C6B" w:rsidRPr="000B0AC1" w:rsidRDefault="00E74C6B" w:rsidP="00E9400D">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 xml:space="preserve">Huawei, </w:t>
      </w:r>
      <w:proofErr w:type="spellStart"/>
      <w:r w:rsidRPr="001666C6">
        <w:rPr>
          <w:rFonts w:ascii="Times New Roman" w:hAnsi="Times New Roman" w:cs="Times New Roman"/>
          <w:color w:val="auto"/>
          <w:lang w:eastAsia="ko-KR"/>
        </w:rPr>
        <w:t>HiSilicon</w:t>
      </w:r>
      <w:proofErr w:type="spellEnd"/>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 xml:space="preserve">On HARQ enhancements for NB-IoT and </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Spreadtrum</w:t>
      </w:r>
      <w:proofErr w:type="spellEnd"/>
      <w:r w:rsidRPr="001666C6">
        <w:rPr>
          <w:rFonts w:ascii="Times New Roman" w:hAnsi="Times New Roman" w:cs="Times New Roman"/>
          <w:color w:val="auto"/>
          <w:lang w:eastAsia="ko-KR"/>
        </w:rPr>
        <w:t xml:space="preserve">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InterDigital</w:t>
      </w:r>
      <w:proofErr w:type="spellEnd"/>
      <w:r w:rsidRPr="001666C6">
        <w:rPr>
          <w:rFonts w:ascii="Times New Roman" w:hAnsi="Times New Roman" w:cs="Times New Roman"/>
          <w:color w:val="auto"/>
          <w:lang w:eastAsia="ko-KR"/>
        </w:rPr>
        <w:t>,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Proposal 1: HARQ disabling and increased HARQ process number should NOT be supported for NB-IoT/</w:t>
            </w:r>
            <w:proofErr w:type="spellStart"/>
            <w:r w:rsidRPr="007D0623">
              <w:rPr>
                <w:rFonts w:cs="Times"/>
                <w:lang w:eastAsia="x-none"/>
              </w:rPr>
              <w:t>eMTC</w:t>
            </w:r>
            <w:proofErr w:type="spellEnd"/>
            <w:r w:rsidRPr="007D0623">
              <w:rPr>
                <w:rFonts w:cs="Times"/>
                <w:lang w:eastAsia="x-none"/>
              </w:rPr>
              <w:t xml:space="preserve">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NB-IoT/</w:t>
            </w:r>
            <w:proofErr w:type="spellStart"/>
            <w:r w:rsidRPr="007D0623">
              <w:rPr>
                <w:rFonts w:cs="Times"/>
                <w:lang w:eastAsia="x-none"/>
              </w:rPr>
              <w:t>eMTC</w:t>
            </w:r>
            <w:proofErr w:type="spellEnd"/>
            <w:r w:rsidRPr="007D0623">
              <w:rPr>
                <w:rFonts w:cs="Times"/>
                <w:lang w:eastAsia="x-none"/>
              </w:rPr>
              <w:t xml:space="preserve">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w:t>
            </w:r>
            <w:proofErr w:type="spellStart"/>
            <w:r w:rsidRPr="00FD38F4">
              <w:rPr>
                <w:rFonts w:cs="Times"/>
                <w:iCs/>
              </w:rPr>
              <w:t>eMTC</w:t>
            </w:r>
            <w:proofErr w:type="spellEnd"/>
            <w:r w:rsidRPr="00FD38F4">
              <w:rPr>
                <w:rFonts w:cs="Times"/>
                <w:iCs/>
              </w:rPr>
              <w:t xml:space="preserve">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w:t>
            </w:r>
            <w:proofErr w:type="spellStart"/>
            <w:r w:rsidRPr="00AE48AB">
              <w:rPr>
                <w:rFonts w:cs="Times"/>
                <w:lang w:eastAsia="x-none"/>
              </w:rPr>
              <w:t>eMTC</w:t>
            </w:r>
            <w:proofErr w:type="spellEnd"/>
            <w:r w:rsidRPr="00AE48AB">
              <w:rPr>
                <w:rFonts w:cs="Times"/>
                <w:lang w:eastAsia="x-none"/>
              </w:rPr>
              <w:t xml:space="preserve">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w:t>
            </w:r>
            <w:proofErr w:type="spellStart"/>
            <w:r w:rsidRPr="00AE48AB">
              <w:rPr>
                <w:rFonts w:cs="Times"/>
                <w:lang w:eastAsia="x-none"/>
              </w:rPr>
              <w:t>eMTC</w:t>
            </w:r>
            <w:proofErr w:type="spellEnd"/>
            <w:r w:rsidRPr="00AE48AB">
              <w:rPr>
                <w:rFonts w:cs="Times"/>
                <w:lang w:eastAsia="x-none"/>
              </w:rPr>
              <w:t xml:space="preserve">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w:t>
            </w:r>
            <w:proofErr w:type="spellStart"/>
            <w:r w:rsidRPr="00AE48AB">
              <w:rPr>
                <w:rFonts w:eastAsia="SimSun" w:cs="Times"/>
                <w:lang w:eastAsia="zh-CN"/>
              </w:rPr>
              <w:t>eMTC</w:t>
            </w:r>
            <w:proofErr w:type="spellEnd"/>
            <w:r w:rsidRPr="00AE48AB">
              <w:rPr>
                <w:rFonts w:eastAsia="SimSun" w:cs="Times"/>
                <w:lang w:eastAsia="zh-CN"/>
              </w:rPr>
              <w:t xml:space="preserve"> for TN, the extension of maximal HARQ process number is not supported in NB-IoT/</w:t>
            </w:r>
            <w:proofErr w:type="spellStart"/>
            <w:r w:rsidRPr="00AE48AB">
              <w:rPr>
                <w:rFonts w:eastAsia="SimSun" w:cs="Times"/>
                <w:lang w:eastAsia="zh-CN"/>
              </w:rPr>
              <w:t>eMTC</w:t>
            </w:r>
            <w:proofErr w:type="spellEnd"/>
            <w:r w:rsidRPr="00AE48AB">
              <w:rPr>
                <w:rFonts w:eastAsia="SimSun" w:cs="Times"/>
                <w:lang w:eastAsia="zh-CN"/>
              </w:rPr>
              <w:t xml:space="preserve">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w:t>
            </w:r>
            <w:proofErr w:type="spellStart"/>
            <w:r w:rsidRPr="00AE48AB">
              <w:rPr>
                <w:rFonts w:eastAsia="SimSun" w:cs="Times"/>
                <w:lang w:eastAsia="zh-CN"/>
              </w:rPr>
              <w:t>eMTC</w:t>
            </w:r>
            <w:proofErr w:type="spellEnd"/>
            <w:r w:rsidRPr="00AE48AB">
              <w:rPr>
                <w:rFonts w:eastAsia="SimSun" w:cs="Times"/>
                <w:lang w:eastAsia="zh-CN"/>
              </w:rPr>
              <w:t xml:space="preserve">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 xml:space="preserve">Observation 1: NB-IoT and </w:t>
            </w:r>
            <w:proofErr w:type="spellStart"/>
            <w:r w:rsidR="00496579" w:rsidRPr="00496579">
              <w:rPr>
                <w:rFonts w:cs="Times"/>
                <w:lang w:eastAsia="x-none"/>
              </w:rPr>
              <w:t>eMTC</w:t>
            </w:r>
            <w:proofErr w:type="spellEnd"/>
            <w:r w:rsidR="00496579" w:rsidRPr="00496579">
              <w:rPr>
                <w:rFonts w:cs="Times"/>
                <w:lang w:eastAsia="x-none"/>
              </w:rPr>
              <w:t xml:space="preserve">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 xml:space="preserve">For NTN the network could disable HARQ feedback for DL transmission for </w:t>
            </w:r>
            <w:proofErr w:type="spellStart"/>
            <w:r w:rsidRPr="00496579">
              <w:rPr>
                <w:rFonts w:cs="Times"/>
                <w:lang w:eastAsia="x-none"/>
              </w:rPr>
              <w:t>eMTC</w:t>
            </w:r>
            <w:proofErr w:type="spellEnd"/>
            <w:r w:rsidRPr="00496579">
              <w:rPr>
                <w:rFonts w:cs="Times"/>
                <w:lang w:eastAsia="x-none"/>
              </w:rPr>
              <w:t xml:space="preserve">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r>
            <w:proofErr w:type="gramStart"/>
            <w:r w:rsidRPr="00496579">
              <w:rPr>
                <w:rFonts w:cs="Times"/>
                <w:lang w:eastAsia="x-none"/>
              </w:rPr>
              <w:t>The</w:t>
            </w:r>
            <w:proofErr w:type="gramEnd"/>
            <w:r w:rsidRPr="00496579">
              <w:rPr>
                <w:rFonts w:cs="Times"/>
                <w:lang w:eastAsia="x-none"/>
              </w:rPr>
              <w:t xml:space="preserv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w:t>
            </w:r>
            <w:proofErr w:type="spellStart"/>
            <w:r w:rsidRPr="00496579">
              <w:rPr>
                <w:rFonts w:cs="Times"/>
                <w:lang w:eastAsia="x-none"/>
              </w:rPr>
              <w:t>eMTC</w:t>
            </w:r>
            <w:proofErr w:type="spellEnd"/>
            <w:r w:rsidRPr="00496579">
              <w:rPr>
                <w:rFonts w:cs="Times"/>
                <w:lang w:eastAsia="x-none"/>
              </w:rPr>
              <w:t xml:space="preserve">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The HARQ process number can be maintained the same as legacy for both </w:t>
            </w:r>
            <w:proofErr w:type="spellStart"/>
            <w:r w:rsidRPr="00496579">
              <w:rPr>
                <w:rFonts w:cs="Times"/>
                <w:lang w:eastAsia="x-none"/>
              </w:rPr>
              <w:t>eMTC</w:t>
            </w:r>
            <w:proofErr w:type="spellEnd"/>
            <w:r w:rsidRPr="00496579">
              <w:rPr>
                <w:rFonts w:cs="Times"/>
                <w:lang w:eastAsia="x-none"/>
              </w:rPr>
              <w:t xml:space="preserve"> and </w:t>
            </w:r>
            <w:proofErr w:type="spellStart"/>
            <w:r w:rsidRPr="00496579">
              <w:rPr>
                <w:rFonts w:cs="Times"/>
                <w:lang w:eastAsia="x-none"/>
              </w:rPr>
              <w:t>NBIoT</w:t>
            </w:r>
            <w:proofErr w:type="spellEnd"/>
            <w:r w:rsidRPr="00496579">
              <w:rPr>
                <w:rFonts w:cs="Times"/>
                <w:lang w:eastAsia="x-none"/>
              </w:rPr>
              <w: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Proposal 2: At least for </w:t>
            </w:r>
            <w:proofErr w:type="spellStart"/>
            <w:r w:rsidRPr="00496579">
              <w:rPr>
                <w:rFonts w:cs="Times"/>
                <w:lang w:eastAsia="x-none"/>
              </w:rPr>
              <w:t>NBIoT</w:t>
            </w:r>
            <w:proofErr w:type="spellEnd"/>
            <w:r w:rsidRPr="00496579">
              <w:rPr>
                <w:rFonts w:cs="Times"/>
                <w:lang w:eastAsia="x-none"/>
              </w:rPr>
              <w:t xml:space="preserve">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proofErr w:type="spellStart"/>
            <w:r>
              <w:rPr>
                <w:lang w:eastAsia="x-none"/>
              </w:rPr>
              <w:t>Spreadtrum</w:t>
            </w:r>
            <w:proofErr w:type="spellEnd"/>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1. Significant amounts of coverage enhancement are required to operate </w:t>
            </w:r>
            <w:proofErr w:type="spellStart"/>
            <w:r w:rsidRPr="009B48BC">
              <w:rPr>
                <w:rFonts w:cs="Times"/>
                <w:lang w:eastAsia="x-none"/>
              </w:rPr>
              <w:t>eMTC</w:t>
            </w:r>
            <w:proofErr w:type="spellEnd"/>
            <w:r w:rsidRPr="009B48BC">
              <w:rPr>
                <w:rFonts w:cs="Times"/>
                <w:lang w:eastAsia="x-none"/>
              </w:rPr>
              <w:t xml:space="preserve">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2. The </w:t>
            </w:r>
            <w:proofErr w:type="spellStart"/>
            <w:r w:rsidRPr="009B48BC">
              <w:rPr>
                <w:rFonts w:cs="Times"/>
                <w:lang w:eastAsia="x-none"/>
              </w:rPr>
              <w:t>eMTC</w:t>
            </w:r>
            <w:proofErr w:type="spellEnd"/>
            <w:r w:rsidRPr="009B48BC">
              <w:rPr>
                <w:rFonts w:cs="Times"/>
                <w:lang w:eastAsia="x-none"/>
              </w:rPr>
              <w:t xml:space="preserve"> UL needs to operate in CE Mode B </w:t>
            </w:r>
            <w:proofErr w:type="gramStart"/>
            <w:r w:rsidRPr="009B48BC">
              <w:rPr>
                <w:rFonts w:cs="Times"/>
                <w:lang w:eastAsia="x-none"/>
              </w:rPr>
              <w:t>in order to</w:t>
            </w:r>
            <w:proofErr w:type="gramEnd"/>
            <w:r w:rsidRPr="009B48BC">
              <w:rPr>
                <w:rFonts w:cs="Times"/>
                <w:lang w:eastAsia="x-none"/>
              </w:rPr>
              <w:t xml:space="preserve">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w:t>
            </w:r>
            <w:proofErr w:type="gramStart"/>
            <w:r w:rsidRPr="009B48BC">
              <w:rPr>
                <w:rFonts w:cs="Times"/>
                <w:lang w:eastAsia="x-none"/>
              </w:rPr>
              <w:t>500 bit</w:t>
            </w:r>
            <w:proofErr w:type="gramEnd"/>
            <w:r w:rsidRPr="009B48BC">
              <w:rPr>
                <w:rFonts w:cs="Times"/>
                <w:lang w:eastAsia="x-none"/>
              </w:rPr>
              <w:t xml:space="preserve"> transport block is transmitted in approximately 320ms in the UL for either </w:t>
            </w:r>
            <w:proofErr w:type="spellStart"/>
            <w:r w:rsidRPr="009B48BC">
              <w:rPr>
                <w:rFonts w:cs="Times"/>
                <w:lang w:eastAsia="x-none"/>
              </w:rPr>
              <w:t>eMTC</w:t>
            </w:r>
            <w:proofErr w:type="spellEnd"/>
            <w:r w:rsidRPr="009B48BC">
              <w:rPr>
                <w:rFonts w:cs="Times"/>
                <w:lang w:eastAsia="x-none"/>
              </w:rPr>
              <w:t xml:space="preserve">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Proposal 1: </w:t>
            </w:r>
            <w:proofErr w:type="gramStart"/>
            <w:r w:rsidRPr="009B48BC">
              <w:rPr>
                <w:rFonts w:cs="Times"/>
                <w:lang w:eastAsia="x-none"/>
              </w:rPr>
              <w:t>In order to</w:t>
            </w:r>
            <w:proofErr w:type="gramEnd"/>
            <w:r w:rsidRPr="009B48BC">
              <w:rPr>
                <w:rFonts w:cs="Times"/>
                <w:lang w:eastAsia="x-none"/>
              </w:rPr>
              <w:t xml:space="preserve">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 xml:space="preserve">If delay tolerant, </w:t>
            </w:r>
            <w:proofErr w:type="gramStart"/>
            <w:r w:rsidRPr="009B48BC">
              <w:rPr>
                <w:rFonts w:cs="Times"/>
                <w:lang w:eastAsia="x-none"/>
              </w:rPr>
              <w:t>small</w:t>
            </w:r>
            <w:proofErr w:type="gramEnd"/>
            <w:r w:rsidRPr="009B48BC">
              <w:rPr>
                <w:rFonts w:cs="Times"/>
                <w:lang w:eastAsia="x-none"/>
              </w:rPr>
              <w:t xml:space="preserve">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2: based on current LTE NB-IoT/</w:t>
            </w:r>
            <w:proofErr w:type="spellStart"/>
            <w:r w:rsidRPr="00473708">
              <w:rPr>
                <w:rFonts w:cs="Times"/>
                <w:lang w:eastAsia="x-none"/>
              </w:rPr>
              <w:t>eMTC</w:t>
            </w:r>
            <w:proofErr w:type="spellEnd"/>
            <w:r w:rsidRPr="00473708">
              <w:rPr>
                <w:rFonts w:cs="Times"/>
                <w:lang w:eastAsia="x-none"/>
              </w:rPr>
              <w:t xml:space="preserve">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w:t>
            </w:r>
            <w:proofErr w:type="spellStart"/>
            <w:r w:rsidRPr="00473708">
              <w:rPr>
                <w:rFonts w:cs="Times"/>
                <w:lang w:eastAsia="x-none"/>
              </w:rPr>
              <w:t>eMTC</w:t>
            </w:r>
            <w:proofErr w:type="spellEnd"/>
            <w:r w:rsidRPr="00473708">
              <w:rPr>
                <w:rFonts w:cs="Times"/>
                <w:lang w:eastAsia="x-none"/>
              </w:rPr>
              <w:t xml:space="preserve">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w:t>
            </w:r>
            <w:proofErr w:type="spellStart"/>
            <w:r w:rsidRPr="0056088D">
              <w:rPr>
                <w:rFonts w:cs="Times"/>
                <w:lang w:eastAsia="x-none"/>
              </w:rPr>
              <w:t>eMTC</w:t>
            </w:r>
            <w:proofErr w:type="spellEnd"/>
            <w:r w:rsidRPr="0056088D">
              <w:rPr>
                <w:rFonts w:cs="Times"/>
                <w:lang w:eastAsia="x-none"/>
              </w:rPr>
              <w:t xml:space="preserve">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w:t>
            </w:r>
            <w:proofErr w:type="spellStart"/>
            <w:r w:rsidRPr="0056088D">
              <w:rPr>
                <w:rFonts w:cs="Times"/>
                <w:lang w:eastAsia="x-none"/>
              </w:rPr>
              <w:t>eMTC</w:t>
            </w:r>
            <w:proofErr w:type="spellEnd"/>
            <w:r w:rsidRPr="0056088D">
              <w:rPr>
                <w:rFonts w:cs="Times"/>
                <w:lang w:eastAsia="x-none"/>
              </w:rPr>
              <w:t>.</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 xml:space="preserve">Option-1: No </w:t>
            </w:r>
            <w:proofErr w:type="gramStart"/>
            <w:r w:rsidRPr="009C7CCA">
              <w:rPr>
                <w:color w:val="000000"/>
                <w:lang w:eastAsia="x-none"/>
              </w:rPr>
              <w:t>enhancement;</w:t>
            </w:r>
            <w:proofErr w:type="gramEnd"/>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827B8" w14:textId="77777777" w:rsidR="006F0281" w:rsidRDefault="006F0281" w:rsidP="007378B8">
      <w:r>
        <w:separator/>
      </w:r>
    </w:p>
  </w:endnote>
  <w:endnote w:type="continuationSeparator" w:id="0">
    <w:p w14:paraId="67A29C81" w14:textId="77777777" w:rsidR="006F0281" w:rsidRDefault="006F0281"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11BE817E" w:rsidR="00B3156F" w:rsidRDefault="00B3156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3D4AB8">
      <w:rPr>
        <w:rStyle w:val="PageNumber"/>
        <w:i/>
        <w:color w:val="auto"/>
      </w:rPr>
      <w:t>6</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610EF" w14:textId="77777777" w:rsidR="006F0281" w:rsidRDefault="006F0281" w:rsidP="007378B8">
      <w:r>
        <w:separator/>
      </w:r>
    </w:p>
  </w:footnote>
  <w:footnote w:type="continuationSeparator" w:id="0">
    <w:p w14:paraId="2508639F" w14:textId="77777777" w:rsidR="006F0281" w:rsidRDefault="006F0281"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列表段落,¥¡¡¡¡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列表段落1 Char,—ño’i—Ž Char,¥ê¥¹¥È¶ÎÂä Char,1st level - Bullet List Paragraph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4310-A4E7-4328-9EAA-D16D0DAE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4453</Words>
  <Characters>23601</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Stefan Eriksson Löwenmark</cp:lastModifiedBy>
  <cp:revision>4</cp:revision>
  <dcterms:created xsi:type="dcterms:W3CDTF">2021-01-27T00:25:00Z</dcterms:created>
  <dcterms:modified xsi:type="dcterms:W3CDTF">2021-01-27T00:27:00Z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