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3CB8A36C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#10</w:t>
      </w:r>
      <w:r w:rsidR="00F85EC7">
        <w:rPr>
          <w:b/>
          <w:sz w:val="24"/>
          <w:szCs w:val="24"/>
          <w:lang w:eastAsia="ko-KR"/>
        </w:rPr>
        <w:t>3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292F8D">
        <w:rPr>
          <w:b/>
          <w:sz w:val="24"/>
          <w:szCs w:val="24"/>
        </w:rPr>
        <w:t>R1-</w:t>
      </w:r>
      <w:r w:rsidR="00D855A5" w:rsidRPr="00D855A5">
        <w:t xml:space="preserve"> </w:t>
      </w:r>
      <w:r w:rsidR="00DC13F8">
        <w:rPr>
          <w:b/>
          <w:sz w:val="24"/>
          <w:szCs w:val="24"/>
        </w:rPr>
        <w:t>2008199</w:t>
      </w:r>
    </w:p>
    <w:p w14:paraId="02ED61BB" w14:textId="2069FCE4" w:rsidR="00154194" w:rsidRPr="00F85EC7" w:rsidRDefault="00F85EC7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FA01E6">
        <w:rPr>
          <w:b/>
          <w:bCs/>
          <w:noProof/>
          <w:sz w:val="24"/>
          <w:szCs w:val="24"/>
          <w:lang w:eastAsia="ko-KR"/>
        </w:rPr>
        <w:t xml:space="preserve">e-Meeting, </w:t>
      </w:r>
      <w:r w:rsidRPr="00FA01E6">
        <w:rPr>
          <w:rFonts w:eastAsia="MS Mincho" w:cs="Arial"/>
          <w:b/>
          <w:bCs/>
          <w:sz w:val="24"/>
          <w:szCs w:val="24"/>
          <w:lang w:eastAsia="ja-JP"/>
        </w:rPr>
        <w:t>October 26</w:t>
      </w:r>
      <w:r w:rsidRPr="00FA01E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A01E6">
        <w:rPr>
          <w:rFonts w:eastAsia="MS Mincho" w:cs="Arial"/>
          <w:b/>
          <w:bCs/>
          <w:sz w:val="24"/>
          <w:szCs w:val="24"/>
          <w:lang w:eastAsia="ja-JP"/>
        </w:rPr>
        <w:t xml:space="preserve"> – November 13</w:t>
      </w:r>
      <w:r w:rsidRPr="00FA01E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A01E6">
        <w:rPr>
          <w:b/>
          <w:bCs/>
          <w:noProof/>
          <w:sz w:val="24"/>
          <w:szCs w:val="24"/>
          <w:lang w:eastAsia="ko-KR"/>
        </w:rPr>
        <w:t>, 2020</w:t>
      </w:r>
    </w:p>
    <w:p w14:paraId="67CAF68F" w14:textId="5DAD8807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637DF">
        <w:rPr>
          <w:rFonts w:ascii="Arial" w:hAnsi="Arial" w:cs="Arial"/>
          <w:sz w:val="22"/>
        </w:rPr>
        <w:t>8.15.1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6E82032C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736817">
        <w:rPr>
          <w:rFonts w:ascii="Arial" w:hAnsi="Arial" w:cs="Arial"/>
          <w:sz w:val="22"/>
          <w:lang w:eastAsia="zh-CN"/>
        </w:rPr>
        <w:t>On s</w:t>
      </w:r>
      <w:r w:rsidR="009637DF">
        <w:rPr>
          <w:rFonts w:ascii="Arial" w:hAnsi="Arial" w:cs="Arial"/>
          <w:sz w:val="22"/>
          <w:lang w:eastAsia="zh-CN"/>
        </w:rPr>
        <w:t xml:space="preserve">cenarios </w:t>
      </w:r>
      <w:r w:rsidR="00736817">
        <w:rPr>
          <w:rFonts w:ascii="Arial" w:hAnsi="Arial" w:cs="Arial"/>
          <w:sz w:val="22"/>
          <w:lang w:eastAsia="zh-CN"/>
        </w:rPr>
        <w:t xml:space="preserve">applicable to </w:t>
      </w:r>
      <w:r w:rsidR="009637DF">
        <w:rPr>
          <w:rFonts w:ascii="Arial" w:hAnsi="Arial" w:cs="Arial"/>
          <w:sz w:val="22"/>
          <w:lang w:eastAsia="zh-CN"/>
        </w:rPr>
        <w:t>NB-IoT/eMTC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45551942" w14:textId="25DEA059" w:rsidR="00156AA0" w:rsidRPr="00156AA0" w:rsidRDefault="00570668" w:rsidP="00713DD5">
      <w:pPr>
        <w:spacing w:before="0" w:line="240" w:lineRule="auto"/>
        <w:ind w:firstLineChars="0" w:firstLine="0"/>
        <w:jc w:val="left"/>
        <w:rPr>
          <w:lang w:eastAsia="zh-CN"/>
        </w:rPr>
      </w:pPr>
      <w:bookmarkStart w:id="0" w:name="_Hlk22834419"/>
      <w:r>
        <w:t>The NR c</w:t>
      </w:r>
      <w:r>
        <w:rPr>
          <w:rFonts w:hint="eastAsia"/>
        </w:rPr>
        <w:t xml:space="preserve">overage enhancement </w:t>
      </w:r>
      <w:r w:rsidR="00E42E6E">
        <w:t>SI was approved in RAN#86 [1],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C3D75" w14:paraId="60B07E81" w14:textId="77777777" w:rsidTr="009C3D75">
        <w:tc>
          <w:tcPr>
            <w:tcW w:w="9737" w:type="dxa"/>
          </w:tcPr>
          <w:p w14:paraId="55632A1D" w14:textId="77777777" w:rsidR="00B80E10" w:rsidRPr="00B80E10" w:rsidRDefault="00B80E10" w:rsidP="00B80E10">
            <w:pPr>
              <w:jc w:val="left"/>
              <w:rPr>
                <w:rFonts w:ascii="Times" w:hAnsi="Times" w:cs="Times"/>
              </w:rPr>
            </w:pPr>
            <w:r w:rsidRPr="00B80E10">
              <w:rPr>
                <w:rFonts w:ascii="Times" w:hAnsi="Times" w:cs="Times"/>
              </w:rPr>
              <w:t xml:space="preserve">This Study will evaluate and confirm solutions to address the minimum necessary specifications for NB-IoT and eMTC according to the following objectives. </w:t>
            </w:r>
          </w:p>
          <w:p w14:paraId="585373EC" w14:textId="77777777" w:rsidR="00B80E10" w:rsidRPr="00B80E10" w:rsidRDefault="00B80E10" w:rsidP="00B80E10">
            <w:pPr>
              <w:jc w:val="left"/>
              <w:rPr>
                <w:rFonts w:ascii="Times" w:hAnsi="Times" w:cs="Times"/>
              </w:rPr>
            </w:pPr>
            <w:r w:rsidRPr="00B80E10">
              <w:rPr>
                <w:rFonts w:ascii="Times" w:hAnsi="Times" w:cs="Times"/>
              </w:rPr>
              <w:t>The first objective of this Study is to identify scenarios applicable to NB-IoT/eMTC [RAN1, RAN2], including:</w:t>
            </w:r>
          </w:p>
          <w:p w14:paraId="14931953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Bands of interest in sub 6 GHz</w:t>
            </w:r>
          </w:p>
          <w:p w14:paraId="6A3F50E7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 xml:space="preserve">Device type with PC3 or PC5 (LEO and GEO) </w:t>
            </w:r>
          </w:p>
          <w:p w14:paraId="1A0FA043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 xml:space="preserve">Satellite constellation orbit LEO and GEO </w:t>
            </w:r>
          </w:p>
          <w:p w14:paraId="6483E4DB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Transparent payload.</w:t>
            </w:r>
          </w:p>
          <w:p w14:paraId="32EFA071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Link budget</w:t>
            </w:r>
          </w:p>
          <w:p w14:paraId="2DEAE4B2" w14:textId="77777777" w:rsidR="00B80E10" w:rsidRPr="00B80E10" w:rsidRDefault="00B80E10" w:rsidP="00B80E10">
            <w:pPr>
              <w:pStyle w:val="NO"/>
              <w:ind w:left="0"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NOTE 1: This first objective will be based on the scenarios documented in TR 38.821.</w:t>
            </w:r>
          </w:p>
          <w:p w14:paraId="27544BBE" w14:textId="77777777" w:rsidR="00B80E10" w:rsidRPr="00B80E10" w:rsidRDefault="00B80E10" w:rsidP="00B80E10">
            <w:pPr>
              <w:pStyle w:val="NO"/>
              <w:ind w:left="0"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NOTE 2: UE mobility assumptions follow terrestrial NB-IoT/eMTC assumptions.</w:t>
            </w:r>
          </w:p>
          <w:p w14:paraId="2CF05CB3" w14:textId="28DBF017" w:rsidR="00B80E10" w:rsidRPr="00B80E10" w:rsidRDefault="00B80E10" w:rsidP="00B80E10">
            <w:pPr>
              <w:ind w:firstLineChars="0" w:firstLine="0"/>
              <w:jc w:val="left"/>
              <w:rPr>
                <w:rFonts w:ascii="Times" w:hAnsi="Times" w:cs="Times"/>
              </w:rPr>
            </w:pPr>
          </w:p>
          <w:p w14:paraId="1C21102D" w14:textId="77777777" w:rsidR="00B80E10" w:rsidRPr="00B80E10" w:rsidRDefault="00B80E10" w:rsidP="00B80E10">
            <w:pPr>
              <w:jc w:val="left"/>
              <w:rPr>
                <w:rFonts w:ascii="Times" w:hAnsi="Times" w:cs="Times"/>
              </w:rPr>
            </w:pPr>
            <w:r w:rsidRPr="00B80E10">
              <w:rPr>
                <w:rFonts w:ascii="Times" w:hAnsi="Times" w:cs="Times"/>
              </w:rPr>
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</w:r>
          </w:p>
          <w:p w14:paraId="3B765D53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Aspects related to random access procedure/signals [RAN1, RAN2]</w:t>
            </w:r>
          </w:p>
          <w:p w14:paraId="46E6FDDD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Mechanisms for time/frequency adjustment including Timing Advance, and UL frequency compensation indication [RAN1, RAN2]</w:t>
            </w:r>
          </w:p>
          <w:p w14:paraId="26A5D06B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Timing offset related to scheduling and HARQ-ACK feedback [RAN1, RAN2]</w:t>
            </w:r>
          </w:p>
          <w:p w14:paraId="42395723" w14:textId="3FAEBA1F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>Aspects related to HARQ operation [RAN2, RAN1]</w:t>
            </w:r>
          </w:p>
          <w:p w14:paraId="2CD0B162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General aspects related to timers (e.g. SR, DRX, etc.) [RAN2]</w:t>
            </w:r>
          </w:p>
          <w:p w14:paraId="5D31C402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RAN2 aspects related to idle mode and connected mode mobility [RAN2]</w:t>
            </w:r>
          </w:p>
          <w:p w14:paraId="59395E89" w14:textId="77777777" w:rsidR="00B80E10" w:rsidRPr="00B80E10" w:rsidRDefault="00B80E10" w:rsidP="00B80E10">
            <w:pPr>
              <w:pStyle w:val="B2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RLF-based for NB-IoT</w:t>
            </w:r>
          </w:p>
          <w:p w14:paraId="08EC977F" w14:textId="77777777" w:rsidR="00B80E10" w:rsidRPr="00B80E10" w:rsidRDefault="00B80E10" w:rsidP="00B80E10">
            <w:pPr>
              <w:pStyle w:val="B2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Handover-based for eMTC</w:t>
            </w:r>
          </w:p>
          <w:p w14:paraId="777CA1EC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System information enhancements [RAN2]</w:t>
            </w:r>
          </w:p>
          <w:p w14:paraId="035CE32F" w14:textId="77777777" w:rsidR="00B80E10" w:rsidRPr="00B80E10" w:rsidRDefault="00B80E10" w:rsidP="00B80E10">
            <w:pPr>
              <w:pStyle w:val="B1"/>
              <w:ind w:firstLine="200"/>
              <w:jc w:val="left"/>
              <w:rPr>
                <w:rFonts w:ascii="Times" w:hAnsi="Times" w:cs="Times"/>
                <w:color w:val="auto"/>
              </w:rPr>
            </w:pPr>
            <w:r w:rsidRPr="00B80E10">
              <w:rPr>
                <w:rFonts w:ascii="Times" w:hAnsi="Times" w:cs="Times"/>
                <w:color w:val="auto"/>
              </w:rPr>
              <w:t>-</w:t>
            </w:r>
            <w:r w:rsidRPr="00B80E10">
              <w:rPr>
                <w:rFonts w:ascii="Times" w:hAnsi="Times" w:cs="Times"/>
                <w:color w:val="auto"/>
              </w:rPr>
              <w:tab/>
              <w:t>Tracking area enhancements [RAN2]</w:t>
            </w:r>
          </w:p>
          <w:p w14:paraId="1D842CB6" w14:textId="77777777" w:rsidR="00B80E10" w:rsidRPr="00B80E10" w:rsidRDefault="00B80E10" w:rsidP="00B80E10">
            <w:pPr>
              <w:jc w:val="left"/>
              <w:rPr>
                <w:rFonts w:ascii="Times" w:hAnsi="Times" w:cs="Times"/>
              </w:rPr>
            </w:pPr>
          </w:p>
          <w:p w14:paraId="352828C3" w14:textId="5E157E11" w:rsidR="009C3D75" w:rsidRPr="005639A5" w:rsidRDefault="00B80E10" w:rsidP="00B80E10">
            <w:pPr>
              <w:pStyle w:val="NO"/>
              <w:ind w:left="0" w:firstLine="200"/>
              <w:jc w:val="left"/>
            </w:pPr>
            <w:r w:rsidRPr="00B80E10">
              <w:rPr>
                <w:rFonts w:ascii="Times" w:hAnsi="Times" w:cs="Times"/>
                <w:color w:val="auto"/>
              </w:rPr>
              <w:t xml:space="preserve">NOTE 3: </w:t>
            </w:r>
            <w:r w:rsidRPr="00B80E10">
              <w:rPr>
                <w:rFonts w:ascii="Times" w:hAnsi="Times" w:cs="Times"/>
                <w:color w:val="auto"/>
              </w:rPr>
              <w:tab/>
              <w:t>GNSS capability in the UE is taken as a working assumption in this study for both NB-IoT and eMTC devices. With this assumption, UE can estimate and pre-compensate timing and frequency offset with sufficient accuracy for UL transmission. Simultaneous GNSS and NTN NB-IoT/eMTC operation is not assumed.</w:t>
            </w:r>
          </w:p>
        </w:tc>
      </w:tr>
    </w:tbl>
    <w:bookmarkEnd w:id="0"/>
    <w:p w14:paraId="7916EE99" w14:textId="4FCF5DB3" w:rsidR="00B27BD2" w:rsidRDefault="00B80E10" w:rsidP="00713DD5">
      <w:pPr>
        <w:spacing w:after="0" w:line="240" w:lineRule="auto"/>
        <w:ind w:firstLineChars="0" w:firstLine="0"/>
        <w:jc w:val="left"/>
      </w:pPr>
      <w:r>
        <w:rPr>
          <w:rFonts w:eastAsia="DengXian"/>
          <w:lang w:eastAsia="zh-CN"/>
        </w:rPr>
        <w:t>This</w:t>
      </w:r>
      <w:r w:rsidR="005639A5" w:rsidRPr="005639A5">
        <w:rPr>
          <w:rFonts w:eastAsia="DengXian"/>
          <w:lang w:eastAsia="zh-CN"/>
        </w:rPr>
        <w:t xml:space="preserve"> contri</w:t>
      </w:r>
      <w:r w:rsidR="00DC2717">
        <w:rPr>
          <w:rFonts w:eastAsia="DengXian"/>
          <w:lang w:eastAsia="zh-CN"/>
        </w:rPr>
        <w:t xml:space="preserve">bution </w:t>
      </w:r>
      <w:r w:rsidR="00B30E86">
        <w:rPr>
          <w:rFonts w:eastAsia="DengXian"/>
          <w:lang w:eastAsia="zh-CN"/>
        </w:rPr>
        <w:t xml:space="preserve">discusses </w:t>
      </w:r>
      <w:r w:rsidR="009C6BE9">
        <w:rPr>
          <w:rFonts w:eastAsia="DengXian"/>
          <w:lang w:eastAsia="zh-CN"/>
        </w:rPr>
        <w:t>aspects related to scenarios for NTN IoT</w:t>
      </w:r>
      <w:r w:rsidR="00341363">
        <w:rPr>
          <w:rFonts w:eastAsia="DengXian"/>
          <w:lang w:eastAsia="zh-CN"/>
        </w:rPr>
        <w:t>.</w:t>
      </w:r>
    </w:p>
    <w:p w14:paraId="7FCC64D4" w14:textId="2D68238E" w:rsidR="00A30569" w:rsidRDefault="009B6AF0" w:rsidP="00D10646">
      <w:pPr>
        <w:pStyle w:val="Heading1"/>
      </w:pPr>
      <w:r>
        <w:lastRenderedPageBreak/>
        <w:t>Discussion</w:t>
      </w:r>
    </w:p>
    <w:p w14:paraId="458A34A2" w14:textId="16523CB8" w:rsidR="00AF5EB4" w:rsidRDefault="000B4D55" w:rsidP="00BC74E0">
      <w:r>
        <w:rPr>
          <w:lang w:val="en-GB" w:eastAsia="en-US"/>
        </w:rPr>
        <w:t>C</w:t>
      </w:r>
      <w:r w:rsidR="009D2B2E">
        <w:rPr>
          <w:lang w:val="en-GB" w:eastAsia="en-US"/>
        </w:rPr>
        <w:t xml:space="preserve">overage extension of IoT </w:t>
      </w:r>
      <w:r w:rsidR="00D10F41">
        <w:rPr>
          <w:lang w:val="en-GB" w:eastAsia="en-US"/>
        </w:rPr>
        <w:t>operation</w:t>
      </w:r>
      <w:r>
        <w:rPr>
          <w:lang w:val="en-GB" w:eastAsia="en-US"/>
        </w:rPr>
        <w:t>s</w:t>
      </w:r>
      <w:r w:rsidR="00D10F41">
        <w:rPr>
          <w:lang w:val="en-GB" w:eastAsia="en-US"/>
        </w:rPr>
        <w:t xml:space="preserve"> </w:t>
      </w:r>
      <w:r w:rsidR="009D2B2E">
        <w:rPr>
          <w:lang w:val="en-GB" w:eastAsia="en-US"/>
        </w:rPr>
        <w:t xml:space="preserve">beyond terrestrial communications </w:t>
      </w:r>
      <w:r>
        <w:rPr>
          <w:lang w:val="en-GB" w:eastAsia="en-US"/>
        </w:rPr>
        <w:t xml:space="preserve">is beneficial for a variety of industries. </w:t>
      </w:r>
      <w:r w:rsidR="009E00F6">
        <w:rPr>
          <w:lang w:val="en-GB" w:eastAsia="en-US"/>
        </w:rPr>
        <w:t xml:space="preserve">As Rel-17 NTN work [2] </w:t>
      </w:r>
      <w:r w:rsidR="009E4D2B">
        <w:rPr>
          <w:lang w:val="en-GB" w:eastAsia="en-US"/>
        </w:rPr>
        <w:t>aims at enabling</w:t>
      </w:r>
      <w:r w:rsidR="009E00F6">
        <w:rPr>
          <w:lang w:val="en-GB" w:eastAsia="en-US"/>
        </w:rPr>
        <w:t xml:space="preserve"> MBB operations in areas where it is challenging </w:t>
      </w:r>
      <w:r w:rsidR="008E3452">
        <w:rPr>
          <w:lang w:val="en-GB" w:eastAsia="en-US"/>
        </w:rPr>
        <w:t xml:space="preserve">to have coverage with terrestrial networks by supporting </w:t>
      </w:r>
      <w:r w:rsidR="008E3452" w:rsidRPr="009E00F6">
        <w:rPr>
          <w:lang w:val="en-GB" w:eastAsia="en-US"/>
        </w:rPr>
        <w:t>communication</w:t>
      </w:r>
      <w:r w:rsidR="008E3452">
        <w:rPr>
          <w:lang w:val="en-GB" w:eastAsia="en-US"/>
        </w:rPr>
        <w:t>s</w:t>
      </w:r>
      <w:r w:rsidR="008E3452" w:rsidRPr="009E00F6">
        <w:rPr>
          <w:lang w:val="en-GB" w:eastAsia="en-US"/>
        </w:rPr>
        <w:t xml:space="preserve"> using low earth orbit (LEO) and geosynchronous orbit (GEO) satellite constellations</w:t>
      </w:r>
      <w:r w:rsidR="008E3452">
        <w:rPr>
          <w:lang w:val="en-GB" w:eastAsia="en-US"/>
        </w:rPr>
        <w:t xml:space="preserve">, the Rel-17 study on IoT for NTN </w:t>
      </w:r>
      <w:r w:rsidR="008E3452">
        <w:t>(</w:t>
      </w:r>
      <w:r w:rsidR="008E3452" w:rsidRPr="00A3486E">
        <w:t>non-terrestr</w:t>
      </w:r>
      <w:r w:rsidR="008E3452" w:rsidRPr="00CB6332">
        <w:rPr>
          <w:bCs/>
        </w:rPr>
        <w:t>ial networks</w:t>
      </w:r>
      <w:r w:rsidR="008E3452">
        <w:t>) aims at enabling IoT operations</w:t>
      </w:r>
      <w:r w:rsidR="00AF5EB4">
        <w:t xml:space="preserve"> in such areas. </w:t>
      </w:r>
      <w:r w:rsidR="00AA3019">
        <w:t>The scenarios for IoT over NTN deployments are envisioned to be the</w:t>
      </w:r>
      <w:r w:rsidR="009B6AF0">
        <w:t xml:space="preserve"> same as for MBB over </w:t>
      </w:r>
      <w:r w:rsidR="00AA3019">
        <w:t>NTN</w:t>
      </w:r>
      <w:r w:rsidR="001E7D11">
        <w:t>, however the general principles that guided the design of NB-IoT and LTE-M</w:t>
      </w:r>
      <w:r w:rsidR="00935D0C">
        <w:t>, which are low power consumption, extended coverage and massive deployments,</w:t>
      </w:r>
      <w:r w:rsidR="001E7D11">
        <w:t xml:space="preserve"> should be maintained while adapting these technologies to NTN deployments.</w:t>
      </w:r>
    </w:p>
    <w:p w14:paraId="43A3FF52" w14:textId="550ECDC5" w:rsidR="009B6AF0" w:rsidRDefault="009B6AF0" w:rsidP="00BC74E0"/>
    <w:p w14:paraId="33F8EAFD" w14:textId="5455E009" w:rsidR="00E76C8B" w:rsidRPr="00E76C8B" w:rsidRDefault="00E76C8B" w:rsidP="00BC74E0">
      <w:pPr>
        <w:rPr>
          <w:u w:val="single"/>
        </w:rPr>
      </w:pPr>
      <w:r w:rsidRPr="00E76C8B">
        <w:rPr>
          <w:u w:val="single"/>
        </w:rPr>
        <w:t>Typical scenario</w:t>
      </w:r>
    </w:p>
    <w:p w14:paraId="675A54CF" w14:textId="48ADD58D" w:rsidR="00187A7A" w:rsidRDefault="00341AA9" w:rsidP="00E76C8B">
      <w:r>
        <w:t xml:space="preserve">The work done during the SI for MBB operation over NTN can be largely </w:t>
      </w:r>
      <w:r w:rsidR="00A54BE2">
        <w:t>re</w:t>
      </w:r>
      <w:r>
        <w:t xml:space="preserve">used for NTN </w:t>
      </w:r>
      <w:r w:rsidR="00A54BE2">
        <w:t>IoT. As a typical scenario for NTN IoT, it can be considered the NTN based on transparent payload as in [</w:t>
      </w:r>
      <w:r w:rsidR="009C6BE9">
        <w:t>3</w:t>
      </w:r>
      <w:r w:rsidR="00A54BE2">
        <w:t>, Sec.4.1, Figure4.1-1] and illustrated in Figure 1.</w:t>
      </w:r>
      <w:r w:rsidR="008F7EE3">
        <w:t xml:space="preserve"> The basic elements of the NTN scenarios are:</w:t>
      </w:r>
      <w:r w:rsidR="00187A7A">
        <w:t xml:space="preserve"> </w:t>
      </w:r>
    </w:p>
    <w:p w14:paraId="69FB9DF4" w14:textId="20CD86BB" w:rsidR="00187A7A" w:rsidRDefault="00187A7A" w:rsidP="008F7EE3">
      <w:pPr>
        <w:ind w:firstLineChars="0" w:firstLine="0"/>
      </w:pPr>
      <w:r>
        <w:t xml:space="preserve">- </w:t>
      </w:r>
      <w:r>
        <w:tab/>
        <w:t>One</w:t>
      </w:r>
      <w:r w:rsidR="008F7EE3">
        <w:t xml:space="preserve"> or several sat-gateways that connect the Non-Terrestrial Network to a public data network</w:t>
      </w:r>
      <w:r>
        <w:t xml:space="preserve">, </w:t>
      </w:r>
    </w:p>
    <w:p w14:paraId="44B0046C" w14:textId="2675B0A0" w:rsidR="008F7EE3" w:rsidRDefault="00187A7A" w:rsidP="008F7EE3">
      <w:pPr>
        <w:ind w:firstLineChars="0" w:firstLine="0"/>
      </w:pPr>
      <w:r>
        <w:t xml:space="preserve">- </w:t>
      </w:r>
      <w:r>
        <w:tab/>
        <w:t>A</w:t>
      </w:r>
      <w:r w:rsidR="008F7EE3">
        <w:t xml:space="preserve"> GEO satellite is fed by one or several sat-gateways which are deployed across </w:t>
      </w:r>
      <w:r>
        <w:t>the</w:t>
      </w:r>
      <w:r w:rsidR="00E47511">
        <w:t xml:space="preserve"> satellite targeted coverage,</w:t>
      </w:r>
    </w:p>
    <w:p w14:paraId="2FA68398" w14:textId="1B811F9C" w:rsidR="008F7EE3" w:rsidRDefault="00187A7A" w:rsidP="008F7EE3">
      <w:pPr>
        <w:ind w:firstLineChars="0" w:firstLine="0"/>
      </w:pPr>
      <w:r>
        <w:t>-</w:t>
      </w:r>
      <w:r>
        <w:tab/>
      </w:r>
      <w:r w:rsidR="008F7EE3">
        <w:t>A Non-GEO satellite served successively by one or several sat-gateways at a time. The system ensures service and feeder link continuity between the successive serving sat-gateways with sufficient time duration to proceed with mobility anchoring and hand-over</w:t>
      </w:r>
    </w:p>
    <w:p w14:paraId="22132853" w14:textId="77777777" w:rsidR="008F7EE3" w:rsidRDefault="008F7EE3" w:rsidP="008F7EE3">
      <w:pPr>
        <w:ind w:firstLineChars="0" w:firstLine="0"/>
      </w:pPr>
      <w:r>
        <w:t>-</w:t>
      </w:r>
      <w:r>
        <w:tab/>
        <w:t>A Feeder link or radio link between a sat-gateway and the satellite (or UAS platform)</w:t>
      </w:r>
    </w:p>
    <w:p w14:paraId="53FEC447" w14:textId="77777777" w:rsidR="008F7EE3" w:rsidRDefault="008F7EE3" w:rsidP="008F7EE3">
      <w:pPr>
        <w:ind w:firstLineChars="0" w:firstLine="0"/>
      </w:pPr>
      <w:r>
        <w:t>-</w:t>
      </w:r>
      <w:r>
        <w:tab/>
        <w:t>A service link or radio link between the user equipment and the satellite (or UAS platform).</w:t>
      </w:r>
    </w:p>
    <w:p w14:paraId="6FBCC69C" w14:textId="5641C66A" w:rsidR="008F7EE3" w:rsidRDefault="008F7EE3" w:rsidP="008F7EE3">
      <w:pPr>
        <w:ind w:firstLineChars="0" w:firstLine="0"/>
      </w:pPr>
      <w:r>
        <w:t>-</w:t>
      </w:r>
      <w:r>
        <w:tab/>
        <w:t>A satell</w:t>
      </w:r>
      <w:r w:rsidR="00187A7A">
        <w:t xml:space="preserve">ite (or UAS platform) which </w:t>
      </w:r>
      <w:r>
        <w:t>implement</w:t>
      </w:r>
      <w:r w:rsidR="00187A7A">
        <w:t>s</w:t>
      </w:r>
      <w:r>
        <w:t xml:space="preserve"> a transparent payload. The satellite (or UAS platform) </w:t>
      </w:r>
      <w:r w:rsidR="00187A7A">
        <w:t xml:space="preserve">typically </w:t>
      </w:r>
      <w:r>
        <w:t>generate</w:t>
      </w:r>
      <w:r w:rsidR="00187A7A">
        <w:t>s</w:t>
      </w:r>
      <w:r>
        <w:t xml:space="preserve"> several beams over a given service area bounded by its field of view. </w:t>
      </w:r>
    </w:p>
    <w:p w14:paraId="2F02709B" w14:textId="2255607D" w:rsidR="008F7EE3" w:rsidRDefault="008F7EE3" w:rsidP="008F7EE3">
      <w:pPr>
        <w:ind w:firstLineChars="0" w:firstLine="0"/>
      </w:pPr>
      <w:r>
        <w:t>-</w:t>
      </w:r>
      <w:r>
        <w:tab/>
        <w:t xml:space="preserve">A transparent payload: Radio Frequency filtering, Frequency conversion and amplification. </w:t>
      </w:r>
    </w:p>
    <w:p w14:paraId="792166A3" w14:textId="5C09330A" w:rsidR="008F7EE3" w:rsidRDefault="008F7EE3" w:rsidP="008F7EE3">
      <w:pPr>
        <w:ind w:firstLineChars="0" w:firstLine="0"/>
      </w:pPr>
      <w:r>
        <w:t>-</w:t>
      </w:r>
      <w:r>
        <w:tab/>
        <w:t>User Equipment are served by the satellite (or UAS platform) within the targeted service area.</w:t>
      </w:r>
    </w:p>
    <w:p w14:paraId="67F7FB98" w14:textId="3E4FD3FC" w:rsidR="00E76C8B" w:rsidRDefault="00E76C8B" w:rsidP="008F7EE3">
      <w:pPr>
        <w:ind w:firstLineChars="0" w:firstLine="0"/>
      </w:pPr>
    </w:p>
    <w:p w14:paraId="6B6076E7" w14:textId="77777777" w:rsidR="00E76C8B" w:rsidRDefault="00E76C8B" w:rsidP="00E76C8B">
      <w:pPr>
        <w:rPr>
          <w:b/>
        </w:rPr>
      </w:pPr>
      <w:r>
        <w:rPr>
          <w:b/>
        </w:rPr>
        <w:t>Proposal 1: Support a reference scenario for NTN IoT including a transparent payload.</w:t>
      </w:r>
    </w:p>
    <w:p w14:paraId="17844B6F" w14:textId="77777777" w:rsidR="00E76C8B" w:rsidRDefault="00E76C8B" w:rsidP="008F7EE3">
      <w:pPr>
        <w:ind w:firstLineChars="0" w:firstLine="0"/>
      </w:pPr>
    </w:p>
    <w:p w14:paraId="676B8E8A" w14:textId="2BA9AF6D" w:rsidR="00A54BE2" w:rsidRDefault="00A54BE2" w:rsidP="00341AA9">
      <w:pPr>
        <w:ind w:firstLineChars="0" w:firstLine="0"/>
      </w:pPr>
      <w:r w:rsidRPr="00A90872">
        <w:rPr>
          <w:noProof/>
          <w:lang w:eastAsia="en-US"/>
        </w:rPr>
        <w:drawing>
          <wp:inline distT="0" distB="0" distL="0" distR="0" wp14:anchorId="2A05BF63" wp14:editId="6CE86CFA">
            <wp:extent cx="6029325" cy="260032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8A39D" w14:textId="5B54D966" w:rsidR="00A54BE2" w:rsidRDefault="00A54BE2" w:rsidP="00341AA9">
      <w:pPr>
        <w:ind w:firstLineChars="0" w:firstLine="0"/>
      </w:pPr>
    </w:p>
    <w:p w14:paraId="6124FFD6" w14:textId="21618134" w:rsidR="00A54BE2" w:rsidRPr="00A54BE2" w:rsidRDefault="00A54BE2" w:rsidP="00A54BE2">
      <w:pPr>
        <w:ind w:firstLineChars="0" w:firstLine="0"/>
        <w:jc w:val="center"/>
        <w:rPr>
          <w:b/>
        </w:rPr>
      </w:pPr>
      <w:r w:rsidRPr="00A54BE2">
        <w:rPr>
          <w:b/>
        </w:rPr>
        <w:t>Figure 1 - Non-terrestrial network typical scenario based on transparent payload</w:t>
      </w:r>
    </w:p>
    <w:p w14:paraId="5BBF7AD3" w14:textId="16F2DE82" w:rsidR="00ED578C" w:rsidRDefault="00ED578C" w:rsidP="00E76C8B">
      <w:pPr>
        <w:pStyle w:val="B1"/>
        <w:ind w:left="0" w:firstLineChars="0" w:firstLine="0"/>
        <w:jc w:val="left"/>
        <w:rPr>
          <w:rFonts w:ascii="Times" w:hAnsi="Times" w:cs="Times"/>
          <w:color w:val="auto"/>
          <w:u w:val="single"/>
        </w:rPr>
      </w:pPr>
    </w:p>
    <w:p w14:paraId="3079AE2A" w14:textId="15D65D21" w:rsidR="00FC4460" w:rsidRPr="00FC4460" w:rsidRDefault="00FC4460" w:rsidP="00F472A1">
      <w:pPr>
        <w:pStyle w:val="B1"/>
        <w:ind w:left="0" w:firstLine="200"/>
        <w:jc w:val="left"/>
        <w:rPr>
          <w:rFonts w:ascii="Times" w:hAnsi="Times" w:cs="Times"/>
          <w:color w:val="auto"/>
          <w:u w:val="single"/>
        </w:rPr>
      </w:pPr>
      <w:r>
        <w:rPr>
          <w:rFonts w:ascii="Times" w:hAnsi="Times" w:cs="Times"/>
          <w:color w:val="auto"/>
          <w:u w:val="single"/>
        </w:rPr>
        <w:lastRenderedPageBreak/>
        <w:t>GEO and LEO sat</w:t>
      </w:r>
      <w:r w:rsidRPr="00FC4460">
        <w:rPr>
          <w:rFonts w:ascii="Times" w:hAnsi="Times" w:cs="Times"/>
          <w:color w:val="auto"/>
          <w:u w:val="single"/>
        </w:rPr>
        <w:t>ellites</w:t>
      </w:r>
    </w:p>
    <w:p w14:paraId="3DFEC247" w14:textId="402E9A96" w:rsidR="00E47511" w:rsidRDefault="00E47511" w:rsidP="00FC4460">
      <w:pPr>
        <w:pStyle w:val="B1"/>
        <w:ind w:left="0" w:firstLine="200"/>
        <w:jc w:val="left"/>
        <w:rPr>
          <w:rFonts w:ascii="Times" w:hAnsi="Times" w:cs="Times"/>
          <w:color w:val="auto"/>
        </w:rPr>
      </w:pPr>
      <w:r>
        <w:rPr>
          <w:rFonts w:ascii="Times" w:hAnsi="Times" w:cs="Times"/>
          <w:color w:val="auto"/>
        </w:rPr>
        <w:t>The GEO and LEO satellite main characteristic</w:t>
      </w:r>
      <w:r w:rsidR="00016D05">
        <w:rPr>
          <w:rFonts w:ascii="Times" w:hAnsi="Times" w:cs="Times"/>
          <w:color w:val="auto"/>
        </w:rPr>
        <w:t>s</w:t>
      </w:r>
      <w:r>
        <w:rPr>
          <w:rFonts w:ascii="Times" w:hAnsi="Times" w:cs="Times"/>
          <w:color w:val="auto"/>
        </w:rPr>
        <w:t xml:space="preserve"> are summarized in Table 2.</w:t>
      </w:r>
      <w:r w:rsidR="007B3EF7">
        <w:rPr>
          <w:rFonts w:ascii="Times" w:hAnsi="Times" w:cs="Times"/>
          <w:color w:val="auto"/>
        </w:rPr>
        <w:t xml:space="preserve"> </w:t>
      </w:r>
      <w:r w:rsidR="00D30E56">
        <w:rPr>
          <w:rFonts w:ascii="Times" w:hAnsi="Times" w:cs="Times"/>
          <w:color w:val="auto"/>
        </w:rPr>
        <w:t xml:space="preserve">For the GEO satellite the main constraint is the large RTT due to the larger altitude of the satellite. </w:t>
      </w:r>
      <w:r w:rsidR="003A6181">
        <w:rPr>
          <w:rFonts w:ascii="Times" w:hAnsi="Times" w:cs="Times"/>
          <w:color w:val="auto"/>
        </w:rPr>
        <w:t>For the service link t</w:t>
      </w:r>
      <w:r w:rsidR="007B3EF7">
        <w:rPr>
          <w:rFonts w:ascii="Times" w:hAnsi="Times" w:cs="Times"/>
          <w:color w:val="auto"/>
        </w:rPr>
        <w:t>he position of a GEO satellite appears as fixed when observed by an earth point</w:t>
      </w:r>
      <w:r w:rsidR="00D30E56">
        <w:rPr>
          <w:rFonts w:ascii="Times" w:hAnsi="Times" w:cs="Times"/>
          <w:color w:val="auto"/>
        </w:rPr>
        <w:t xml:space="preserve">. An </w:t>
      </w:r>
      <w:r w:rsidR="007B3EF7">
        <w:rPr>
          <w:rFonts w:ascii="Times" w:hAnsi="Times" w:cs="Times"/>
          <w:color w:val="auto"/>
        </w:rPr>
        <w:t xml:space="preserve">inclined orbit causes a Doppler shift. A larger </w:t>
      </w:r>
      <w:r w:rsidR="003A6181">
        <w:rPr>
          <w:rFonts w:ascii="Times" w:hAnsi="Times" w:cs="Times"/>
          <w:color w:val="auto"/>
        </w:rPr>
        <w:t xml:space="preserve">Doppler shift is </w:t>
      </w:r>
      <w:r w:rsidR="00650E65">
        <w:rPr>
          <w:rFonts w:ascii="Times" w:hAnsi="Times" w:cs="Times"/>
          <w:color w:val="auto"/>
        </w:rPr>
        <w:t>present</w:t>
      </w:r>
      <w:r w:rsidR="003A6181">
        <w:rPr>
          <w:rFonts w:ascii="Times" w:hAnsi="Times" w:cs="Times"/>
          <w:color w:val="auto"/>
        </w:rPr>
        <w:t xml:space="preserve"> for a LEO satellite due to the high velocity of the satellite. </w:t>
      </w:r>
      <w:r w:rsidR="00D30E56">
        <w:rPr>
          <w:rFonts w:ascii="Times" w:hAnsi="Times" w:cs="Times"/>
          <w:color w:val="auto"/>
        </w:rPr>
        <w:t>The</w:t>
      </w:r>
      <w:r w:rsidR="00650E65">
        <w:rPr>
          <w:rFonts w:ascii="Times" w:hAnsi="Times" w:cs="Times"/>
          <w:color w:val="auto"/>
        </w:rPr>
        <w:t xml:space="preserve"> beam foot</w:t>
      </w:r>
      <w:r w:rsidR="003A6181">
        <w:rPr>
          <w:rFonts w:ascii="Times" w:hAnsi="Times" w:cs="Times"/>
          <w:color w:val="auto"/>
        </w:rPr>
        <w:t xml:space="preserve">print </w:t>
      </w:r>
      <w:r w:rsidR="002B14AD">
        <w:rPr>
          <w:rFonts w:ascii="Times" w:hAnsi="Times" w:cs="Times"/>
          <w:color w:val="auto"/>
        </w:rPr>
        <w:t xml:space="preserve">moves and a certain area has coverage for a short time period unless the beam is adapted to cover </w:t>
      </w:r>
      <w:r w:rsidR="00650E65">
        <w:rPr>
          <w:rFonts w:ascii="Times" w:hAnsi="Times" w:cs="Times"/>
          <w:color w:val="auto"/>
        </w:rPr>
        <w:t xml:space="preserve">the same area for a longer time. </w:t>
      </w:r>
      <w:r w:rsidR="00D30E56">
        <w:rPr>
          <w:rFonts w:ascii="Times" w:hAnsi="Times" w:cs="Times"/>
          <w:color w:val="auto"/>
        </w:rPr>
        <w:t>For NTN-</w:t>
      </w:r>
      <w:r w:rsidR="00EA6BDF">
        <w:rPr>
          <w:rFonts w:ascii="Times" w:hAnsi="Times" w:cs="Times"/>
          <w:color w:val="auto"/>
        </w:rPr>
        <w:t>IoT both GEO and LEO satellite</w:t>
      </w:r>
      <w:r w:rsidR="00D30E56">
        <w:rPr>
          <w:rFonts w:ascii="Times" w:hAnsi="Times" w:cs="Times"/>
          <w:color w:val="auto"/>
        </w:rPr>
        <w:t>s</w:t>
      </w:r>
      <w:r w:rsidR="00EA6BDF">
        <w:rPr>
          <w:rFonts w:ascii="Times" w:hAnsi="Times" w:cs="Times"/>
          <w:color w:val="auto"/>
        </w:rPr>
        <w:t xml:space="preserve"> should be considered because different applications can be </w:t>
      </w:r>
      <w:r w:rsidR="00D30E56">
        <w:rPr>
          <w:rFonts w:ascii="Times" w:hAnsi="Times" w:cs="Times"/>
          <w:color w:val="auto"/>
        </w:rPr>
        <w:t>used in one or the other cases</w:t>
      </w:r>
      <w:r w:rsidR="00EA6BDF">
        <w:rPr>
          <w:rFonts w:ascii="Times" w:hAnsi="Times" w:cs="Times"/>
          <w:color w:val="auto"/>
        </w:rPr>
        <w:t xml:space="preserve">. Applications that are not so sensitive to latency, such as metering, can be used with a GEO satellite, while applications that have mobility and cannot support large latency, as for example </w:t>
      </w:r>
      <w:r w:rsidR="00D30E56">
        <w:rPr>
          <w:rFonts w:ascii="Times" w:hAnsi="Times" w:cs="Times"/>
          <w:color w:val="auto"/>
        </w:rPr>
        <w:t xml:space="preserve">shipment tracking or wearables, would benefit of the lower latency of LEO satellite communications. </w:t>
      </w:r>
      <w:r w:rsidR="00EA6BDF">
        <w:rPr>
          <w:rFonts w:ascii="Times" w:hAnsi="Times" w:cs="Times"/>
          <w:color w:val="auto"/>
        </w:rPr>
        <w:t xml:space="preserve"> </w:t>
      </w:r>
    </w:p>
    <w:p w14:paraId="0F81B817" w14:textId="35773173" w:rsidR="00E47511" w:rsidRPr="00E47511" w:rsidRDefault="00E47511" w:rsidP="00E47511">
      <w:pPr>
        <w:keepNext/>
        <w:keepLines/>
        <w:spacing w:after="180" w:line="240" w:lineRule="auto"/>
        <w:ind w:firstLineChars="0" w:firstLine="0"/>
        <w:jc w:val="center"/>
        <w:rPr>
          <w:rFonts w:eastAsia="Times New Roman"/>
          <w:b/>
          <w:lang w:val="en-GB" w:eastAsia="en-US"/>
        </w:rPr>
      </w:pPr>
      <w:r w:rsidRPr="00E47511">
        <w:rPr>
          <w:rFonts w:eastAsia="Times New Roman"/>
          <w:b/>
          <w:lang w:val="en-GB" w:eastAsia="en-US"/>
        </w:rPr>
        <w:t xml:space="preserve">Table </w:t>
      </w:r>
      <w:r w:rsidRPr="00317559">
        <w:rPr>
          <w:rFonts w:eastAsia="Times New Roman"/>
          <w:b/>
          <w:lang w:val="en-GB" w:eastAsia="en-US"/>
        </w:rPr>
        <w:t>2</w:t>
      </w:r>
      <w:r w:rsidR="00317559">
        <w:rPr>
          <w:rFonts w:eastAsia="Times New Roman"/>
          <w:b/>
          <w:lang w:val="en-GB" w:eastAsia="en-US"/>
        </w:rPr>
        <w:t xml:space="preserve"> -</w:t>
      </w:r>
      <w:r w:rsidRPr="00E47511">
        <w:rPr>
          <w:rFonts w:eastAsia="Times New Roman"/>
          <w:b/>
          <w:lang w:val="en-GB" w:eastAsia="en-US"/>
        </w:rPr>
        <w:t xml:space="preserve"> </w:t>
      </w:r>
      <w:r w:rsidRPr="00317559">
        <w:rPr>
          <w:rFonts w:eastAsia="Times New Roman"/>
          <w:b/>
          <w:lang w:val="en-GB" w:eastAsia="en-US"/>
        </w:rPr>
        <w:t>LEO and GEO satellite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653"/>
        <w:gridCol w:w="3412"/>
        <w:gridCol w:w="1489"/>
      </w:tblGrid>
      <w:tr w:rsidR="00E47511" w:rsidRPr="00E47511" w14:paraId="304AB2FE" w14:textId="77777777" w:rsidTr="00AF3CC5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800878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Platforms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10D1D3B1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Altitude range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5CB2D696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Orbit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DF158D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Typical beam footprint size</w:t>
            </w:r>
          </w:p>
        </w:tc>
      </w:tr>
      <w:tr w:rsidR="00E47511" w:rsidRPr="00E47511" w14:paraId="0A262931" w14:textId="77777777" w:rsidTr="00AF3CC5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C17BE9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Low-Earth Orbit (LEO)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65BB77FA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300 – 1500 km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3F6A5F5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Circular around the earth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996AD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100 – 1000 km</w:t>
            </w:r>
          </w:p>
        </w:tc>
      </w:tr>
      <w:tr w:rsidR="00E47511" w:rsidRPr="00E47511" w14:paraId="5591076E" w14:textId="77777777" w:rsidTr="00AF3CC5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A7E527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Geostationary Earth Orbit (GEO)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780EE7CD" w14:textId="185F6372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317559">
              <w:rPr>
                <w:rFonts w:ascii="Times" w:eastAsia="Calibri" w:hAnsi="Times" w:cs="Times"/>
                <w:lang w:val="en-GB" w:eastAsia="en-US"/>
              </w:rPr>
              <w:t>35,</w:t>
            </w:r>
            <w:r w:rsidRPr="00E47511">
              <w:rPr>
                <w:rFonts w:ascii="Times" w:eastAsia="Calibri" w:hAnsi="Times" w:cs="Times"/>
                <w:lang w:val="en-GB" w:eastAsia="en-US"/>
              </w:rPr>
              <w:t>786 km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EDF8D1E" w14:textId="5D93A846" w:rsidR="00E47511" w:rsidRPr="00E47511" w:rsidRDefault="00E47511" w:rsidP="00317559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 xml:space="preserve">fixed elevation/azimuth </w:t>
            </w:r>
            <w:r w:rsidR="00317559">
              <w:rPr>
                <w:rFonts w:ascii="Times" w:eastAsia="Calibri" w:hAnsi="Times" w:cs="Times"/>
                <w:lang w:val="en-GB" w:eastAsia="en-US"/>
              </w:rPr>
              <w:t xml:space="preserve">position </w:t>
            </w:r>
            <w:r w:rsidRPr="00E47511">
              <w:rPr>
                <w:rFonts w:ascii="Times" w:eastAsia="Calibri" w:hAnsi="Times" w:cs="Times"/>
                <w:lang w:val="en-GB" w:eastAsia="en-US"/>
              </w:rPr>
              <w:t>with respect to a given earth point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35BC9A" w14:textId="77777777" w:rsidR="00E47511" w:rsidRPr="00E47511" w:rsidRDefault="00E47511" w:rsidP="00E4751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Times" w:eastAsia="Calibri" w:hAnsi="Times" w:cs="Times"/>
                <w:lang w:val="en-GB" w:eastAsia="en-US"/>
              </w:rPr>
            </w:pPr>
            <w:r w:rsidRPr="00E47511">
              <w:rPr>
                <w:rFonts w:ascii="Times" w:eastAsia="Calibri" w:hAnsi="Times" w:cs="Times"/>
                <w:lang w:val="en-GB" w:eastAsia="en-US"/>
              </w:rPr>
              <w:t>200 – 3500 km</w:t>
            </w:r>
          </w:p>
        </w:tc>
      </w:tr>
    </w:tbl>
    <w:p w14:paraId="51FE1957" w14:textId="7AB82DAC" w:rsidR="00D30E56" w:rsidRDefault="00D30E56" w:rsidP="00FC4460">
      <w:pPr>
        <w:ind w:firstLineChars="0" w:firstLine="0"/>
        <w:rPr>
          <w:b/>
        </w:rPr>
      </w:pPr>
    </w:p>
    <w:p w14:paraId="47BBCD3E" w14:textId="192EF66F" w:rsidR="00F725C5" w:rsidRDefault="00C8719E" w:rsidP="00F725C5">
      <w:pPr>
        <w:rPr>
          <w:b/>
        </w:rPr>
      </w:pPr>
      <w:r>
        <w:rPr>
          <w:b/>
        </w:rPr>
        <w:t xml:space="preserve">Proposal </w:t>
      </w:r>
      <w:r w:rsidR="00D30E56">
        <w:rPr>
          <w:b/>
        </w:rPr>
        <w:t>2:</w:t>
      </w:r>
      <w:r>
        <w:rPr>
          <w:b/>
        </w:rPr>
        <w:t xml:space="preserve"> Support both LEO and GEO </w:t>
      </w:r>
      <w:r w:rsidR="00180062">
        <w:rPr>
          <w:b/>
        </w:rPr>
        <w:t>satellite platforms</w:t>
      </w:r>
      <w:r w:rsidR="00ED1FD5">
        <w:rPr>
          <w:b/>
        </w:rPr>
        <w:t xml:space="preserve"> for NTN IoT.</w:t>
      </w:r>
    </w:p>
    <w:p w14:paraId="3F6F06C6" w14:textId="77777777" w:rsidR="00E66764" w:rsidRDefault="00E66764" w:rsidP="00F725C5">
      <w:pPr>
        <w:rPr>
          <w:b/>
        </w:rPr>
      </w:pPr>
    </w:p>
    <w:p w14:paraId="3B1BAEDC" w14:textId="27584591" w:rsidR="00FC4460" w:rsidRPr="00FC4460" w:rsidRDefault="00FC4460" w:rsidP="00ED578C">
      <w:pPr>
        <w:rPr>
          <w:u w:val="single"/>
        </w:rPr>
      </w:pPr>
      <w:r w:rsidRPr="00FC4460">
        <w:rPr>
          <w:u w:val="single"/>
        </w:rPr>
        <w:t>Fixed or steerable beams</w:t>
      </w:r>
    </w:p>
    <w:p w14:paraId="31549275" w14:textId="56040D32" w:rsidR="00E66764" w:rsidRPr="00E66764" w:rsidRDefault="00382426" w:rsidP="00382426">
      <w:r>
        <w:t xml:space="preserve">For a GEO satellite the position of the beam appears fixed on earth. This scenario is labelled as scenario A in [2]. </w:t>
      </w:r>
      <w:r w:rsidR="00AD591D">
        <w:t>A fixed beam for a LEO satellite appears as a moving beam on earth and the coverage of an area on earth depends on the satellite velocity</w:t>
      </w:r>
      <w:r>
        <w:t>, altitude and elevation/azimuth position</w:t>
      </w:r>
      <w:r w:rsidR="00AD591D">
        <w:t xml:space="preserve">. </w:t>
      </w:r>
      <w:r w:rsidR="00E66764">
        <w:t xml:space="preserve">A LEO satellite </w:t>
      </w:r>
      <w:r w:rsidR="00E66764" w:rsidRPr="00B923D6">
        <w:t xml:space="preserve">has </w:t>
      </w:r>
      <w:r w:rsidR="00AD591D">
        <w:t xml:space="preserve">also </w:t>
      </w:r>
      <w:r w:rsidR="00E66764" w:rsidRPr="00B923D6">
        <w:t>the capability to steer beams towards fixed points on earth using beamforming techniques</w:t>
      </w:r>
      <w:r>
        <w:t>,</w:t>
      </w:r>
      <w:r w:rsidR="00E66764" w:rsidRPr="00B923D6">
        <w:t xml:space="preserve"> applicable for a period of time corresponding to the visibility time of the satellite</w:t>
      </w:r>
      <w:r w:rsidR="00E66764">
        <w:t xml:space="preserve">. </w:t>
      </w:r>
      <w:r>
        <w:t>As described in [</w:t>
      </w:r>
      <w:r w:rsidR="009C6BE9">
        <w:t>3</w:t>
      </w:r>
      <w:r>
        <w:t>], scenario C1 is a LEO based non-terrestrial access network with steerable beams, and scenario C2 is</w:t>
      </w:r>
      <w:r w:rsidRPr="00382426">
        <w:t xml:space="preserve"> </w:t>
      </w:r>
      <w:r>
        <w:t xml:space="preserve">LEO based non-terrestrial access network with fixed beams moving with the satellite   </w:t>
      </w:r>
      <w:r w:rsidR="00AD591D">
        <w:t xml:space="preserve">For NTN IoT both </w:t>
      </w:r>
      <w:r>
        <w:t>scenarios C1 and C2</w:t>
      </w:r>
      <w:r w:rsidR="00AD591D">
        <w:t xml:space="preserve"> should be considered</w:t>
      </w:r>
      <w:r>
        <w:t xml:space="preserve"> to support different IoT applications. </w:t>
      </w:r>
    </w:p>
    <w:p w14:paraId="159A3D8D" w14:textId="77777777" w:rsidR="00E66764" w:rsidRPr="00CE1744" w:rsidRDefault="00E66764" w:rsidP="00F725C5"/>
    <w:p w14:paraId="7B462E2F" w14:textId="241B7DE5" w:rsidR="00180062" w:rsidRDefault="00180062" w:rsidP="00F725C5">
      <w:pPr>
        <w:rPr>
          <w:b/>
        </w:rPr>
      </w:pPr>
      <w:r>
        <w:rPr>
          <w:b/>
        </w:rPr>
        <w:t xml:space="preserve">Proposal 3: </w:t>
      </w:r>
      <w:r w:rsidR="00382426">
        <w:rPr>
          <w:b/>
        </w:rPr>
        <w:t>Support scenario A for GEO satellite networks, and scenarios C1 and C2</w:t>
      </w:r>
      <w:r>
        <w:rPr>
          <w:b/>
        </w:rPr>
        <w:t xml:space="preserve"> for LEO satellite</w:t>
      </w:r>
      <w:r w:rsidR="00E66764">
        <w:rPr>
          <w:b/>
        </w:rPr>
        <w:t xml:space="preserve"> networks</w:t>
      </w:r>
      <w:r>
        <w:rPr>
          <w:b/>
        </w:rPr>
        <w:t xml:space="preserve">. </w:t>
      </w:r>
    </w:p>
    <w:p w14:paraId="4184E7AC" w14:textId="22466D77" w:rsidR="00EB2264" w:rsidRDefault="00EB2264" w:rsidP="008F2C46">
      <w:pPr>
        <w:pStyle w:val="B1"/>
        <w:ind w:left="0" w:firstLineChars="0" w:firstLine="0"/>
        <w:jc w:val="left"/>
        <w:rPr>
          <w:rFonts w:ascii="Times" w:hAnsi="Times" w:cs="Times"/>
          <w:color w:val="auto"/>
        </w:rPr>
      </w:pPr>
    </w:p>
    <w:p w14:paraId="02E22DD9" w14:textId="72ECEE6A" w:rsidR="00ED578C" w:rsidRPr="00ED578C" w:rsidRDefault="00ED578C" w:rsidP="00ED578C">
      <w:pPr>
        <w:pStyle w:val="B1"/>
        <w:ind w:left="0" w:firstLine="200"/>
        <w:jc w:val="left"/>
        <w:rPr>
          <w:rFonts w:ascii="Times" w:hAnsi="Times" w:cs="Times"/>
          <w:color w:val="auto"/>
          <w:u w:val="single"/>
        </w:rPr>
      </w:pPr>
      <w:r w:rsidRPr="00ED578C">
        <w:rPr>
          <w:rFonts w:ascii="Times" w:hAnsi="Times" w:cs="Times"/>
          <w:color w:val="auto"/>
          <w:u w:val="single"/>
        </w:rPr>
        <w:t>Bands</w:t>
      </w:r>
    </w:p>
    <w:p w14:paraId="599EC676" w14:textId="20F21A70" w:rsidR="00F472A1" w:rsidRDefault="00FC4460" w:rsidP="00F472A1">
      <w:pPr>
        <w:pStyle w:val="B1"/>
        <w:ind w:left="0" w:firstLine="200"/>
        <w:jc w:val="left"/>
        <w:rPr>
          <w:rFonts w:ascii="Times" w:hAnsi="Times" w:cs="Times"/>
          <w:color w:val="auto"/>
        </w:rPr>
      </w:pPr>
      <w:r>
        <w:rPr>
          <w:rFonts w:ascii="Times" w:hAnsi="Times" w:cs="Times"/>
          <w:color w:val="auto"/>
        </w:rPr>
        <w:t>T</w:t>
      </w:r>
      <w:r w:rsidR="00F472A1">
        <w:rPr>
          <w:rFonts w:ascii="Times" w:hAnsi="Times" w:cs="Times"/>
          <w:color w:val="auto"/>
        </w:rPr>
        <w:t>he bands considered in [</w:t>
      </w:r>
      <w:r w:rsidR="009C6BE9">
        <w:rPr>
          <w:rFonts w:ascii="Times" w:hAnsi="Times" w:cs="Times"/>
          <w:color w:val="auto"/>
        </w:rPr>
        <w:t>3</w:t>
      </w:r>
      <w:r w:rsidR="00F472A1">
        <w:rPr>
          <w:rFonts w:ascii="Times" w:hAnsi="Times" w:cs="Times"/>
          <w:color w:val="auto"/>
        </w:rPr>
        <w:t>] fo</w:t>
      </w:r>
      <w:r w:rsidR="00AE590C">
        <w:rPr>
          <w:rFonts w:ascii="Times" w:hAnsi="Times" w:cs="Times"/>
          <w:color w:val="auto"/>
        </w:rPr>
        <w:t xml:space="preserve">r </w:t>
      </w:r>
      <w:r w:rsidR="00F472A1">
        <w:rPr>
          <w:rFonts w:ascii="Times" w:hAnsi="Times" w:cs="Times"/>
          <w:color w:val="auto"/>
        </w:rPr>
        <w:t>the NTN study can be reused</w:t>
      </w:r>
      <w:r>
        <w:rPr>
          <w:rFonts w:ascii="Times" w:hAnsi="Times" w:cs="Times"/>
          <w:color w:val="auto"/>
        </w:rPr>
        <w:t xml:space="preserve"> for the NTN IoT study</w:t>
      </w:r>
      <w:r w:rsidR="00F472A1">
        <w:rPr>
          <w:rFonts w:ascii="Times" w:hAnsi="Times" w:cs="Times"/>
          <w:color w:val="auto"/>
        </w:rPr>
        <w:t>, namely</w:t>
      </w:r>
    </w:p>
    <w:p w14:paraId="253B94E5" w14:textId="66CD8FD8" w:rsidR="00F472A1" w:rsidRDefault="00F472A1" w:rsidP="00F472A1">
      <w:pPr>
        <w:pStyle w:val="B1"/>
        <w:numPr>
          <w:ilvl w:val="0"/>
          <w:numId w:val="28"/>
        </w:numPr>
        <w:ind w:firstLineChars="0"/>
        <w:jc w:val="left"/>
        <w:rPr>
          <w:rFonts w:ascii="Times" w:hAnsi="Times" w:cs="Times"/>
          <w:color w:val="auto"/>
        </w:rPr>
      </w:pPr>
      <w:r>
        <w:rPr>
          <w:rFonts w:ascii="Times" w:hAnsi="Times" w:cs="Times"/>
          <w:color w:val="auto"/>
        </w:rPr>
        <w:t xml:space="preserve"> </w:t>
      </w:r>
      <w:r w:rsidRPr="00F472A1">
        <w:rPr>
          <w:rFonts w:ascii="Times" w:hAnsi="Times" w:cs="Times"/>
          <w:color w:val="auto"/>
        </w:rPr>
        <w:t>S-band</w:t>
      </w:r>
      <w:r>
        <w:rPr>
          <w:rFonts w:ascii="Times" w:hAnsi="Times" w:cs="Times"/>
          <w:color w:val="auto"/>
        </w:rPr>
        <w:t xml:space="preserve"> </w:t>
      </w:r>
      <w:r w:rsidRPr="00F472A1">
        <w:rPr>
          <w:rFonts w:ascii="Times" w:hAnsi="Times" w:cs="Times"/>
          <w:color w:val="auto"/>
        </w:rPr>
        <w:t>(i.e. 2 GHz)</w:t>
      </w:r>
    </w:p>
    <w:p w14:paraId="7714495A" w14:textId="6FA4F0D6" w:rsidR="00F472A1" w:rsidRPr="00F472A1" w:rsidRDefault="00F472A1" w:rsidP="00F472A1">
      <w:pPr>
        <w:pStyle w:val="B1"/>
        <w:numPr>
          <w:ilvl w:val="0"/>
          <w:numId w:val="28"/>
        </w:numPr>
        <w:ind w:firstLineChars="0"/>
        <w:jc w:val="left"/>
        <w:rPr>
          <w:rFonts w:ascii="Times" w:hAnsi="Times" w:cs="Times"/>
          <w:color w:val="auto"/>
        </w:rPr>
      </w:pPr>
      <w:proofErr w:type="spellStart"/>
      <w:r w:rsidRPr="00F472A1">
        <w:rPr>
          <w:rFonts w:ascii="Times" w:hAnsi="Times" w:cs="Times"/>
          <w:color w:val="auto"/>
        </w:rPr>
        <w:t>Ka</w:t>
      </w:r>
      <w:proofErr w:type="spellEnd"/>
      <w:r w:rsidRPr="00F472A1">
        <w:rPr>
          <w:rFonts w:ascii="Times" w:hAnsi="Times" w:cs="Times"/>
          <w:color w:val="auto"/>
        </w:rPr>
        <w:t>-band</w:t>
      </w:r>
      <w:r>
        <w:rPr>
          <w:rFonts w:ascii="Times" w:hAnsi="Times" w:cs="Times"/>
          <w:color w:val="auto"/>
        </w:rPr>
        <w:t xml:space="preserve"> </w:t>
      </w:r>
      <w:r w:rsidRPr="00F472A1">
        <w:rPr>
          <w:rFonts w:ascii="Times" w:hAnsi="Times" w:cs="Times"/>
          <w:color w:val="auto"/>
        </w:rPr>
        <w:t>(i.e. 20 GHz for DL</w:t>
      </w:r>
      <w:r>
        <w:rPr>
          <w:rFonts w:ascii="Times" w:hAnsi="Times" w:cs="Times"/>
          <w:color w:val="auto"/>
        </w:rPr>
        <w:t xml:space="preserve">, </w:t>
      </w:r>
      <w:r w:rsidRPr="00F472A1">
        <w:rPr>
          <w:rFonts w:ascii="Times" w:hAnsi="Times" w:cs="Times"/>
          <w:color w:val="auto"/>
        </w:rPr>
        <w:t>30 GHz for UL)</w:t>
      </w:r>
    </w:p>
    <w:p w14:paraId="1263DA07" w14:textId="758CF55C" w:rsidR="00F472A1" w:rsidRDefault="00AE590C" w:rsidP="00BC74E0">
      <w:r>
        <w:rPr>
          <w:rFonts w:ascii="Times" w:hAnsi="Times" w:cs="Times"/>
        </w:rPr>
        <w:t>Consideration</w:t>
      </w:r>
      <w:r w:rsidR="0077028E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of such bands during the study should be sufficient to identify aspects that need to be </w:t>
      </w:r>
      <w:r w:rsidR="007B4C7B">
        <w:rPr>
          <w:rFonts w:ascii="Times" w:hAnsi="Times" w:cs="Times"/>
        </w:rPr>
        <w:t>studied and adapted</w:t>
      </w:r>
      <w:r>
        <w:rPr>
          <w:rFonts w:ascii="Times" w:hAnsi="Times" w:cs="Times"/>
        </w:rPr>
        <w:t xml:space="preserve"> to extend the coverage of IoT to NTN</w:t>
      </w:r>
      <w:r w:rsidR="009C5EB3">
        <w:rPr>
          <w:rFonts w:ascii="Times" w:hAnsi="Times" w:cs="Times"/>
        </w:rPr>
        <w:t xml:space="preserve"> operation. </w:t>
      </w:r>
      <w:r w:rsidR="0077028E">
        <w:rPr>
          <w:rFonts w:ascii="Times" w:hAnsi="Times" w:cs="Times"/>
        </w:rPr>
        <w:t>However</w:t>
      </w:r>
      <w:r w:rsidR="002D56FE">
        <w:rPr>
          <w:rFonts w:ascii="Times" w:hAnsi="Times" w:cs="Times"/>
        </w:rPr>
        <w:t>,</w:t>
      </w:r>
      <w:r w:rsidR="0077028E">
        <w:rPr>
          <w:rFonts w:ascii="Times" w:hAnsi="Times" w:cs="Times"/>
        </w:rPr>
        <w:t xml:space="preserve"> o</w:t>
      </w:r>
      <w:r w:rsidR="007B4C7B">
        <w:rPr>
          <w:rFonts w:ascii="Times" w:hAnsi="Times" w:cs="Times"/>
        </w:rPr>
        <w:t>peration</w:t>
      </w:r>
      <w:r w:rsidR="0077028E">
        <w:rPr>
          <w:rFonts w:ascii="Times" w:hAnsi="Times" w:cs="Times"/>
        </w:rPr>
        <w:t>s</w:t>
      </w:r>
      <w:r w:rsidR="007B4C7B">
        <w:rPr>
          <w:rFonts w:ascii="Times" w:hAnsi="Times" w:cs="Times"/>
        </w:rPr>
        <w:t xml:space="preserve"> in the 2GHz band should be </w:t>
      </w:r>
      <w:r w:rsidR="0077028E">
        <w:rPr>
          <w:rFonts w:ascii="Times" w:hAnsi="Times" w:cs="Times"/>
        </w:rPr>
        <w:t>the focus</w:t>
      </w:r>
      <w:r w:rsidR="00A33DD5">
        <w:rPr>
          <w:rFonts w:ascii="Times" w:hAnsi="Times" w:cs="Times"/>
        </w:rPr>
        <w:t xml:space="preserve"> in </w:t>
      </w:r>
      <w:r w:rsidR="00D64BEC">
        <w:rPr>
          <w:rFonts w:ascii="Times" w:hAnsi="Times" w:cs="Times"/>
        </w:rPr>
        <w:t xml:space="preserve">Rel-17 in </w:t>
      </w:r>
      <w:r w:rsidR="00A33DD5">
        <w:rPr>
          <w:rFonts w:ascii="Times" w:hAnsi="Times" w:cs="Times"/>
        </w:rPr>
        <w:t xml:space="preserve">order for NTN IoT services to be an extension of the </w:t>
      </w:r>
      <w:r w:rsidR="00D64BEC">
        <w:rPr>
          <w:rFonts w:ascii="Times" w:hAnsi="Times" w:cs="Times"/>
        </w:rPr>
        <w:t xml:space="preserve">existing </w:t>
      </w:r>
      <w:r w:rsidR="00A33DD5">
        <w:rPr>
          <w:rFonts w:ascii="Times" w:hAnsi="Times" w:cs="Times"/>
        </w:rPr>
        <w:t>terrestrial deployments</w:t>
      </w:r>
      <w:r>
        <w:rPr>
          <w:rFonts w:ascii="Times" w:hAnsi="Times" w:cs="Times"/>
        </w:rPr>
        <w:t>.</w:t>
      </w:r>
    </w:p>
    <w:p w14:paraId="216C448C" w14:textId="3BCED370" w:rsidR="009B6AF0" w:rsidRDefault="009B6AF0" w:rsidP="00BC74E0"/>
    <w:p w14:paraId="089256CB" w14:textId="0A0BAF52" w:rsidR="00EB2264" w:rsidRPr="00EB2264" w:rsidRDefault="00EB2264" w:rsidP="00BC74E0">
      <w:pPr>
        <w:rPr>
          <w:b/>
        </w:rPr>
      </w:pPr>
      <w:r w:rsidRPr="00EB2264">
        <w:rPr>
          <w:b/>
        </w:rPr>
        <w:t xml:space="preserve">Proposal </w:t>
      </w:r>
      <w:r w:rsidR="00A844E2">
        <w:rPr>
          <w:b/>
        </w:rPr>
        <w:t>4</w:t>
      </w:r>
      <w:r w:rsidR="004E6C32">
        <w:rPr>
          <w:b/>
        </w:rPr>
        <w:t xml:space="preserve">: </w:t>
      </w:r>
      <w:r w:rsidR="0077028E">
        <w:rPr>
          <w:b/>
        </w:rPr>
        <w:t xml:space="preserve">Support </w:t>
      </w:r>
      <w:r w:rsidR="007B4C7B">
        <w:rPr>
          <w:b/>
        </w:rPr>
        <w:t>2GHz band</w:t>
      </w:r>
      <w:r w:rsidR="00DF02D4">
        <w:rPr>
          <w:b/>
        </w:rPr>
        <w:t xml:space="preserve"> </w:t>
      </w:r>
      <w:r w:rsidR="0077028E">
        <w:rPr>
          <w:b/>
        </w:rPr>
        <w:t>for NTN IoT operations in Rel-17</w:t>
      </w:r>
      <w:r w:rsidR="00DF02D4">
        <w:rPr>
          <w:b/>
        </w:rPr>
        <w:t>.</w:t>
      </w:r>
      <w:r w:rsidR="00741A57">
        <w:rPr>
          <w:b/>
        </w:rPr>
        <w:t xml:space="preserve"> </w:t>
      </w:r>
      <w:bookmarkStart w:id="1" w:name="_GoBack"/>
      <w:bookmarkEnd w:id="1"/>
    </w:p>
    <w:p w14:paraId="17CDF905" w14:textId="354C5BC7" w:rsidR="009E00F6" w:rsidRDefault="009E00F6" w:rsidP="00BC74E0">
      <w:pPr>
        <w:rPr>
          <w:lang w:val="en-GB" w:eastAsia="en-US"/>
        </w:rPr>
      </w:pPr>
    </w:p>
    <w:p w14:paraId="4D69AB66" w14:textId="4C033D20" w:rsidR="00ED578C" w:rsidRPr="00ED578C" w:rsidRDefault="00ED578C" w:rsidP="00BC74E0">
      <w:pPr>
        <w:rPr>
          <w:u w:val="single"/>
          <w:lang w:val="en-GB" w:eastAsia="en-US"/>
        </w:rPr>
      </w:pPr>
      <w:r w:rsidRPr="00ED578C">
        <w:rPr>
          <w:u w:val="single"/>
          <w:lang w:val="en-GB" w:eastAsia="en-US"/>
        </w:rPr>
        <w:t>Reference scenario and evaluation</w:t>
      </w:r>
    </w:p>
    <w:p w14:paraId="43F5A328" w14:textId="6B08210F" w:rsidR="004E6C32" w:rsidRDefault="007F01A2" w:rsidP="00BC74E0">
      <w:pPr>
        <w:rPr>
          <w:lang w:val="en-GB" w:eastAsia="en-US"/>
        </w:rPr>
      </w:pPr>
      <w:r>
        <w:rPr>
          <w:lang w:val="en-GB" w:eastAsia="en-US"/>
        </w:rPr>
        <w:t>The reference scenario parameters from Table 4.2-2 in [</w:t>
      </w:r>
      <w:r w:rsidR="009C6BE9">
        <w:rPr>
          <w:lang w:val="en-GB" w:eastAsia="en-US"/>
        </w:rPr>
        <w:t>3</w:t>
      </w:r>
      <w:r>
        <w:rPr>
          <w:lang w:val="en-GB" w:eastAsia="en-US"/>
        </w:rPr>
        <w:t xml:space="preserve">] should be taken as the starting point and be adapted for NTN IoT.  </w:t>
      </w:r>
      <w:r w:rsidR="00AB267B">
        <w:rPr>
          <w:lang w:val="en-GB" w:eastAsia="en-US"/>
        </w:rPr>
        <w:t>For link and system level simulations, and for link budget calculation, Sec.6.1 in [</w:t>
      </w:r>
      <w:r w:rsidR="009C6BE9">
        <w:rPr>
          <w:lang w:val="en-GB" w:eastAsia="en-US"/>
        </w:rPr>
        <w:t>3</w:t>
      </w:r>
      <w:r w:rsidR="00AB267B">
        <w:rPr>
          <w:lang w:val="en-GB" w:eastAsia="en-US"/>
        </w:rPr>
        <w:t xml:space="preserve">] should be used as a starting point. </w:t>
      </w:r>
    </w:p>
    <w:p w14:paraId="6D2C6DF0" w14:textId="77777777" w:rsidR="00AB267B" w:rsidRPr="00CE1744" w:rsidRDefault="00AB267B" w:rsidP="00BC74E0"/>
    <w:p w14:paraId="782B259A" w14:textId="026DEFFF" w:rsidR="004E6C32" w:rsidRPr="00E76C8B" w:rsidRDefault="00AB267B" w:rsidP="00BC74E0">
      <w:pPr>
        <w:rPr>
          <w:lang w:val="en-GB" w:eastAsia="en-US"/>
        </w:rPr>
      </w:pPr>
      <w:r w:rsidRPr="00EB2264">
        <w:rPr>
          <w:b/>
        </w:rPr>
        <w:lastRenderedPageBreak/>
        <w:t xml:space="preserve">Proposal </w:t>
      </w:r>
      <w:r w:rsidR="00A844E2">
        <w:rPr>
          <w:b/>
        </w:rPr>
        <w:t>5</w:t>
      </w:r>
      <w:r>
        <w:rPr>
          <w:b/>
        </w:rPr>
        <w:t>:</w:t>
      </w:r>
      <w:r w:rsidR="009C6BE9">
        <w:rPr>
          <w:b/>
        </w:rPr>
        <w:t xml:space="preserve"> Discuss </w:t>
      </w:r>
      <w:r>
        <w:rPr>
          <w:b/>
        </w:rPr>
        <w:t>simulation assumptions for link/system level evaluation and link budget calculation</w:t>
      </w:r>
      <w:r w:rsidR="009C6BE9">
        <w:rPr>
          <w:b/>
        </w:rPr>
        <w:t xml:space="preserve"> using the evaluation done in TR 38.821 as starting point. </w:t>
      </w:r>
    </w:p>
    <w:p w14:paraId="128343B3" w14:textId="77777777" w:rsidR="00FD48C4" w:rsidRPr="00CE1744" w:rsidRDefault="00FD48C4" w:rsidP="00E7457F">
      <w:pPr>
        <w:rPr>
          <w:rFonts w:eastAsiaTheme="minorEastAsia"/>
          <w:szCs w:val="22"/>
          <w:lang w:bidi="ar"/>
        </w:rPr>
      </w:pPr>
    </w:p>
    <w:p w14:paraId="14F2906F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08C3916" w14:textId="7D4EDF15" w:rsidR="00ED578C" w:rsidRPr="00ED578C" w:rsidRDefault="00BA1D3B" w:rsidP="00ED578C"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9D40EE">
        <w:rPr>
          <w:rFonts w:eastAsia="DengXian"/>
          <w:lang w:eastAsia="zh-CN"/>
        </w:rPr>
        <w:t>scenarios applicable to NB-IoT/eMTC over NTN</w:t>
      </w:r>
      <w:r w:rsidR="00400958">
        <w:rPr>
          <w:rFonts w:eastAsia="DengXian"/>
          <w:lang w:eastAsia="zh-CN"/>
        </w:rPr>
        <w:t xml:space="preserve">. </w:t>
      </w:r>
      <w:r w:rsidR="00ED578C">
        <w:rPr>
          <w:rFonts w:eastAsia="DengXian"/>
          <w:lang w:eastAsia="zh-CN"/>
        </w:rPr>
        <w:t>Proposals</w:t>
      </w:r>
      <w:r w:rsidR="00400958">
        <w:t xml:space="preserve"> made in this contribution are summarized </w:t>
      </w:r>
      <w:r w:rsidR="00DE400B">
        <w:t>below.</w:t>
      </w:r>
    </w:p>
    <w:p w14:paraId="0FA6804E" w14:textId="1DD49C0D" w:rsidR="00ED578C" w:rsidRDefault="00ED578C" w:rsidP="00ED578C">
      <w:pPr>
        <w:rPr>
          <w:b/>
        </w:rPr>
      </w:pPr>
      <w:r>
        <w:rPr>
          <w:b/>
        </w:rPr>
        <w:t>Proposal 1: Support a reference scenario for NTN IoT including a transparent payload.</w:t>
      </w:r>
    </w:p>
    <w:p w14:paraId="5178BE15" w14:textId="722CC670" w:rsidR="00ED578C" w:rsidRDefault="00ED578C" w:rsidP="00ED578C">
      <w:pPr>
        <w:rPr>
          <w:b/>
        </w:rPr>
      </w:pPr>
      <w:r>
        <w:rPr>
          <w:b/>
        </w:rPr>
        <w:t>Proposal 2: Support both LEO and GEO satellite platforms for NTN IoT.</w:t>
      </w:r>
    </w:p>
    <w:p w14:paraId="353EB948" w14:textId="5256F0BD" w:rsidR="00ED578C" w:rsidRDefault="00ED578C" w:rsidP="00ED578C">
      <w:pPr>
        <w:rPr>
          <w:b/>
        </w:rPr>
      </w:pPr>
      <w:r>
        <w:rPr>
          <w:b/>
        </w:rPr>
        <w:t xml:space="preserve">Proposal 3: Support scenario A for GEO satellite networks, and scenarios C1 and C2 for LEO satellite networks. </w:t>
      </w:r>
    </w:p>
    <w:p w14:paraId="03146119" w14:textId="7F8CEE05" w:rsidR="007B4C7B" w:rsidRPr="00EB2264" w:rsidRDefault="007B4C7B" w:rsidP="007B4C7B">
      <w:pPr>
        <w:rPr>
          <w:b/>
        </w:rPr>
      </w:pPr>
      <w:r w:rsidRPr="00EB2264">
        <w:rPr>
          <w:b/>
        </w:rPr>
        <w:t xml:space="preserve">Proposal </w:t>
      </w:r>
      <w:r>
        <w:rPr>
          <w:b/>
        </w:rPr>
        <w:t xml:space="preserve">4: </w:t>
      </w:r>
      <w:r w:rsidR="002D56FE">
        <w:rPr>
          <w:b/>
        </w:rPr>
        <w:t xml:space="preserve">Support </w:t>
      </w:r>
      <w:r w:rsidR="002045C5">
        <w:rPr>
          <w:b/>
        </w:rPr>
        <w:t>2GHz band for NTN IoT operations in Rel-17</w:t>
      </w:r>
      <w:r>
        <w:rPr>
          <w:b/>
        </w:rPr>
        <w:t>.</w:t>
      </w:r>
    </w:p>
    <w:p w14:paraId="5C5AA96E" w14:textId="77777777" w:rsidR="00ED578C" w:rsidRPr="00BC74E0" w:rsidRDefault="00ED578C" w:rsidP="00ED578C">
      <w:pPr>
        <w:rPr>
          <w:lang w:val="en-GB" w:eastAsia="en-US"/>
        </w:rPr>
      </w:pPr>
      <w:r w:rsidRPr="00EB2264">
        <w:rPr>
          <w:b/>
        </w:rPr>
        <w:t xml:space="preserve">Proposal </w:t>
      </w:r>
      <w:r>
        <w:rPr>
          <w:b/>
        </w:rPr>
        <w:t xml:space="preserve">5: Discuss simulation assumptions for link/system level evaluation and link budget calculation using the evaluation done in TR 38.821 as starting point.  </w:t>
      </w:r>
    </w:p>
    <w:p w14:paraId="7E25EA04" w14:textId="77777777" w:rsidR="007F755D" w:rsidRDefault="007F755D" w:rsidP="00733172">
      <w:pPr>
        <w:ind w:firstLineChars="0" w:firstLine="0"/>
        <w:rPr>
          <w:b/>
          <w:i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27A04C98" w14:textId="5CFF3A96" w:rsidR="00156AA0" w:rsidRDefault="00156AA0" w:rsidP="009D40EE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>RP-1932</w:t>
      </w:r>
      <w:r w:rsidR="009D40EE">
        <w:rPr>
          <w:rFonts w:ascii="Times New Roman" w:hAnsi="Times New Roman" w:cs="Times New Roman"/>
          <w:color w:val="auto"/>
          <w:lang w:eastAsia="ko-KR"/>
        </w:rPr>
        <w:t>35</w:t>
      </w:r>
      <w:r>
        <w:rPr>
          <w:rFonts w:ascii="Times New Roman" w:hAnsi="Times New Roman" w:cs="Times New Roman" w:hint="eastAsia"/>
          <w:color w:val="auto"/>
          <w:lang w:eastAsia="ko-KR"/>
        </w:rPr>
        <w:t xml:space="preserve">, </w:t>
      </w:r>
      <w:r w:rsidR="009D40EE" w:rsidRPr="009D40EE">
        <w:rPr>
          <w:rFonts w:ascii="Times New Roman" w:hAnsi="Times New Roman" w:cs="Times New Roman"/>
          <w:color w:val="auto"/>
          <w:lang w:eastAsia="ko-KR"/>
        </w:rPr>
        <w:t>New Study on NB-IoT/e</w:t>
      </w:r>
      <w:r w:rsidR="009D40EE">
        <w:rPr>
          <w:rFonts w:ascii="Times New Roman" w:hAnsi="Times New Roman" w:cs="Times New Roman"/>
          <w:color w:val="auto"/>
          <w:lang w:eastAsia="ko-KR"/>
        </w:rPr>
        <w:t>MT</w:t>
      </w:r>
      <w:r w:rsidR="009D40EE" w:rsidRPr="009D40EE">
        <w:rPr>
          <w:rFonts w:ascii="Times New Roman" w:hAnsi="Times New Roman" w:cs="Times New Roman"/>
          <w:color w:val="auto"/>
          <w:lang w:eastAsia="ko-KR"/>
        </w:rPr>
        <w:t>C support for NTN</w:t>
      </w:r>
      <w:r>
        <w:rPr>
          <w:rFonts w:ascii="Times New Roman" w:hAnsi="Times New Roman" w:cs="Times New Roman" w:hint="eastAsia"/>
          <w:color w:val="auto"/>
          <w:lang w:eastAsia="ko-KR"/>
        </w:rPr>
        <w:t>, RAN#</w:t>
      </w:r>
      <w:r>
        <w:rPr>
          <w:rFonts w:ascii="Times New Roman" w:hAnsi="Times New Roman" w:cs="Times New Roman"/>
          <w:color w:val="auto"/>
          <w:lang w:eastAsia="ko-KR"/>
        </w:rPr>
        <w:t>86, Dec. 2019.</w:t>
      </w:r>
    </w:p>
    <w:p w14:paraId="5FE7BCE9" w14:textId="7CEB3807" w:rsidR="009E00F6" w:rsidRPr="009C6BE9" w:rsidRDefault="009E00F6" w:rsidP="009C6BE9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RP-19</w:t>
      </w:r>
      <w:r w:rsidR="008E3452">
        <w:rPr>
          <w:rFonts w:ascii="Times New Roman" w:hAnsi="Times New Roman" w:cs="Times New Roman"/>
          <w:color w:val="auto"/>
          <w:lang w:eastAsia="ko-KR"/>
        </w:rPr>
        <w:t>3234</w:t>
      </w:r>
      <w:r>
        <w:rPr>
          <w:rFonts w:ascii="Times New Roman" w:hAnsi="Times New Roman" w:cs="Times New Roman" w:hint="eastAsia"/>
          <w:color w:val="auto"/>
          <w:lang w:eastAsia="ko-KR"/>
        </w:rPr>
        <w:t xml:space="preserve">, </w:t>
      </w:r>
      <w:r w:rsidR="008E3452" w:rsidRPr="008E3452">
        <w:rPr>
          <w:rFonts w:ascii="Times New Roman" w:hAnsi="Times New Roman" w:cs="Times New Roman"/>
          <w:color w:val="auto"/>
          <w:lang w:eastAsia="ko-KR"/>
        </w:rPr>
        <w:t>Solutions for NR to support non-terrestrial networks (NTN)</w:t>
      </w:r>
      <w:r w:rsidR="008E3452">
        <w:rPr>
          <w:rFonts w:ascii="Times New Roman" w:hAnsi="Times New Roman" w:cs="Times New Roman"/>
          <w:color w:val="auto"/>
          <w:lang w:eastAsia="ko-KR"/>
        </w:rPr>
        <w:t xml:space="preserve">, </w:t>
      </w:r>
      <w:r>
        <w:rPr>
          <w:rFonts w:ascii="Times New Roman" w:hAnsi="Times New Roman" w:cs="Times New Roman" w:hint="eastAsia"/>
          <w:color w:val="auto"/>
          <w:lang w:eastAsia="ko-KR"/>
        </w:rPr>
        <w:t>RAN#</w:t>
      </w:r>
      <w:r>
        <w:rPr>
          <w:rFonts w:ascii="Times New Roman" w:hAnsi="Times New Roman" w:cs="Times New Roman"/>
          <w:color w:val="auto"/>
          <w:lang w:eastAsia="ko-KR"/>
        </w:rPr>
        <w:t>86, Dec. 2019.</w:t>
      </w:r>
    </w:p>
    <w:p w14:paraId="50FBBCD7" w14:textId="5A53CD48" w:rsidR="00A95C5C" w:rsidRDefault="009C6BE9" w:rsidP="009C6BE9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9C6BE9">
        <w:rPr>
          <w:rFonts w:ascii="Times New Roman" w:hAnsi="Times New Roman" w:cs="Times New Roman"/>
          <w:color w:val="auto"/>
          <w:lang w:eastAsia="ko-KR"/>
        </w:rPr>
        <w:t>3GPP TR 38.821 V16.0.0 (2019-12)</w:t>
      </w:r>
      <w:r w:rsidR="009D40EE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9C6BE9">
        <w:rPr>
          <w:rFonts w:ascii="Times New Roman" w:hAnsi="Times New Roman" w:cs="Times New Roman"/>
          <w:color w:val="auto"/>
          <w:lang w:eastAsia="ko-KR"/>
        </w:rPr>
        <w:t>Solutions for NR to support non-terrestrial networks (NTN)</w:t>
      </w:r>
      <w:r>
        <w:rPr>
          <w:rFonts w:ascii="Times New Roman" w:hAnsi="Times New Roman" w:cs="Times New Roman"/>
          <w:color w:val="auto"/>
          <w:lang w:eastAsia="ko-KR"/>
        </w:rPr>
        <w:t>, Rel-16.</w:t>
      </w:r>
    </w:p>
    <w:p w14:paraId="77A914AB" w14:textId="57305477" w:rsidR="00E41C97" w:rsidRPr="00E22185" w:rsidRDefault="00E41C97" w:rsidP="000A1771">
      <w:pPr>
        <w:pStyle w:val="List2"/>
        <w:spacing w:before="0" w:after="0" w:line="240" w:lineRule="auto"/>
        <w:ind w:left="0" w:firstLineChars="0" w:firstLine="0"/>
        <w:jc w:val="left"/>
        <w:rPr>
          <w:i/>
        </w:rPr>
      </w:pPr>
    </w:p>
    <w:sectPr w:rsidR="00E41C97" w:rsidRPr="00E22185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D3E86" w14:textId="77777777" w:rsidR="002E1FEF" w:rsidRDefault="002E1FEF" w:rsidP="007378B8">
      <w:r>
        <w:separator/>
      </w:r>
    </w:p>
  </w:endnote>
  <w:endnote w:type="continuationSeparator" w:id="0">
    <w:p w14:paraId="24E00B7C" w14:textId="77777777" w:rsidR="002E1FEF" w:rsidRDefault="002E1FEF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7B245AE5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741A57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E10A4" w14:textId="77777777" w:rsidR="002E1FEF" w:rsidRDefault="002E1FEF" w:rsidP="007378B8">
      <w:r>
        <w:separator/>
      </w:r>
    </w:p>
  </w:footnote>
  <w:footnote w:type="continuationSeparator" w:id="0">
    <w:p w14:paraId="2AB1C75E" w14:textId="77777777" w:rsidR="002E1FEF" w:rsidRDefault="002E1FEF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6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3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16"/>
  </w:num>
  <w:num w:numId="4">
    <w:abstractNumId w:val="22"/>
  </w:num>
  <w:num w:numId="5">
    <w:abstractNumId w:val="1"/>
  </w:num>
  <w:num w:numId="6">
    <w:abstractNumId w:val="10"/>
  </w:num>
  <w:num w:numId="7">
    <w:abstractNumId w:val="27"/>
  </w:num>
  <w:num w:numId="8">
    <w:abstractNumId w:val="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6"/>
  </w:num>
  <w:num w:numId="12">
    <w:abstractNumId w:val="25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7"/>
  </w:num>
  <w:num w:numId="18">
    <w:abstractNumId w:val="23"/>
  </w:num>
  <w:num w:numId="19">
    <w:abstractNumId w:val="19"/>
  </w:num>
  <w:num w:numId="20">
    <w:abstractNumId w:val="21"/>
  </w:num>
  <w:num w:numId="21">
    <w:abstractNumId w:val="20"/>
  </w:num>
  <w:num w:numId="22">
    <w:abstractNumId w:val="17"/>
  </w:num>
  <w:num w:numId="23">
    <w:abstractNumId w:val="8"/>
  </w:num>
  <w:num w:numId="24">
    <w:abstractNumId w:val="24"/>
  </w:num>
  <w:num w:numId="25">
    <w:abstractNumId w:val="14"/>
  </w:num>
  <w:num w:numId="26">
    <w:abstractNumId w:val="6"/>
  </w:num>
  <w:num w:numId="27">
    <w:abstractNumId w:val="3"/>
  </w:num>
  <w:num w:numId="2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18B4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55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755"/>
    <w:rsid w:val="00873A0C"/>
    <w:rsid w:val="00873A11"/>
    <w:rsid w:val="00873A15"/>
    <w:rsid w:val="00874341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F37"/>
    <w:rsid w:val="009632C2"/>
    <w:rsid w:val="009634DF"/>
    <w:rsid w:val="00963555"/>
    <w:rsid w:val="009637DF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0F6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590C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749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41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78C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81B7C-8B7E-4E77-89CC-338C3208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3</cp:revision>
  <dcterms:created xsi:type="dcterms:W3CDTF">2020-10-23T19:31:00Z</dcterms:created>
  <dcterms:modified xsi:type="dcterms:W3CDTF">2020-10-23T21:49:00Z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