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15A40C38"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mc:AlternateContent>
                  <mc:Choice Requires="w16se">
                    <w:rFonts w:eastAsiaTheme="minorEastAsia"/>
                  </mc:Choice>
                  <mc:Fallback>
                    <w:rFonts w:ascii="Segoe UI Emoji" w:eastAsia="Segoe UI Emoji" w:hAnsi="Segoe UI Emoji" w:cs="Segoe UI Emoji"/>
                  </mc:Fallback>
                </mc:AlternateContent>
                <w:color w:val="00B0F0"/>
              </w:rPr>
              <mc:AlternateContent>
                <mc:Choice Requires="w16se">
                  <w16se:symEx w16se:font="Segoe UI Emoji" w16se:char="1F60A"/>
                </mc:Choice>
                <mc:Fallback>
                  <w:t>😊</w:t>
                </mc:Fallback>
              </mc:AlternateConten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FE0FD7">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FE0FD7">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UEs….”</w:t>
            </w: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FE0FD7">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FE0FD7">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466AD7CF" w:rsidR="00B72C27" w:rsidRDefault="00B72C27" w:rsidP="00B72C27">
            <w:pPr>
              <w:cnfStyle w:val="000000000000" w:firstRow="0" w:lastRow="0" w:firstColumn="0" w:lastColumn="0" w:oddVBand="0" w:evenVBand="0" w:oddHBand="0" w:evenHBand="0" w:firstRowFirstColumn="0" w:firstRowLastColumn="0" w:lastRowFirstColumn="0" w:lastRowLastColumn="0"/>
            </w:pPr>
            <w:r>
              <w:t>The option of using the spare bit in Msg3 scales poorly -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FE0FD7">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FE0FD7">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28DD46FE" w14:textId="0EB5748D" w:rsidR="004C2263" w:rsidRPr="00C51E34"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bookmarkStart w:id="8" w:name="_GoBack"/>
            <w:bookmarkEnd w:id="8"/>
          </w:p>
        </w:tc>
      </w:tr>
    </w:tbl>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E0FD7">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E0FD7">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9" w:name="_Ref55253871"/>
      <w:r>
        <w:t>During MsgA transmission</w:t>
      </w:r>
      <w:r w:rsidR="00B974BD">
        <w:t xml:space="preserve"> (Opt. 4)</w:t>
      </w:r>
      <w:bookmarkEnd w:id="9"/>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0" w:name="_Ref54576496"/>
    <w:bookmarkStart w:id="11"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0"/>
    </w:p>
    <w:p w14:paraId="0DC2639B" w14:textId="70EA838A" w:rsidR="005A2C28" w:rsidRDefault="00FE0FD7"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2"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2"/>
    </w:p>
    <w:bookmarkStart w:id="13"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3"/>
    </w:p>
    <w:bookmarkStart w:id="14"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4"/>
    </w:p>
    <w:p w14:paraId="06374106" w14:textId="7F2A49A3" w:rsidR="005A2C28" w:rsidRDefault="00FE0FD7"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FE0FD7"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5"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5"/>
    </w:p>
    <w:bookmarkStart w:id="16"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6"/>
    </w:p>
    <w:p w14:paraId="22B03FED" w14:textId="64CCF00B" w:rsidR="005A2C28" w:rsidRDefault="00FE0FD7"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FE0FD7"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7"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7"/>
    </w:p>
    <w:p w14:paraId="571620F8" w14:textId="140B2787" w:rsidR="005A2C28" w:rsidRDefault="00FE0FD7"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FE0FD7"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FE0FD7"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8"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8"/>
    </w:p>
    <w:p w14:paraId="23A8AE42" w14:textId="3DF662EB" w:rsidR="005A2C28" w:rsidRDefault="00FE0FD7"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9"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9"/>
    </w:p>
    <w:p w14:paraId="2A0AA5A1" w14:textId="3DFDCCB2" w:rsidR="005A2C28" w:rsidRDefault="00FE0FD7"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FE0FD7"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FE0FD7"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FE0FD7"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1"/>
      <w:r w:rsidR="00757188">
        <w:t xml:space="preserve"> </w:t>
      </w:r>
    </w:p>
    <w:p w14:paraId="3B66EB6C" w14:textId="189946E8" w:rsidR="00020F81" w:rsidRDefault="00FE0FD7"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FE0FD7"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FE0FD7"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FE0FD7"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FE0FD7"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0"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0"/>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182"/>
      <w:r>
        <w:rPr>
          <w:rFonts w:ascii="Arial" w:hAnsi="Arial"/>
          <w:b w:val="0"/>
          <w:bCs w:val="0"/>
          <w:sz w:val="36"/>
          <w:szCs w:val="20"/>
        </w:rPr>
        <w:t>Appendix A</w:t>
      </w:r>
      <w:bookmarkEnd w:id="21"/>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FE0FD7"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FE0FD7"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FE0FD7"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FE0FD7"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FE0FD7"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FE0FD7"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FE0FD7"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FE0FD7"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FE0FD7"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FE0FD7"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FE0FD7"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FE0FD7"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FE0FD7"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FE0FD7"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FE0FD7"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FE0FD7"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FE0FD7"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FE0FD7"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FE0FD7"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FE0FD7"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594"/>
      <w:r>
        <w:rPr>
          <w:rFonts w:ascii="Arial" w:hAnsi="Arial"/>
          <w:b w:val="0"/>
          <w:bCs w:val="0"/>
          <w:sz w:val="36"/>
          <w:szCs w:val="20"/>
        </w:rPr>
        <w:t>Appendix B</w:t>
      </w:r>
      <w:bookmarkEnd w:id="22"/>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3" w:name="OLE_LINK2"/>
            <w:bookmarkStart w:id="24"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3"/>
            <w:bookmarkEnd w:id="24"/>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1F34E" w14:textId="77777777" w:rsidR="00344DC5" w:rsidRDefault="00344DC5" w:rsidP="004C0876">
      <w:pPr>
        <w:spacing w:after="0"/>
      </w:pPr>
      <w:r>
        <w:separator/>
      </w:r>
    </w:p>
  </w:endnote>
  <w:endnote w:type="continuationSeparator" w:id="0">
    <w:p w14:paraId="63DE9E2E" w14:textId="77777777" w:rsidR="00344DC5" w:rsidRDefault="00344DC5"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6143124E" w14:textId="1989DE49" w:rsidR="00FE0FD7" w:rsidRDefault="00FE0F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38</w:t>
            </w:r>
            <w:r>
              <w:rPr>
                <w:b/>
                <w:bCs/>
                <w:sz w:val="24"/>
                <w:szCs w:val="24"/>
              </w:rPr>
              <w:fldChar w:fldCharType="end"/>
            </w:r>
          </w:p>
        </w:sdtContent>
      </w:sdt>
    </w:sdtContent>
  </w:sdt>
  <w:p w14:paraId="7586F307" w14:textId="77777777" w:rsidR="00FE0FD7" w:rsidRDefault="00FE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BB093" w14:textId="77777777" w:rsidR="00344DC5" w:rsidRDefault="00344DC5" w:rsidP="004C0876">
      <w:pPr>
        <w:spacing w:after="0"/>
      </w:pPr>
      <w:r>
        <w:separator/>
      </w:r>
    </w:p>
  </w:footnote>
  <w:footnote w:type="continuationSeparator" w:id="0">
    <w:p w14:paraId="44657F6C" w14:textId="77777777" w:rsidR="00344DC5" w:rsidRDefault="00344DC5"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DD8"/>
    <w:rsid w:val="00166E1E"/>
    <w:rsid w:val="00167110"/>
    <w:rsid w:val="00170850"/>
    <w:rsid w:val="001719B6"/>
    <w:rsid w:val="00171E7D"/>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4DC5"/>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D16"/>
    <w:rsid w:val="00444EFA"/>
    <w:rsid w:val="0044578D"/>
    <w:rsid w:val="00446A9A"/>
    <w:rsid w:val="004515E8"/>
    <w:rsid w:val="004525BB"/>
    <w:rsid w:val="004539CF"/>
    <w:rsid w:val="00453AE2"/>
    <w:rsid w:val="00453B10"/>
    <w:rsid w:val="004540FD"/>
    <w:rsid w:val="00455A38"/>
    <w:rsid w:val="00455CAF"/>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2263"/>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CA9"/>
    <w:rsid w:val="00685D47"/>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20E"/>
    <w:rsid w:val="007F1306"/>
    <w:rsid w:val="007F13E0"/>
    <w:rsid w:val="007F1C13"/>
    <w:rsid w:val="007F250A"/>
    <w:rsid w:val="007F3032"/>
    <w:rsid w:val="007F3A09"/>
    <w:rsid w:val="007F3BC5"/>
    <w:rsid w:val="007F4AAC"/>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A74CC"/>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31D5E"/>
    <w:rsid w:val="00931E43"/>
    <w:rsid w:val="009324B1"/>
    <w:rsid w:val="00932D40"/>
    <w:rsid w:val="00932FAE"/>
    <w:rsid w:val="0093348D"/>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6B7"/>
    <w:rsid w:val="00B278FE"/>
    <w:rsid w:val="00B27C70"/>
    <w:rsid w:val="00B30650"/>
    <w:rsid w:val="00B30BC2"/>
    <w:rsid w:val="00B31CF6"/>
    <w:rsid w:val="00B32D9B"/>
    <w:rsid w:val="00B3341E"/>
    <w:rsid w:val="00B34F11"/>
    <w:rsid w:val="00B35828"/>
    <w:rsid w:val="00B368C1"/>
    <w:rsid w:val="00B369D8"/>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0422"/>
    <w:rsid w:val="00BC23A1"/>
    <w:rsid w:val="00BC40BC"/>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6D8"/>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7AD"/>
    <w:rsid w:val="00D37C37"/>
    <w:rsid w:val="00D41C78"/>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345F"/>
    <w:rsid w:val="00DC3A59"/>
    <w:rsid w:val="00DC3BD5"/>
    <w:rsid w:val="00DC3E68"/>
    <w:rsid w:val="00DC4BFB"/>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2671"/>
    <w:rsid w:val="00E32778"/>
    <w:rsid w:val="00E343EB"/>
    <w:rsid w:val="00E34CFD"/>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812"/>
    <w:rsid w:val="00E9648C"/>
    <w:rsid w:val="00E96646"/>
    <w:rsid w:val="00E96E1B"/>
    <w:rsid w:val="00E97411"/>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E7"/>
    <w:rsid w:val="00F3397F"/>
    <w:rsid w:val="00F33F2A"/>
    <w:rsid w:val="00F349E9"/>
    <w:rsid w:val="00F35531"/>
    <w:rsid w:val="00F366D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7D0F"/>
    <w:rsid w:val="00FE0126"/>
    <w:rsid w:val="00FE0F08"/>
    <w:rsid w:val="00FE0FD7"/>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6044FCD2-5621-4468-B24F-850D83B7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46</Pages>
  <Words>19185</Words>
  <Characters>109356</Characters>
  <Application>Microsoft Office Word</Application>
  <DocSecurity>0</DocSecurity>
  <Lines>911</Lines>
  <Paragraphs>256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Philippe Sartori</cp:lastModifiedBy>
  <cp:revision>3</cp:revision>
  <dcterms:created xsi:type="dcterms:W3CDTF">2020-11-09T21:07:00Z</dcterms:created>
  <dcterms:modified xsi:type="dcterms:W3CDTF">2020-11-09T22:59:00Z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