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bookmarkStart w:id="2" w:name="_GoBack"/>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#9 on Coverage Recovery and Capacity Impact for </w:t>
      </w:r>
      <w:proofErr w:type="spellStart"/>
      <w:r>
        <w:rPr>
          <w:rFonts w:ascii="Arial" w:eastAsia="DengXian" w:hAnsi="Arial"/>
          <w:sz w:val="24"/>
          <w:lang w:val="en-GB"/>
        </w:rPr>
        <w:t>RedCap</w:t>
      </w:r>
      <w:proofErr w:type="spellEnd"/>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3" w:name="_Ref473802466"/>
      <w:bookmarkStart w:id="4"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 xml:space="preserve">For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FF0000"/>
                <w:sz w:val="20"/>
                <w:szCs w:val="20"/>
              </w:rPr>
              <w:t>RedCap</w:t>
            </w:r>
            <w:proofErr w:type="spellEnd"/>
            <w:r>
              <w:rPr>
                <w:rFonts w:ascii="Times New Roman" w:hAnsi="Times New Roman"/>
                <w:strike/>
                <w:color w:val="FF0000"/>
                <w:sz w:val="20"/>
                <w:szCs w:val="20"/>
              </w:rPr>
              <w:t xml:space="preserve">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proofErr w:type="spellStart"/>
            <w:r>
              <w:rPr>
                <w:lang w:eastAsia="zh-CN"/>
              </w:rPr>
              <w:t>Futurewei</w:t>
            </w:r>
            <w:proofErr w:type="spellEnd"/>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Tx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w:t>
      </w:r>
      <w:proofErr w:type="spellStart"/>
      <w:r>
        <w:rPr>
          <w:lang w:eastAsia="zh-CN"/>
        </w:rPr>
        <w:t>RedCap</w:t>
      </w:r>
      <w:proofErr w:type="spellEnd"/>
      <w:r>
        <w:rPr>
          <w:lang w:eastAsia="zh-CN"/>
        </w:rPr>
        <w:t xml:space="preserve"> and the reference NR UE. We will observe a different bottleneck channel for the reference NR UE with max 12 dBm and 23 dBm TX power and the corresponding MIL value for coverage recovery target is also different. That is, the current observation that the </w:t>
      </w:r>
      <w:r>
        <w:t xml:space="preserve">DL channels of the </w:t>
      </w:r>
      <w:proofErr w:type="spellStart"/>
      <w:r>
        <w:t>RedCap</w:t>
      </w:r>
      <w:proofErr w:type="spellEnd"/>
      <w:r>
        <w:t xml:space="preserve">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For </w:t>
            </w:r>
            <w:proofErr w:type="spellStart"/>
            <w:r>
              <w:rPr>
                <w:rFonts w:ascii="Times New Roman" w:hAnsi="Times New Roman"/>
                <w:color w:val="000000" w:themeColor="text1"/>
                <w:sz w:val="20"/>
                <w:szCs w:val="20"/>
              </w:rPr>
              <w:t>RedCap</w:t>
            </w:r>
            <w:proofErr w:type="spellEnd"/>
            <w:r>
              <w:rPr>
                <w:rFonts w:ascii="Times New Roman" w:hAnsi="Times New Roman"/>
                <w:color w:val="000000" w:themeColor="text1"/>
                <w:sz w:val="20"/>
                <w:szCs w:val="20"/>
              </w:rPr>
              <w:t xml:space="preserve">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000000" w:themeColor="text1"/>
                <w:sz w:val="20"/>
                <w:szCs w:val="20"/>
              </w:rPr>
              <w:t>RedCap</w:t>
            </w:r>
            <w:proofErr w:type="spellEnd"/>
            <w:r>
              <w:rPr>
                <w:rFonts w:ascii="Times New Roman" w:hAnsi="Times New Roman"/>
                <w:strike/>
                <w:color w:val="000000" w:themeColor="text1"/>
                <w:sz w:val="20"/>
                <w:szCs w:val="20"/>
              </w:rPr>
              <w:t xml:space="preserve">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w:t>
            </w:r>
            <w:proofErr w:type="spellStart"/>
            <w:r>
              <w:rPr>
                <w:lang w:eastAsia="zh-CN"/>
              </w:rPr>
              <w:t>RedCap</w:t>
            </w:r>
            <w:proofErr w:type="spellEnd"/>
            <w:r>
              <w:rPr>
                <w:lang w:eastAsia="zh-CN"/>
              </w:rPr>
              <w:t xml:space="preserve">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lang w:eastAsia="zh-CN"/>
              </w:rPr>
            </w:pPr>
            <w:r>
              <w:rPr>
                <w:rFonts w:eastAsia="SimSun"/>
                <w:lang w:eastAsia="zh-CN"/>
              </w:rPr>
              <w:t>Nokia, NSB</w:t>
            </w:r>
          </w:p>
        </w:tc>
        <w:tc>
          <w:tcPr>
            <w:tcW w:w="1909" w:type="dxa"/>
          </w:tcPr>
          <w:p w14:paraId="544C9C6F" w14:textId="37AF2F1E" w:rsidR="00C51C59" w:rsidRDefault="00C51C59">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SimSun"/>
                <w:lang w:eastAsia="zh-CN"/>
              </w:rPr>
            </w:pPr>
            <w:proofErr w:type="spellStart"/>
            <w:r>
              <w:rPr>
                <w:rFonts w:eastAsia="SimSun"/>
                <w:lang w:eastAsia="zh-CN"/>
              </w:rPr>
              <w:t>Futurewei</w:t>
            </w:r>
            <w:proofErr w:type="spellEnd"/>
          </w:p>
        </w:tc>
        <w:tc>
          <w:tcPr>
            <w:tcW w:w="1909" w:type="dxa"/>
          </w:tcPr>
          <w:p w14:paraId="332CC905" w14:textId="77777777" w:rsidR="00ED6F83" w:rsidRDefault="00ED6F83">
            <w:pPr>
              <w:rPr>
                <w:rFonts w:eastAsia="SimSun"/>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 xml:space="preserve">Considering that we have agreed to use max TRP 12 dBm in </w:t>
            </w:r>
            <w:proofErr w:type="spellStart"/>
            <w:r w:rsidRPr="00ED6F83">
              <w:rPr>
                <w:rFonts w:eastAsia="Times New Roman"/>
                <w:color w:val="000000"/>
                <w:bdr w:val="none" w:sz="0" w:space="0" w:color="auto" w:frame="1"/>
              </w:rPr>
              <w:t>RedCap</w:t>
            </w:r>
            <w:proofErr w:type="spellEnd"/>
            <w:r w:rsidRPr="00ED6F83">
              <w:rPr>
                <w:rFonts w:eastAsia="Times New Roman"/>
                <w:color w:val="000000"/>
                <w:bdr w:val="none" w:sz="0" w:space="0" w:color="auto" w:frame="1"/>
              </w:rPr>
              <w:t xml:space="preserve">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 xml:space="preserve">DL channels may be needed for </w:t>
            </w:r>
            <w:proofErr w:type="spellStart"/>
            <w:r w:rsidRPr="00ED6F83">
              <w:rPr>
                <w:rFonts w:eastAsia="Times New Roman"/>
                <w:color w:val="FF0000"/>
                <w:bdr w:val="none" w:sz="0" w:space="0" w:color="auto" w:frame="1"/>
              </w:rPr>
              <w:t>RedCap</w:t>
            </w:r>
            <w:proofErr w:type="spellEnd"/>
            <w:r w:rsidRPr="00ED6F83">
              <w:rPr>
                <w:rFonts w:eastAsia="Times New Roman"/>
                <w:color w:val="FF0000"/>
                <w:bdr w:val="none" w:sz="0" w:space="0" w:color="auto" w:frame="1"/>
              </w:rPr>
              <w:t xml:space="preserve">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bl>
    <w:bookmarkEnd w:id="3"/>
    <w:bookmarkEnd w:id="4"/>
    <w:p w14:paraId="10AF26F7" w14:textId="77777777" w:rsidR="00B7734A" w:rsidRDefault="00102623">
      <w:pPr>
        <w:pStyle w:val="Heading1"/>
        <w:spacing w:before="480"/>
      </w:pPr>
      <w:r>
        <w:t>References</w:t>
      </w:r>
      <w:bookmarkStart w:id="5" w:name="_Ref450342757"/>
      <w:bookmarkStart w:id="6" w:name="_Ref450735844"/>
      <w:bookmarkStart w:id="7"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1"/>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2"/>
      <w:proofErr w:type="spellEnd"/>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6"/>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8"/>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4"/>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7"/>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8"/>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9"/>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0"/>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1"/>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2"/>
    </w:p>
    <w:bookmarkEnd w:id="9"/>
    <w:bookmarkEnd w:id="10"/>
    <w:p w14:paraId="7E1DD6CF" w14:textId="77777777" w:rsidR="00B7734A" w:rsidRDefault="00102623">
      <w:pPr>
        <w:pStyle w:val="Heading1"/>
        <w:spacing w:before="480"/>
      </w:pPr>
      <w:r>
        <w:t xml:space="preserve">Appendix </w:t>
      </w:r>
      <w:bookmarkEnd w:id="2"/>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5A2DA" w14:textId="77777777" w:rsidR="001E40E7" w:rsidRDefault="001E40E7">
      <w:pPr>
        <w:spacing w:after="0" w:line="240" w:lineRule="auto"/>
      </w:pPr>
      <w:r>
        <w:separator/>
      </w:r>
    </w:p>
  </w:endnote>
  <w:endnote w:type="continuationSeparator" w:id="0">
    <w:p w14:paraId="0C3F6577" w14:textId="77777777" w:rsidR="001E40E7" w:rsidRDefault="001E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AC70" w14:textId="77777777" w:rsidR="001E40E7" w:rsidRDefault="001E40E7">
      <w:pPr>
        <w:spacing w:after="0" w:line="240" w:lineRule="auto"/>
      </w:pPr>
      <w:r>
        <w:separator/>
      </w:r>
    </w:p>
  </w:footnote>
  <w:footnote w:type="continuationSeparator" w:id="0">
    <w:p w14:paraId="3C387751" w14:textId="77777777" w:rsidR="001E40E7" w:rsidRDefault="001E4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C8538F60-01C0-419C-87BF-44D550EC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1502</Words>
  <Characters>8564</Characters>
  <Application>Microsoft Office Word</Application>
  <DocSecurity>0</DocSecurity>
  <Lines>71</Lines>
  <Paragraphs>20</Paragraphs>
  <ScaleCrop>false</ScaleCrop>
  <Company>Qualcomm Inc.</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2</cp:revision>
  <cp:lastPrinted>2020-08-17T03:17:00Z</cp:lastPrinted>
  <dcterms:created xsi:type="dcterms:W3CDTF">2020-11-16T18:01:00Z</dcterms:created>
  <dcterms:modified xsi:type="dcterms:W3CDTF">2020-11-16T18:01:00Z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