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490710" w:history="1">
            <w:r w:rsidR="00455DCC" w:rsidRPr="00AC643A">
              <w:rPr>
                <w:rStyle w:val="af2"/>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0C490F">
          <w:pPr>
            <w:pStyle w:val="TOC1"/>
            <w:rPr>
              <w:rFonts w:asciiTheme="minorHAnsi" w:eastAsiaTheme="minorEastAsia" w:hAnsiTheme="minorHAnsi" w:cstheme="minorBidi"/>
              <w:szCs w:val="22"/>
              <w:lang w:val="fr-FR" w:eastAsia="fr-FR"/>
            </w:rPr>
          </w:pPr>
          <w:hyperlink w:anchor="_Toc55490711" w:history="1">
            <w:r w:rsidR="00455DCC" w:rsidRPr="00AC643A">
              <w:rPr>
                <w:rStyle w:val="af2"/>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0C490F">
          <w:pPr>
            <w:pStyle w:val="TOC1"/>
            <w:rPr>
              <w:rFonts w:asciiTheme="minorHAnsi" w:eastAsiaTheme="minorEastAsia" w:hAnsiTheme="minorHAnsi" w:cstheme="minorBidi"/>
              <w:szCs w:val="22"/>
              <w:lang w:val="fr-FR" w:eastAsia="fr-FR"/>
            </w:rPr>
          </w:pPr>
          <w:hyperlink w:anchor="_Toc55490712" w:history="1">
            <w:r w:rsidR="00455DCC" w:rsidRPr="00AC643A">
              <w:rPr>
                <w:rStyle w:val="af2"/>
              </w:rPr>
              <w:t>1</w:t>
            </w:r>
            <w:r w:rsidR="00455DCC">
              <w:rPr>
                <w:rFonts w:asciiTheme="minorHAnsi" w:eastAsiaTheme="minorEastAsia" w:hAnsiTheme="minorHAnsi" w:cstheme="minorBidi"/>
                <w:szCs w:val="22"/>
                <w:lang w:val="fr-FR" w:eastAsia="fr-FR"/>
              </w:rPr>
              <w:tab/>
            </w:r>
            <w:r w:rsidR="00455DCC" w:rsidRPr="00AC643A">
              <w:rPr>
                <w:rStyle w:val="af2"/>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0C490F">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af2"/>
              </w:rPr>
              <w:t>1.1</w:t>
            </w:r>
            <w:r w:rsidR="00455DCC">
              <w:rPr>
                <w:rFonts w:asciiTheme="minorHAnsi" w:eastAsiaTheme="minorEastAsia" w:hAnsiTheme="minorHAnsi" w:cstheme="minorBidi"/>
                <w:sz w:val="22"/>
                <w:szCs w:val="22"/>
                <w:lang w:val="fr-FR" w:eastAsia="fr-FR"/>
              </w:rPr>
              <w:tab/>
            </w:r>
            <w:r w:rsidR="00455DCC" w:rsidRPr="00AC643A">
              <w:rPr>
                <w:rStyle w:val="af2"/>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0C490F">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af2"/>
              </w:rPr>
              <w:t>1.1.1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0C490F">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af2"/>
              </w:rPr>
              <w:t>1.1.2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0C490F">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af2"/>
                <w:lang w:val="en-US"/>
              </w:rPr>
              <w:t>1.1.3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0C490F">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af2"/>
              </w:rPr>
              <w:t>1.1.4</w:t>
            </w:r>
            <w:r w:rsidR="00455DCC">
              <w:rPr>
                <w:rFonts w:asciiTheme="minorHAnsi" w:eastAsiaTheme="minorEastAsia" w:hAnsiTheme="minorHAnsi" w:cstheme="minorBidi"/>
                <w:sz w:val="22"/>
                <w:szCs w:val="22"/>
                <w:lang w:val="fr-FR" w:eastAsia="fr-FR"/>
              </w:rPr>
              <w:tab/>
            </w:r>
            <w:r w:rsidR="00455DCC" w:rsidRPr="00AC643A">
              <w:rPr>
                <w:rStyle w:val="af2"/>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0C490F">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af2"/>
              </w:rPr>
              <w:t>1.1.5</w:t>
            </w:r>
            <w:r w:rsidR="00455DCC">
              <w:rPr>
                <w:rFonts w:asciiTheme="minorHAnsi" w:eastAsiaTheme="minorEastAsia" w:hAnsiTheme="minorHAnsi" w:cstheme="minorBidi"/>
                <w:sz w:val="22"/>
                <w:szCs w:val="22"/>
                <w:lang w:val="fr-FR" w:eastAsia="fr-FR"/>
              </w:rPr>
              <w:tab/>
            </w:r>
            <w:r w:rsidR="00455DCC" w:rsidRPr="00AC643A">
              <w:rPr>
                <w:rStyle w:val="af2"/>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0C490F">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af2"/>
              </w:rPr>
              <w:t>1.1.6</w:t>
            </w:r>
            <w:r w:rsidR="00455DCC">
              <w:rPr>
                <w:rFonts w:asciiTheme="minorHAnsi" w:eastAsiaTheme="minorEastAsia" w:hAnsiTheme="minorHAnsi" w:cstheme="minorBidi"/>
                <w:sz w:val="22"/>
                <w:szCs w:val="22"/>
                <w:lang w:val="fr-FR" w:eastAsia="fr-FR"/>
              </w:rPr>
              <w:tab/>
            </w:r>
            <w:r w:rsidR="00455DCC" w:rsidRPr="00AC643A">
              <w:rPr>
                <w:rStyle w:val="af2"/>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0C490F">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af2"/>
                <w:lang w:val="en-US"/>
              </w:rPr>
              <w:t>1.2</w:t>
            </w:r>
            <w:r w:rsidR="00455DCC">
              <w:rPr>
                <w:rFonts w:asciiTheme="minorHAnsi" w:eastAsiaTheme="minorEastAsia" w:hAnsiTheme="minorHAnsi" w:cstheme="minorBidi"/>
                <w:sz w:val="22"/>
                <w:szCs w:val="22"/>
                <w:lang w:val="fr-FR" w:eastAsia="fr-FR"/>
              </w:rPr>
              <w:tab/>
            </w:r>
            <w:r w:rsidR="00455DCC" w:rsidRPr="00AC643A">
              <w:rPr>
                <w:rStyle w:val="af2"/>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0C490F">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af2"/>
              </w:rPr>
              <w:t>1.2.1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0C490F">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af2"/>
                <w:lang w:val="fr-FR"/>
              </w:rPr>
              <w:t>1.2.2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0C490F">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af2"/>
                <w:lang w:val="en-US"/>
              </w:rPr>
              <w:t>1.2.3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0C490F">
          <w:pPr>
            <w:pStyle w:val="TOC1"/>
            <w:rPr>
              <w:rFonts w:asciiTheme="minorHAnsi" w:eastAsiaTheme="minorEastAsia" w:hAnsiTheme="minorHAnsi" w:cstheme="minorBidi"/>
              <w:szCs w:val="22"/>
              <w:lang w:val="fr-FR" w:eastAsia="fr-FR"/>
            </w:rPr>
          </w:pPr>
          <w:hyperlink w:anchor="_Toc55490724" w:history="1">
            <w:r w:rsidR="00455DCC" w:rsidRPr="00AC643A">
              <w:rPr>
                <w:rStyle w:val="af2"/>
              </w:rPr>
              <w:t>2</w:t>
            </w:r>
            <w:r w:rsidR="00455DCC">
              <w:rPr>
                <w:rFonts w:asciiTheme="minorHAnsi" w:eastAsiaTheme="minorEastAsia" w:hAnsiTheme="minorHAnsi" w:cstheme="minorBidi"/>
                <w:szCs w:val="22"/>
                <w:lang w:val="fr-FR" w:eastAsia="fr-FR"/>
              </w:rPr>
              <w:tab/>
            </w:r>
            <w:r w:rsidR="00455DCC" w:rsidRPr="00AC643A">
              <w:rPr>
                <w:rStyle w:val="af2"/>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0C490F">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af2"/>
              </w:rPr>
              <w:t>2.1</w:t>
            </w:r>
            <w:r w:rsidR="00455DCC">
              <w:rPr>
                <w:rFonts w:asciiTheme="minorHAnsi" w:eastAsiaTheme="minorEastAsia" w:hAnsiTheme="minorHAnsi" w:cstheme="minorBidi"/>
                <w:sz w:val="22"/>
                <w:szCs w:val="22"/>
                <w:lang w:val="fr-FR" w:eastAsia="fr-FR"/>
              </w:rPr>
              <w:tab/>
            </w:r>
            <w:r w:rsidR="00455DCC" w:rsidRPr="00AC643A">
              <w:rPr>
                <w:rStyle w:val="af2"/>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0C490F">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af2"/>
              </w:rPr>
              <w:t>2.1.1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0C490F">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af2"/>
              </w:rPr>
              <w:t>2.1.2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0C490F">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af2"/>
                <w:lang w:val="en-US"/>
              </w:rPr>
              <w:t>2.1.3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0C490F">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af2"/>
              </w:rPr>
              <w:t>2.1.4</w:t>
            </w:r>
            <w:r w:rsidR="00455DCC">
              <w:rPr>
                <w:rFonts w:asciiTheme="minorHAnsi" w:eastAsiaTheme="minorEastAsia" w:hAnsiTheme="minorHAnsi" w:cstheme="minorBidi"/>
                <w:sz w:val="22"/>
                <w:szCs w:val="22"/>
                <w:lang w:val="fr-FR" w:eastAsia="fr-FR"/>
              </w:rPr>
              <w:tab/>
            </w:r>
            <w:r w:rsidR="00455DCC" w:rsidRPr="00AC643A">
              <w:rPr>
                <w:rStyle w:val="af2"/>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0C490F">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af2"/>
              </w:rPr>
              <w:t>2.1.5</w:t>
            </w:r>
            <w:r w:rsidR="00455DCC">
              <w:rPr>
                <w:rFonts w:asciiTheme="minorHAnsi" w:eastAsiaTheme="minorEastAsia" w:hAnsiTheme="minorHAnsi" w:cstheme="minorBidi"/>
                <w:sz w:val="22"/>
                <w:szCs w:val="22"/>
                <w:lang w:val="fr-FR" w:eastAsia="fr-FR"/>
              </w:rPr>
              <w:tab/>
            </w:r>
            <w:r w:rsidR="00455DCC" w:rsidRPr="00AC643A">
              <w:rPr>
                <w:rStyle w:val="af2"/>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0C490F">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af2"/>
              </w:rPr>
              <w:t>2.2</w:t>
            </w:r>
            <w:r w:rsidR="00455DCC">
              <w:rPr>
                <w:rFonts w:asciiTheme="minorHAnsi" w:eastAsiaTheme="minorEastAsia" w:hAnsiTheme="minorHAnsi" w:cstheme="minorBidi"/>
                <w:sz w:val="22"/>
                <w:szCs w:val="22"/>
                <w:lang w:val="fr-FR" w:eastAsia="fr-FR"/>
              </w:rPr>
              <w:tab/>
            </w:r>
            <w:r w:rsidR="00455DCC" w:rsidRPr="00AC643A">
              <w:rPr>
                <w:rStyle w:val="af2"/>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0C490F">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af2"/>
              </w:rPr>
              <w:t>2.2.1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0C490F">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af2"/>
              </w:rPr>
              <w:t>2.2.2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0C490F">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af2"/>
                <w:lang w:val="en-US"/>
              </w:rPr>
              <w:t>2.2.3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0C490F">
          <w:pPr>
            <w:pStyle w:val="TOC1"/>
            <w:rPr>
              <w:rFonts w:asciiTheme="minorHAnsi" w:eastAsiaTheme="minorEastAsia" w:hAnsiTheme="minorHAnsi" w:cstheme="minorBidi"/>
              <w:szCs w:val="22"/>
              <w:lang w:val="fr-FR" w:eastAsia="fr-FR"/>
            </w:rPr>
          </w:pPr>
          <w:hyperlink w:anchor="_Toc55490735" w:history="1">
            <w:r w:rsidR="00455DCC" w:rsidRPr="00AC643A">
              <w:rPr>
                <w:rStyle w:val="af2"/>
              </w:rPr>
              <w:t>3</w:t>
            </w:r>
            <w:r w:rsidR="00455DCC">
              <w:rPr>
                <w:rFonts w:asciiTheme="minorHAnsi" w:eastAsiaTheme="minorEastAsia" w:hAnsiTheme="minorHAnsi" w:cstheme="minorBidi"/>
                <w:szCs w:val="22"/>
                <w:lang w:val="fr-FR" w:eastAsia="fr-FR"/>
              </w:rPr>
              <w:tab/>
            </w:r>
            <w:r w:rsidR="00455DCC" w:rsidRPr="00AC643A">
              <w:rPr>
                <w:rStyle w:val="af2"/>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0C490F">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af2"/>
              </w:rPr>
              <w:t>3.1</w:t>
            </w:r>
            <w:r w:rsidR="00455DCC">
              <w:rPr>
                <w:rFonts w:asciiTheme="minorHAnsi" w:eastAsiaTheme="minorEastAsia" w:hAnsiTheme="minorHAnsi" w:cstheme="minorBidi"/>
                <w:sz w:val="22"/>
                <w:szCs w:val="22"/>
                <w:lang w:val="fr-FR" w:eastAsia="fr-FR"/>
              </w:rPr>
              <w:tab/>
            </w:r>
            <w:r w:rsidR="00455DCC" w:rsidRPr="00AC643A">
              <w:rPr>
                <w:rStyle w:val="af2"/>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0C490F">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af2"/>
              </w:rPr>
              <w:t>3.1.1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0C490F">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af2"/>
              </w:rPr>
              <w:t>3.1.2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0C490F">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af2"/>
                <w:lang w:val="en-US"/>
              </w:rPr>
              <w:t>3.1.3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0C490F">
          <w:pPr>
            <w:pStyle w:val="TOC1"/>
            <w:rPr>
              <w:rFonts w:asciiTheme="minorHAnsi" w:eastAsiaTheme="minorEastAsia" w:hAnsiTheme="minorHAnsi" w:cstheme="minorBidi"/>
              <w:szCs w:val="22"/>
              <w:lang w:val="fr-FR" w:eastAsia="fr-FR"/>
            </w:rPr>
          </w:pPr>
          <w:hyperlink w:anchor="_Toc55490740" w:history="1">
            <w:r w:rsidR="00455DCC" w:rsidRPr="00AC643A">
              <w:rPr>
                <w:rStyle w:val="af2"/>
              </w:rPr>
              <w:t>4</w:t>
            </w:r>
            <w:r w:rsidR="00455DCC">
              <w:rPr>
                <w:rFonts w:asciiTheme="minorHAnsi" w:eastAsiaTheme="minorEastAsia" w:hAnsiTheme="minorHAnsi" w:cstheme="minorBidi"/>
                <w:szCs w:val="22"/>
                <w:lang w:val="fr-FR" w:eastAsia="fr-FR"/>
              </w:rPr>
              <w:tab/>
            </w:r>
            <w:r w:rsidR="00455DCC" w:rsidRPr="00AC643A">
              <w:rPr>
                <w:rStyle w:val="af2"/>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0C490F">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af2"/>
              </w:rPr>
              <w:t>4.1</w:t>
            </w:r>
            <w:r w:rsidR="00455DCC">
              <w:rPr>
                <w:rFonts w:asciiTheme="minorHAnsi" w:eastAsiaTheme="minorEastAsia" w:hAnsiTheme="minorHAnsi" w:cstheme="minorBidi"/>
                <w:sz w:val="22"/>
                <w:szCs w:val="22"/>
                <w:lang w:val="fr-FR" w:eastAsia="fr-FR"/>
              </w:rPr>
              <w:tab/>
            </w:r>
            <w:r w:rsidR="00455DCC" w:rsidRPr="00AC643A">
              <w:rPr>
                <w:rStyle w:val="af2"/>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0C490F">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af2"/>
              </w:rPr>
              <w:t>4.1.1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0C490F">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af2"/>
                <w:lang w:val="fr-FR"/>
              </w:rPr>
              <w:t>4.1.2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0C490F">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af2"/>
                <w:lang w:val="en-US"/>
              </w:rPr>
              <w:t>4.1.3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0C490F">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af2"/>
              </w:rPr>
              <w:t>4.2</w:t>
            </w:r>
            <w:r w:rsidR="00455DCC">
              <w:rPr>
                <w:rFonts w:asciiTheme="minorHAnsi" w:eastAsiaTheme="minorEastAsia" w:hAnsiTheme="minorHAnsi" w:cstheme="minorBidi"/>
                <w:sz w:val="22"/>
                <w:szCs w:val="22"/>
                <w:lang w:val="fr-FR" w:eastAsia="fr-FR"/>
              </w:rPr>
              <w:tab/>
            </w:r>
            <w:r w:rsidR="00455DCC" w:rsidRPr="00AC643A">
              <w:rPr>
                <w:rStyle w:val="af2"/>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0C490F">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af2"/>
              </w:rPr>
              <w:t>4.2.1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0C490F">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af2"/>
              </w:rPr>
              <w:t>4.2.2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0C490F">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af2"/>
                <w:lang w:val="en-US"/>
              </w:rPr>
              <w:t>4.2.3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0C490F">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af2"/>
              </w:rPr>
              <w:t>4.3</w:t>
            </w:r>
            <w:r w:rsidR="00455DCC">
              <w:rPr>
                <w:rFonts w:asciiTheme="minorHAnsi" w:eastAsiaTheme="minorEastAsia" w:hAnsiTheme="minorHAnsi" w:cstheme="minorBidi"/>
                <w:sz w:val="22"/>
                <w:szCs w:val="22"/>
                <w:lang w:val="fr-FR" w:eastAsia="fr-FR"/>
              </w:rPr>
              <w:tab/>
            </w:r>
            <w:r w:rsidR="00455DCC" w:rsidRPr="00AC643A">
              <w:rPr>
                <w:rStyle w:val="af2"/>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0C490F">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af2"/>
              </w:rPr>
              <w:t>4.3.1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0C490F">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af2"/>
              </w:rPr>
              <w:t>4.3.2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0C490F">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af2"/>
                <w:lang w:val="en-US"/>
              </w:rPr>
              <w:t>4.3.3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0C490F">
          <w:pPr>
            <w:pStyle w:val="TOC1"/>
            <w:rPr>
              <w:rFonts w:asciiTheme="minorHAnsi" w:eastAsiaTheme="minorEastAsia" w:hAnsiTheme="minorHAnsi" w:cstheme="minorBidi"/>
              <w:szCs w:val="22"/>
              <w:lang w:val="fr-FR" w:eastAsia="fr-FR"/>
            </w:rPr>
          </w:pPr>
          <w:hyperlink w:anchor="_Toc55490753" w:history="1">
            <w:r w:rsidR="00455DCC" w:rsidRPr="00AC643A">
              <w:rPr>
                <w:rStyle w:val="af2"/>
              </w:rPr>
              <w:t>5</w:t>
            </w:r>
            <w:r w:rsidR="00455DCC">
              <w:rPr>
                <w:rFonts w:asciiTheme="minorHAnsi" w:eastAsiaTheme="minorEastAsia" w:hAnsiTheme="minorHAnsi" w:cstheme="minorBidi"/>
                <w:szCs w:val="22"/>
                <w:lang w:val="fr-FR" w:eastAsia="fr-FR"/>
              </w:rPr>
              <w:tab/>
            </w:r>
            <w:r w:rsidR="00455DCC" w:rsidRPr="00AC643A">
              <w:rPr>
                <w:rStyle w:val="af2"/>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0C490F">
          <w:pPr>
            <w:pStyle w:val="TOC1"/>
            <w:rPr>
              <w:rFonts w:asciiTheme="minorHAnsi" w:eastAsiaTheme="minorEastAsia" w:hAnsiTheme="minorHAnsi" w:cstheme="minorBidi"/>
              <w:szCs w:val="22"/>
              <w:lang w:val="fr-FR" w:eastAsia="fr-FR"/>
            </w:rPr>
          </w:pPr>
          <w:hyperlink w:anchor="_Toc55490754" w:history="1">
            <w:r w:rsidR="00455DCC" w:rsidRPr="00AC643A">
              <w:rPr>
                <w:rStyle w:val="af2"/>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f"/>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f"/>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f"/>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15pt;height:185.95pt;mso-width-percent:0;mso-height-percent:0;mso-width-percent:0;mso-height-percent:0" o:ole="">
            <v:imagedata r:id="rId14" o:title=""/>
          </v:shape>
          <o:OLEObject Type="Embed" ProgID="Visio.Drawing.11" ShapeID="_x0000_i1025" DrawAspect="Content" ObjectID="_1666445094"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f"/>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f"/>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f"/>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f"/>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f"/>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f"/>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f"/>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f"/>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f"/>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xml:space="preserve">, MAC CE activates the first DL slot after the UL slot </w:t>
            </w:r>
            <w:proofErr w:type="spellStart"/>
            <w:r w:rsidRPr="0010311E">
              <w:rPr>
                <w:rFonts w:eastAsiaTheme="minorEastAsia"/>
                <w:lang w:val="en-US" w:eastAsia="zh-CN"/>
              </w:rPr>
              <w:t>n+k_1</w:t>
            </w:r>
            <w:proofErr w:type="spellEnd"/>
            <w:r w:rsidRPr="0010311E">
              <w:rPr>
                <w:rFonts w:eastAsiaTheme="minorEastAsia"/>
                <w:lang w:val="en-US" w:eastAsia="zh-CN"/>
              </w:rPr>
              <w:t>+(</w:t>
            </w:r>
            <w:proofErr w:type="spellStart"/>
            <w:r w:rsidRPr="0010311E">
              <w:rPr>
                <w:rFonts w:eastAsiaTheme="minorEastAsia"/>
                <w:lang w:val="en-US" w:eastAsia="zh-CN"/>
              </w:rPr>
              <w:t>3+</w:t>
            </w:r>
            <w:r w:rsidRPr="0010311E">
              <w:rPr>
                <w:rFonts w:eastAsiaTheme="minorEastAsia"/>
                <w:b/>
                <w:bCs/>
                <w:lang w:val="en-US" w:eastAsia="zh-CN"/>
              </w:rPr>
              <w:t>Y</w:t>
            </w:r>
            <w:proofErr w:type="spellEnd"/>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346025">
      <w:pPr>
        <w:pStyle w:val="aff"/>
        <w:numPr>
          <w:ilvl w:val="0"/>
          <w:numId w:val="20"/>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346025">
      <w:pPr>
        <w:pStyle w:val="aff"/>
        <w:numPr>
          <w:ilvl w:val="0"/>
          <w:numId w:val="20"/>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f"/>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8"/>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lastRenderedPageBreak/>
              <w:t>Fraunhofer HHI</w:t>
            </w:r>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w:t>
      </w:r>
      <w:proofErr w:type="spellStart"/>
      <w:r>
        <w:rPr>
          <w:lang w:val="en-US"/>
        </w:rPr>
        <w:t>ZTE</w:t>
      </w:r>
      <w:proofErr w:type="spellEnd"/>
      <w:r>
        <w:rPr>
          <w:lang w:val="en-US"/>
        </w:rPr>
        <w:t xml:space="preserv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f"/>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f"/>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403"/>
        <w:gridCol w:w="8226"/>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81166B">
        <w:tc>
          <w:tcPr>
            <w:tcW w:w="932"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81166B">
        <w:tc>
          <w:tcPr>
            <w:tcW w:w="932"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81166B">
        <w:tc>
          <w:tcPr>
            <w:tcW w:w="932"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068"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81166B">
        <w:tc>
          <w:tcPr>
            <w:tcW w:w="932"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529C5D2" w14:textId="2A6934BC" w:rsidR="00662327" w:rsidRDefault="00662327" w:rsidP="00662327">
            <w:pPr>
              <w:pStyle w:val="aff"/>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81166B">
        <w:tc>
          <w:tcPr>
            <w:tcW w:w="932" w:type="pct"/>
          </w:tcPr>
          <w:p w14:paraId="62F45880" w14:textId="6BA58526"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w:t>
            </w:r>
            <w:r>
              <w:rPr>
                <w:rFonts w:eastAsia="Yu Mincho" w:cs="Arial"/>
              </w:rPr>
              <w:t xml:space="preserve"> The discussion for potential enhancement for the </w:t>
            </w:r>
            <w:r>
              <w:rPr>
                <w:rFonts w:eastAsia="Yu Mincho" w:cs="Arial"/>
              </w:rPr>
              <w:t>second sub bullet</w:t>
            </w:r>
            <w:r>
              <w:rPr>
                <w:rFonts w:eastAsia="Yu Mincho" w:cs="Arial"/>
              </w:rPr>
              <w:t xml:space="preserve">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hint="eastAsia"/>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the 1</w:t>
            </w:r>
            <w:r w:rsidRPr="004C4879">
              <w:rPr>
                <w:rFonts w:eastAsiaTheme="minorEastAsia"/>
                <w:vertAlign w:val="superscript"/>
                <w:lang w:eastAsia="zh-CN"/>
              </w:rPr>
              <w:t>st</w:t>
            </w:r>
            <w:r>
              <w:rPr>
                <w:rFonts w:eastAsiaTheme="minorEastAsia"/>
                <w:lang w:eastAsia="zh-CN"/>
              </w:rPr>
              <w:t xml:space="preserve"> reason of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lastRenderedPageBreak/>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only UE specific TA (i.e., service link </w:t>
            </w:r>
            <w:proofErr w:type="spellStart"/>
            <w:r>
              <w:rPr>
                <w:rFonts w:eastAsiaTheme="minorEastAsia" w:cs="Arial"/>
              </w:rPr>
              <w:t>RTD</w:t>
            </w:r>
            <w:proofErr w:type="spellEnd"/>
            <w:r>
              <w:rPr>
                <w:rFonts w:eastAsiaTheme="minorEastAsia" w:cs="Arial"/>
              </w:rPr>
              <w:t>) is pre-compensated, which results in unaligned downlink and uplink frame timing at gNB.</w:t>
            </w:r>
          </w:p>
          <w:p w14:paraId="3E1394DE" w14:textId="77777777" w:rsidR="000C490F" w:rsidRDefault="000C490F" w:rsidP="000C490F">
            <w:pPr>
              <w:pStyle w:val="af8"/>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proofErr w:type="spellStart"/>
            <w:r w:rsidRPr="00983423">
              <w:rPr>
                <w:rFonts w:eastAsiaTheme="minorEastAsia" w:cs="Arial"/>
              </w:rPr>
              <w:t>R1</w:t>
            </w:r>
            <w:proofErr w:type="spellEnd"/>
            <w:r w:rsidRPr="00983423">
              <w:rPr>
                <w:rFonts w:eastAsiaTheme="minorEastAsia" w:cs="Arial"/>
              </w:rPr>
              <w:t>-2009091</w:t>
            </w:r>
            <w:r>
              <w:rPr>
                <w:rFonts w:eastAsiaTheme="minorEastAsia" w:cs="Arial"/>
              </w:rPr>
              <w:t xml:space="preserve">) in AI 8.4.1, when </w:t>
            </w:r>
            <w:r w:rsidRPr="00795BD4">
              <w:rPr>
                <w:rFonts w:eastAsiaTheme="minorEastAsia" w:cs="Arial"/>
              </w:rPr>
              <w:t>downlink and uplink frame timing are not aligned at gNB</w:t>
            </w:r>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042E62A" w14:textId="77777777" w:rsidR="000C490F" w:rsidRDefault="000C490F" w:rsidP="000C490F">
            <w:pPr>
              <w:pStyle w:val="af8"/>
              <w:spacing w:line="256" w:lineRule="auto"/>
              <w:rPr>
                <w:rFonts w:eastAsiaTheme="minorEastAsia" w:cs="Arial"/>
              </w:rPr>
            </w:pPr>
            <w:r>
              <w:rPr>
                <w:rFonts w:eastAsiaTheme="minorEastAsia" w:cs="Arial"/>
              </w:rPr>
              <w:t xml:space="preserve">The value of Y has the same magnitude of feeder link </w:t>
            </w:r>
            <w:proofErr w:type="spellStart"/>
            <w:r>
              <w:rPr>
                <w:rFonts w:eastAsiaTheme="minorEastAsia" w:cs="Arial"/>
              </w:rPr>
              <w:t>RTD</w:t>
            </w:r>
            <w:proofErr w:type="spellEnd"/>
            <w:r>
              <w:rPr>
                <w:rFonts w:eastAsiaTheme="minorEastAsia" w:cs="Arial"/>
              </w:rPr>
              <w:t>, which needs to be indicated to the UE.</w:t>
            </w:r>
          </w:p>
          <w:p w14:paraId="718480BE" w14:textId="77777777" w:rsidR="000C490F" w:rsidRDefault="000C490F" w:rsidP="000C490F">
            <w:pPr>
              <w:pStyle w:val="af8"/>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af8"/>
              <w:spacing w:line="256" w:lineRule="auto"/>
              <w:rPr>
                <w:rFonts w:eastAsiaTheme="minorEastAsia" w:cs="Arial"/>
              </w:rPr>
            </w:pPr>
            <w:r>
              <w:rPr>
                <w:noProof/>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af8"/>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af8"/>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af8"/>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proofErr w:type="spellStart"/>
            <w:r>
              <w:rPr>
                <w:rFonts w:eastAsiaTheme="minorEastAsia"/>
                <w:lang w:eastAsia="zh-CN"/>
              </w:rPr>
              <w:t>W.r.t.</w:t>
            </w:r>
            <w:proofErr w:type="spellEnd"/>
            <w:r>
              <w:rPr>
                <w:rFonts w:eastAsiaTheme="minorEastAsia"/>
                <w:lang w:eastAsia="zh-CN"/>
              </w:rPr>
              <w:t xml:space="preserve">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aff"/>
              <w:adjustRightInd w:val="0"/>
              <w:snapToGrid w:val="0"/>
              <w:spacing w:after="120"/>
              <w:ind w:leftChars="8" w:left="16"/>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the </w:t>
            </w:r>
            <w:proofErr w:type="spellStart"/>
            <w:proofErr w:type="gramStart"/>
            <w:r>
              <w:rPr>
                <w:rFonts w:eastAsiaTheme="minorEastAsia"/>
                <w:lang w:eastAsia="zh-CN"/>
              </w:rPr>
              <w:t>3</w:t>
            </w:r>
            <w:r>
              <w:rPr>
                <w:rFonts w:eastAsiaTheme="minorEastAsia"/>
                <w:vertAlign w:val="superscript"/>
                <w:lang w:eastAsia="zh-CN"/>
              </w:rPr>
              <w:t>th</w:t>
            </w:r>
            <w:proofErr w:type="spellEnd"/>
            <w:proofErr w:type="gramEnd"/>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f"/>
        <w:numPr>
          <w:ilvl w:val="0"/>
          <w:numId w:val="52"/>
        </w:numPr>
        <w:rPr>
          <w:b/>
          <w:sz w:val="22"/>
          <w:lang w:val="en-US"/>
        </w:rPr>
      </w:pPr>
      <w:r w:rsidRPr="00B26677">
        <w:rPr>
          <w:b/>
          <w:sz w:val="22"/>
          <w:lang w:val="en-US"/>
        </w:rPr>
        <w:lastRenderedPageBreak/>
        <w:t xml:space="preserve">a common TA value </w:t>
      </w:r>
    </w:p>
    <w:p w14:paraId="0D05B268" w14:textId="77777777" w:rsidR="00B26677" w:rsidRPr="00B26677" w:rsidRDefault="00B26677" w:rsidP="00346025">
      <w:pPr>
        <w:pStyle w:val="aff"/>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f"/>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f"/>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aff"/>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gNB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f"/>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lastRenderedPageBreak/>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f"/>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lastRenderedPageBreak/>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f"/>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lastRenderedPageBreak/>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f"/>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f"/>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f"/>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f"/>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 xml:space="preserve">There is no enough motivation to introduce TA margin for </w:t>
            </w:r>
            <w:r>
              <w:rPr>
                <w:rFonts w:eastAsia="Malgun Gothic"/>
                <w:lang w:eastAsia="ko-KR"/>
              </w:rPr>
              <w:lastRenderedPageBreak/>
              <w:t>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lastRenderedPageBreak/>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8"/>
              <w:spacing w:line="256" w:lineRule="auto"/>
            </w:pPr>
            <w:r>
              <w:t>Solution# 1-2-4</w:t>
            </w:r>
          </w:p>
        </w:tc>
        <w:tc>
          <w:tcPr>
            <w:tcW w:w="2700" w:type="dxa"/>
          </w:tcPr>
          <w:p w14:paraId="52962A13" w14:textId="77777777" w:rsidR="00C0766C" w:rsidRPr="00CD3B15" w:rsidRDefault="00C0766C" w:rsidP="008E3CD7">
            <w:pPr>
              <w:pStyle w:val="af8"/>
              <w:spacing w:line="256" w:lineRule="auto"/>
            </w:pPr>
            <w:r>
              <w:t>Solution# 1-2-2</w:t>
            </w:r>
          </w:p>
        </w:tc>
        <w:tc>
          <w:tcPr>
            <w:tcW w:w="2970" w:type="dxa"/>
          </w:tcPr>
          <w:p w14:paraId="65D8FAE2" w14:textId="77777777" w:rsidR="00C0766C" w:rsidRPr="00CD3B15" w:rsidRDefault="00C0766C" w:rsidP="008E3CD7">
            <w:pPr>
              <w:pStyle w:val="af8"/>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8"/>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8"/>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8"/>
              <w:spacing w:line="256" w:lineRule="auto"/>
            </w:pPr>
          </w:p>
        </w:tc>
        <w:tc>
          <w:tcPr>
            <w:tcW w:w="2970" w:type="dxa"/>
          </w:tcPr>
          <w:p w14:paraId="3879F53D" w14:textId="77777777" w:rsidR="008A26E3" w:rsidRPr="00241C0C" w:rsidRDefault="008A26E3" w:rsidP="008A26E3">
            <w:pPr>
              <w:pStyle w:val="af8"/>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8"/>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8"/>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af8"/>
              <w:spacing w:line="256" w:lineRule="auto"/>
            </w:pPr>
            <w:r w:rsidRPr="00902581">
              <w:t>Solution #</w:t>
            </w:r>
            <w:r>
              <w:t>1-2-3</w:t>
            </w:r>
          </w:p>
          <w:p w14:paraId="2E6D209A" w14:textId="134FE300" w:rsidR="00645E03" w:rsidRPr="00902581" w:rsidRDefault="00645E03" w:rsidP="00645E03">
            <w:pPr>
              <w:pStyle w:val="af8"/>
              <w:spacing w:line="256" w:lineRule="auto"/>
              <w:rPr>
                <w:b/>
                <w:lang w:val="en-US"/>
              </w:rPr>
            </w:pPr>
            <w:r w:rsidRPr="000F771C">
              <w:t xml:space="preserve">Only the service link may be considered for the transmission </w:t>
            </w:r>
            <w:r w:rsidRPr="000F771C">
              <w:lastRenderedPageBreak/>
              <w:t>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8"/>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af8"/>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8"/>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8"/>
              <w:spacing w:line="256" w:lineRule="auto"/>
            </w:pPr>
            <w:r w:rsidRPr="005543A3">
              <w:rPr>
                <w:rFonts w:hint="eastAsia"/>
              </w:rPr>
              <w:t>Solution#1-2-4</w:t>
            </w:r>
          </w:p>
        </w:tc>
        <w:tc>
          <w:tcPr>
            <w:tcW w:w="2700" w:type="dxa"/>
          </w:tcPr>
          <w:p w14:paraId="6029FEC4" w14:textId="77777777" w:rsidR="003A01C6" w:rsidRDefault="003A01C6" w:rsidP="003A01C6">
            <w:pPr>
              <w:pStyle w:val="af8"/>
              <w:spacing w:line="256" w:lineRule="auto"/>
            </w:pPr>
            <w:r w:rsidRPr="005543A3">
              <w:rPr>
                <w:rFonts w:hint="eastAsia"/>
              </w:rPr>
              <w:t>Solution#1-2-</w:t>
            </w:r>
            <w:r>
              <w:t xml:space="preserve">3, #1-2-2 </w:t>
            </w:r>
          </w:p>
          <w:p w14:paraId="3006C371" w14:textId="461F9F43" w:rsidR="003A01C6" w:rsidRPr="00902581" w:rsidRDefault="003A01C6" w:rsidP="003A01C6">
            <w:pPr>
              <w:pStyle w:val="af8"/>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8"/>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8"/>
              <w:spacing w:line="256" w:lineRule="auto"/>
            </w:pPr>
            <w:r w:rsidRPr="00902581">
              <w:t>Solution#</w:t>
            </w:r>
            <w:r>
              <w:t>1-2-3</w:t>
            </w:r>
          </w:p>
        </w:tc>
        <w:tc>
          <w:tcPr>
            <w:tcW w:w="2700" w:type="dxa"/>
          </w:tcPr>
          <w:p w14:paraId="7F23222D" w14:textId="20ACF914" w:rsidR="00843356" w:rsidRPr="005543A3" w:rsidRDefault="00843356" w:rsidP="00843356">
            <w:pPr>
              <w:pStyle w:val="af8"/>
              <w:spacing w:line="256" w:lineRule="auto"/>
            </w:pPr>
            <w:r w:rsidRPr="00902581">
              <w:t>Solution#</w:t>
            </w:r>
            <w:r>
              <w:t>1-2-4</w:t>
            </w:r>
          </w:p>
        </w:tc>
        <w:tc>
          <w:tcPr>
            <w:tcW w:w="2970" w:type="dxa"/>
          </w:tcPr>
          <w:p w14:paraId="01E30B11" w14:textId="77777777" w:rsidR="00843356" w:rsidRPr="005543A3" w:rsidRDefault="00843356" w:rsidP="00843356">
            <w:pPr>
              <w:pStyle w:val="af8"/>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8"/>
              <w:spacing w:line="256" w:lineRule="auto"/>
            </w:pPr>
            <w:r>
              <w:t>Thales</w:t>
            </w:r>
          </w:p>
        </w:tc>
        <w:tc>
          <w:tcPr>
            <w:tcW w:w="2790" w:type="dxa"/>
          </w:tcPr>
          <w:p w14:paraId="0ABE305F" w14:textId="4604A6C8" w:rsidR="00E754B9" w:rsidRPr="005543A3" w:rsidRDefault="00E754B9" w:rsidP="00843356">
            <w:pPr>
              <w:pStyle w:val="af8"/>
              <w:spacing w:line="256" w:lineRule="auto"/>
            </w:pPr>
            <w:r>
              <w:t>1-2-3 to provide clear design</w:t>
            </w:r>
          </w:p>
        </w:tc>
        <w:tc>
          <w:tcPr>
            <w:tcW w:w="2700" w:type="dxa"/>
          </w:tcPr>
          <w:p w14:paraId="3D5270D9" w14:textId="3B7F17F4" w:rsidR="00E754B9" w:rsidRPr="005543A3" w:rsidRDefault="00E754B9" w:rsidP="00843356">
            <w:pPr>
              <w:pStyle w:val="af8"/>
              <w:spacing w:line="256" w:lineRule="auto"/>
            </w:pPr>
            <w:r>
              <w:t>1-2-4: TA margin absorbed by Common TA.</w:t>
            </w:r>
          </w:p>
        </w:tc>
        <w:tc>
          <w:tcPr>
            <w:tcW w:w="2970" w:type="dxa"/>
          </w:tcPr>
          <w:p w14:paraId="1EC0017C" w14:textId="15C6C88E" w:rsidR="00E754B9" w:rsidRPr="005543A3" w:rsidRDefault="00E754B9" w:rsidP="00843356">
            <w:pPr>
              <w:pStyle w:val="af8"/>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8"/>
              <w:spacing w:line="256" w:lineRule="auto"/>
            </w:pPr>
            <w:r>
              <w:t>Nokia, Nokia Shanghai Bell</w:t>
            </w:r>
          </w:p>
        </w:tc>
        <w:tc>
          <w:tcPr>
            <w:tcW w:w="2790" w:type="dxa"/>
          </w:tcPr>
          <w:p w14:paraId="49EFA64F" w14:textId="73015E51" w:rsidR="008E3CD7" w:rsidRDefault="008E3CD7" w:rsidP="008E3CD7">
            <w:pPr>
              <w:pStyle w:val="af8"/>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8"/>
              <w:spacing w:line="256" w:lineRule="auto"/>
            </w:pPr>
          </w:p>
        </w:tc>
        <w:tc>
          <w:tcPr>
            <w:tcW w:w="2970" w:type="dxa"/>
          </w:tcPr>
          <w:p w14:paraId="708975F8" w14:textId="77777777" w:rsidR="008E3CD7" w:rsidRDefault="008E3CD7" w:rsidP="008E3CD7">
            <w:pPr>
              <w:pStyle w:val="af8"/>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8"/>
              <w:spacing w:line="256" w:lineRule="auto"/>
            </w:pPr>
            <w:r>
              <w:t>Sony</w:t>
            </w:r>
          </w:p>
        </w:tc>
        <w:tc>
          <w:tcPr>
            <w:tcW w:w="2790" w:type="dxa"/>
          </w:tcPr>
          <w:p w14:paraId="1CAD2FC1" w14:textId="77777777" w:rsidR="007F5EDE" w:rsidRPr="00902581" w:rsidRDefault="007F5EDE" w:rsidP="004110E0">
            <w:pPr>
              <w:pStyle w:val="af8"/>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8"/>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8"/>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8"/>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8"/>
              <w:spacing w:line="256" w:lineRule="auto"/>
            </w:pPr>
            <w:r w:rsidRPr="00747DFD">
              <w:t>Solution#1-2-3</w:t>
            </w:r>
          </w:p>
        </w:tc>
        <w:tc>
          <w:tcPr>
            <w:tcW w:w="2970" w:type="dxa"/>
          </w:tcPr>
          <w:p w14:paraId="255F464E" w14:textId="77777777" w:rsidR="004110E0" w:rsidRPr="00747DFD" w:rsidRDefault="004110E0" w:rsidP="004110E0">
            <w:pPr>
              <w:pStyle w:val="af8"/>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8"/>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8"/>
              <w:spacing w:line="252" w:lineRule="auto"/>
              <w:rPr>
                <w:rFonts w:eastAsiaTheme="minorHAnsi"/>
              </w:rPr>
            </w:pPr>
            <w:r>
              <w:t>1-2-1</w:t>
            </w:r>
          </w:p>
          <w:p w14:paraId="7D61C75B" w14:textId="77777777" w:rsidR="00EC360D" w:rsidRDefault="00EC360D">
            <w:pPr>
              <w:pStyle w:val="af8"/>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8"/>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8"/>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8"/>
              <w:spacing w:line="252" w:lineRule="auto"/>
              <w:rPr>
                <w:rFonts w:eastAsiaTheme="minorHAnsi"/>
              </w:rPr>
            </w:pPr>
            <w:r>
              <w:t>Intel</w:t>
            </w:r>
          </w:p>
          <w:p w14:paraId="354B094C" w14:textId="77777777" w:rsidR="00EC360D" w:rsidRDefault="00EC360D">
            <w:pPr>
              <w:pStyle w:val="af8"/>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8"/>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w:t>
            </w:r>
            <w:proofErr w:type="spellStart"/>
            <w:r>
              <w:rPr>
                <w:lang w:eastAsia="ko-KR"/>
              </w:rPr>
              <w:t>ETRI</w:t>
            </w:r>
            <w:proofErr w:type="spellEnd"/>
            <w:r>
              <w:rPr>
                <w:lang w:eastAsia="ko-KR"/>
              </w:rPr>
              <w:t xml:space="preserve">, </w:t>
            </w:r>
            <w:r>
              <w:t xml:space="preserve">Fraunhofer, Thales, </w:t>
            </w:r>
            <w:r>
              <w:rPr>
                <w:lang w:eastAsia="ko-KR"/>
              </w:rPr>
              <w:t>Eutelsat</w:t>
            </w:r>
          </w:p>
          <w:p w14:paraId="01389F91" w14:textId="77777777" w:rsidR="00EC360D" w:rsidRDefault="00EC360D">
            <w:pPr>
              <w:pStyle w:val="af8"/>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8"/>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8"/>
              <w:spacing w:line="252" w:lineRule="auto"/>
              <w:rPr>
                <w:rFonts w:eastAsiaTheme="minorHAnsi"/>
              </w:rPr>
            </w:pPr>
            <w:r>
              <w:t>Intel, OPPO, Panasonic</w:t>
            </w:r>
          </w:p>
          <w:p w14:paraId="77638B77" w14:textId="77777777" w:rsidR="00EC360D" w:rsidRDefault="00EC360D">
            <w:pPr>
              <w:pStyle w:val="af8"/>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8"/>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8"/>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8"/>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af8"/>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8"/>
              <w:spacing w:line="252" w:lineRule="auto"/>
              <w:rPr>
                <w:rFonts w:eastAsiaTheme="minorHAnsi"/>
              </w:rPr>
            </w:pPr>
            <w:r>
              <w:t>1-2-3</w:t>
            </w:r>
          </w:p>
          <w:p w14:paraId="307ED769" w14:textId="77777777" w:rsidR="00EC360D" w:rsidRDefault="00EC360D">
            <w:pPr>
              <w:pStyle w:val="af8"/>
              <w:spacing w:line="252" w:lineRule="auto"/>
            </w:pPr>
            <w:r>
              <w:t xml:space="preserve">TA includes TA margin, TA </w:t>
            </w:r>
            <w:r>
              <w:lastRenderedPageBreak/>
              <w:t>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8"/>
              <w:spacing w:line="252" w:lineRule="auto"/>
              <w:rPr>
                <w:rFonts w:eastAsiaTheme="minorHAnsi"/>
              </w:rPr>
            </w:pPr>
            <w:r>
              <w:lastRenderedPageBreak/>
              <w:t xml:space="preserve">OPPO, Huawei, CATT, </w:t>
            </w:r>
            <w:proofErr w:type="spellStart"/>
            <w:r>
              <w:t>CEWiT</w:t>
            </w:r>
            <w:proofErr w:type="spellEnd"/>
            <w:r>
              <w:t xml:space="preserve">, </w:t>
            </w:r>
            <w:r>
              <w:rPr>
                <w:lang w:eastAsia="ko-KR"/>
              </w:rPr>
              <w:t xml:space="preserve">LG, </w:t>
            </w:r>
            <w:proofErr w:type="spellStart"/>
            <w:r>
              <w:rPr>
                <w:lang w:eastAsia="ko-KR"/>
              </w:rPr>
              <w:t>ETRI</w:t>
            </w:r>
            <w:proofErr w:type="spellEnd"/>
            <w:r>
              <w:rPr>
                <w:lang w:eastAsia="ko-KR"/>
              </w:rPr>
              <w:t xml:space="preserve">, </w:t>
            </w:r>
            <w:r>
              <w:rPr>
                <w:lang w:eastAsia="zh-CN"/>
              </w:rPr>
              <w:t xml:space="preserve">vivo, </w:t>
            </w:r>
            <w:r>
              <w:t>Thales</w:t>
            </w:r>
          </w:p>
          <w:p w14:paraId="510AC77D" w14:textId="77777777" w:rsidR="00EC360D" w:rsidRDefault="00EC360D">
            <w:pPr>
              <w:pStyle w:val="af8"/>
              <w:spacing w:line="252" w:lineRule="auto"/>
            </w:pPr>
            <w:r>
              <w:rPr>
                <w:b/>
                <w:bCs/>
                <w:highlight w:val="yellow"/>
                <w:lang w:val="it-IT"/>
              </w:rPr>
              <w:lastRenderedPageBreak/>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8"/>
              <w:spacing w:line="252" w:lineRule="auto"/>
              <w:rPr>
                <w:rFonts w:eastAsiaTheme="minorHAnsi"/>
                <w:lang w:eastAsia="ko-KR"/>
              </w:rPr>
            </w:pPr>
            <w:r>
              <w:lastRenderedPageBreak/>
              <w:t xml:space="preserve">MTK, Ericsson, Fraunhofer, </w:t>
            </w:r>
            <w:r>
              <w:rPr>
                <w:lang w:eastAsia="ko-KR"/>
              </w:rPr>
              <w:t>Eutelsat</w:t>
            </w:r>
          </w:p>
          <w:p w14:paraId="37AC8ACA" w14:textId="77777777" w:rsidR="00EC360D" w:rsidRDefault="00EC360D">
            <w:pPr>
              <w:pStyle w:val="af8"/>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8"/>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8"/>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8"/>
              <w:spacing w:line="252" w:lineRule="auto"/>
              <w:rPr>
                <w:rFonts w:eastAsiaTheme="minorHAnsi"/>
              </w:rPr>
            </w:pPr>
            <w:r>
              <w:t>1-2-4</w:t>
            </w:r>
          </w:p>
          <w:p w14:paraId="72E41C51" w14:textId="77777777" w:rsidR="00EC360D" w:rsidRDefault="00EC360D">
            <w:pPr>
              <w:pStyle w:val="af8"/>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8"/>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8"/>
              <w:spacing w:line="252" w:lineRule="auto"/>
              <w:rPr>
                <w:rFonts w:eastAsiaTheme="minorHAnsi"/>
              </w:rPr>
            </w:pPr>
            <w:proofErr w:type="spellStart"/>
            <w:r>
              <w:t>ZTE</w:t>
            </w:r>
            <w:proofErr w:type="spellEnd"/>
            <w:r>
              <w:t xml:space="preserv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proofErr w:type="spellStart"/>
            <w:r>
              <w:rPr>
                <w:lang w:eastAsia="ko-KR"/>
              </w:rPr>
              <w:t>ETRI</w:t>
            </w:r>
            <w:proofErr w:type="spellEnd"/>
            <w:r>
              <w:rPr>
                <w:lang w:eastAsia="ko-KR"/>
              </w:rPr>
              <w:t xml:space="preserve">, </w:t>
            </w:r>
            <w:r>
              <w:rPr>
                <w:lang w:eastAsia="zh-CN"/>
              </w:rPr>
              <w:t xml:space="preserve">vivo, </w:t>
            </w:r>
            <w:r>
              <w:t>Thales</w:t>
            </w:r>
          </w:p>
          <w:p w14:paraId="01FEE1F4" w14:textId="77777777" w:rsidR="00EC360D" w:rsidRDefault="00EC360D">
            <w:pPr>
              <w:pStyle w:val="af8"/>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8"/>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8"/>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hint="eastAsia"/>
                <w:lang w:eastAsia="zh-CN"/>
              </w:rPr>
            </w:pPr>
            <w:r w:rsidRPr="004C4879">
              <w:rPr>
                <w:rFonts w:eastAsiaTheme="minorEastAsia" w:hint="eastAsia"/>
                <w:lang w:eastAsia="zh-CN"/>
              </w:rPr>
              <w:t>S</w:t>
            </w:r>
            <w:r w:rsidRPr="004C4879">
              <w:rPr>
                <w:rFonts w:eastAsiaTheme="minorEastAsia"/>
                <w:lang w:eastAsia="zh-CN"/>
              </w:rPr>
              <w:t>upport the proposal.</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f"/>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f"/>
        <w:numPr>
          <w:ilvl w:val="0"/>
          <w:numId w:val="32"/>
        </w:numPr>
      </w:pPr>
      <w:r>
        <w:lastRenderedPageBreak/>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f"/>
        <w:numPr>
          <w:ilvl w:val="0"/>
          <w:numId w:val="22"/>
        </w:numPr>
      </w:pPr>
      <w:r w:rsidRPr="00902581">
        <w:t>Is there a necessity to extend the range of TAC in RAR?</w:t>
      </w:r>
    </w:p>
    <w:p w14:paraId="56FFEB27" w14:textId="77777777" w:rsidR="00623E80" w:rsidRPr="00902581" w:rsidRDefault="00623E80" w:rsidP="00346025">
      <w:pPr>
        <w:pStyle w:val="aff"/>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pt;height:15pt;mso-width-percent:0;mso-height-percent:0;mso-width-percent:0;mso-height-percent:0" o:ole="">
                  <v:imagedata r:id="rId19" o:title=""/>
                </v:shape>
                <o:OLEObject Type="Embed" ProgID="Equation.3" ShapeID="_x0000_i1026" DrawAspect="Content" ObjectID="_1666445095" r:id="rId20"/>
              </w:object>
            </w:r>
            <w:r w:rsidRPr="00902581">
              <w:rPr>
                <w:i/>
              </w:rPr>
              <w:t xml:space="preserve">, for a TAG indicates </w:t>
            </w:r>
            <w:r w:rsidR="002663AA" w:rsidRPr="00902581">
              <w:rPr>
                <w:i/>
                <w:noProof/>
                <w:position w:val="-10"/>
              </w:rPr>
              <w:object w:dxaOrig="400" w:dyaOrig="300" w14:anchorId="11692676">
                <v:shape id="_x0000_i1027" type="#_x0000_t75" alt="" style="width:21.2pt;height:15pt;mso-width-percent:0;mso-height-percent:0;mso-width-percent:0;mso-height-percent:0" o:ole="">
                  <v:imagedata r:id="rId21" o:title=""/>
                </v:shape>
                <o:OLEObject Type="Embed" ProgID="Equation.3" ShapeID="_x0000_i1027" DrawAspect="Content" ObjectID="_1666445096" r:id="rId22"/>
              </w:object>
            </w:r>
            <w:r w:rsidRPr="00902581">
              <w:rPr>
                <w:i/>
              </w:rPr>
              <w:t xml:space="preserve"> values by index values of </w:t>
            </w:r>
            <w:r w:rsidR="002663AA" w:rsidRPr="00902581">
              <w:rPr>
                <w:i/>
                <w:noProof/>
                <w:position w:val="-10"/>
              </w:rPr>
              <w:object w:dxaOrig="260" w:dyaOrig="300" w14:anchorId="5BED3F10">
                <v:shape id="_x0000_i1028" type="#_x0000_t75" alt="" style="width:15pt;height:15pt;mso-width-percent:0;mso-height-percent:0;mso-width-percent:0;mso-height-percent:0" o:ole="">
                  <v:imagedata r:id="rId23" o:title=""/>
                </v:shape>
                <o:OLEObject Type="Embed" ProgID="Equation.3" ShapeID="_x0000_i1028" DrawAspect="Content" ObjectID="_1666445097" r:id="rId24"/>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002663AA" w:rsidRPr="00902581">
              <w:rPr>
                <w:i/>
                <w:noProof/>
                <w:position w:val="-6"/>
              </w:rPr>
              <w:object w:dxaOrig="560" w:dyaOrig="300" w14:anchorId="2EA1EFBA">
                <v:shape id="_x0000_i1029" type="#_x0000_t75" alt="" style="width:26.95pt;height:15pt;mso-width-percent:0;mso-height-percent:0;mso-width-percent:0;mso-height-percent:0" o:ole="">
                  <v:imagedata r:id="rId25" o:title=""/>
                </v:shape>
                <o:OLEObject Type="Embed" ProgID="Equation.3" ShapeID="_x0000_i1029" DrawAspect="Content" ObjectID="_1666445098" r:id="rId26"/>
              </w:object>
            </w:r>
            <w:r w:rsidRPr="00902581">
              <w:rPr>
                <w:i/>
              </w:rPr>
              <w:t xml:space="preserve"> kHz is </w:t>
            </w:r>
            <w:r w:rsidR="002663AA" w:rsidRPr="00902581">
              <w:rPr>
                <w:i/>
                <w:noProof/>
                <w:position w:val="-10"/>
              </w:rPr>
              <w:object w:dxaOrig="1719" w:dyaOrig="340" w14:anchorId="3D8BEFB5">
                <v:shape id="_x0000_i1030" type="#_x0000_t75" alt="" style="width:86.6pt;height:15.45pt;mso-width-percent:0;mso-height-percent:0;mso-width-percent:0;mso-height-percent:0" o:ole="">
                  <v:imagedata r:id="rId27" o:title=""/>
                </v:shape>
                <o:OLEObject Type="Embed" ProgID="Equation.3" ShapeID="_x0000_i1030" DrawAspect="Content" ObjectID="_1666445099" r:id="rId28"/>
              </w:object>
            </w:r>
            <w:r w:rsidRPr="00902581">
              <w:rPr>
                <w:i/>
              </w:rPr>
              <w:t xml:space="preserve">. </w:t>
            </w:r>
            <w:r w:rsidR="002663AA" w:rsidRPr="00902581">
              <w:rPr>
                <w:i/>
                <w:noProof/>
                <w:position w:val="-10"/>
              </w:rPr>
              <w:object w:dxaOrig="400" w:dyaOrig="300" w14:anchorId="75529BC5">
                <v:shape id="_x0000_i1031" type="#_x0000_t75" alt="" style="width:21.2pt;height:15pt;mso-width-percent:0;mso-height-percent:0;mso-width-percent:0;mso-height-percent:0" o:ole="">
                  <v:imagedata r:id="rId21" o:title=""/>
                </v:shape>
                <o:OLEObject Type="Embed" ProgID="Equation.3" ShapeID="_x0000_i1031" DrawAspect="Content" ObjectID="_1666445100"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lastRenderedPageBreak/>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lastRenderedPageBreak/>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w:t>
            </w:r>
            <w:proofErr w:type="spellStart"/>
            <w:r>
              <w:rPr>
                <w:rFonts w:eastAsia="Malgun Gothic"/>
                <w:lang w:eastAsia="ko-KR"/>
              </w:rPr>
              <w:t>ZTE</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spellStart"/>
      <w:proofErr w:type="gramStart"/>
      <w:r w:rsidR="006D7D9D" w:rsidRPr="006D7D9D">
        <w:rPr>
          <w:bCs/>
          <w:lang w:val="en-US"/>
        </w:rPr>
        <w:t>APT,</w:t>
      </w:r>
      <w:r w:rsidR="006D7D9D" w:rsidRPr="006D7D9D">
        <w:rPr>
          <w:rFonts w:eastAsia="Malgun Gothic" w:hint="eastAsia"/>
          <w:bCs/>
          <w:lang w:val="en-US" w:eastAsia="ko-KR"/>
        </w:rPr>
        <w:t>LG</w:t>
      </w:r>
      <w:proofErr w:type="spellEnd"/>
      <w:proofErr w:type="gramEnd"/>
      <w:r w:rsidR="006D7D9D" w:rsidRPr="006D7D9D">
        <w:rPr>
          <w:lang w:val="en-US"/>
        </w:rPr>
        <w:t xml:space="preserve">, </w:t>
      </w:r>
      <w:proofErr w:type="spellStart"/>
      <w:r w:rsidR="006D7D9D" w:rsidRPr="006D7D9D">
        <w:rPr>
          <w:rFonts w:eastAsia="Malgun Gothic" w:hint="eastAsia"/>
          <w:lang w:val="en-US" w:eastAsia="ko-KR"/>
        </w:rPr>
        <w:t>ETRI</w:t>
      </w:r>
      <w:proofErr w:type="spellEnd"/>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gramStart"/>
      <w:r w:rsidR="003F19D7">
        <w:rPr>
          <w:rFonts w:eastAsia="Malgun Gothic"/>
          <w:bCs/>
          <w:lang w:eastAsia="ko-KR"/>
        </w:rPr>
        <w:t>Sequans]</w:t>
      </w:r>
      <w:r w:rsidR="003F19D7">
        <w:rPr>
          <w:bCs/>
        </w:rPr>
        <w:t xml:space="preserve"> </w:t>
      </w:r>
      <w:r w:rsidR="003F19D7">
        <w:t xml:space="preserve"> </w:t>
      </w:r>
      <w:r>
        <w:t>we</w:t>
      </w:r>
      <w:proofErr w:type="gramEnd"/>
      <w:r>
        <w:t xml:space="preserve"> need to discuss f</w:t>
      </w:r>
      <w:r w:rsidRPr="005F4A39">
        <w:t xml:space="preserve">irst discuss proposal 1-4. </w:t>
      </w:r>
      <w:proofErr w:type="gramStart"/>
      <w:r>
        <w:t>Therefore</w:t>
      </w:r>
      <w:proofErr w:type="gramEnd"/>
      <w:r>
        <w:t xml:space="preserv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hint="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0C490F"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0C490F"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0C490F"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lastRenderedPageBreak/>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r>
              <w:rPr>
                <w:rFonts w:eastAsiaTheme="minorEastAsia" w:hint="eastAsia"/>
                <w:lang w:eastAsia="zh-CN"/>
              </w:rPr>
              <w:lastRenderedPageBreak/>
              <w:t>Spreadtrum</w:t>
            </w:r>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8"/>
              <w:spacing w:line="256" w:lineRule="auto"/>
            </w:pPr>
            <w:r>
              <w:rPr>
                <w:rFonts w:eastAsiaTheme="minorEastAsia"/>
                <w:lang w:eastAsia="zh-CN"/>
              </w:rPr>
              <w:t>Solution#2-2</w:t>
            </w:r>
          </w:p>
        </w:tc>
        <w:tc>
          <w:tcPr>
            <w:tcW w:w="2700" w:type="dxa"/>
          </w:tcPr>
          <w:p w14:paraId="1B0CB815" w14:textId="77777777" w:rsidR="008815CA" w:rsidRDefault="008815CA" w:rsidP="008E3CD7">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8"/>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8"/>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8"/>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8"/>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8"/>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8"/>
              <w:spacing w:line="256" w:lineRule="auto"/>
            </w:pPr>
            <w:r>
              <w:t xml:space="preserve">Fraunhofer IIS, </w:t>
            </w:r>
          </w:p>
          <w:p w14:paraId="6A157C66" w14:textId="31125E89" w:rsidR="003A01C6" w:rsidRDefault="003A01C6" w:rsidP="003A01C6">
            <w:pPr>
              <w:pStyle w:val="af8"/>
              <w:spacing w:line="256" w:lineRule="auto"/>
              <w:rPr>
                <w:rFonts w:eastAsia="Malgun Gothic"/>
                <w:lang w:eastAsia="ko-KR"/>
              </w:rPr>
            </w:pPr>
            <w:r>
              <w:t>Fraunhofer HHI</w:t>
            </w:r>
          </w:p>
        </w:tc>
        <w:tc>
          <w:tcPr>
            <w:tcW w:w="2790" w:type="dxa"/>
          </w:tcPr>
          <w:p w14:paraId="55524359" w14:textId="28C1861D" w:rsidR="003A01C6" w:rsidRDefault="003A01C6" w:rsidP="003A01C6">
            <w:pPr>
              <w:pStyle w:val="af8"/>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8"/>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8"/>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8"/>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8"/>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8"/>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8"/>
              <w:spacing w:line="256" w:lineRule="auto"/>
            </w:pPr>
            <w:r>
              <w:t>Nokia, Nokia Shanghai Bell</w:t>
            </w:r>
          </w:p>
        </w:tc>
        <w:tc>
          <w:tcPr>
            <w:tcW w:w="2790" w:type="dxa"/>
          </w:tcPr>
          <w:p w14:paraId="4825FB37" w14:textId="65BC3CA7" w:rsidR="008E3CD7" w:rsidRPr="005559DD" w:rsidRDefault="008E3CD7" w:rsidP="008E3CD7">
            <w:pPr>
              <w:pStyle w:val="af8"/>
              <w:spacing w:line="256" w:lineRule="auto"/>
            </w:pPr>
            <w:r>
              <w:t>We prefer #2-3 closed loop TA update in connected mode.</w:t>
            </w:r>
          </w:p>
        </w:tc>
        <w:tc>
          <w:tcPr>
            <w:tcW w:w="2700" w:type="dxa"/>
          </w:tcPr>
          <w:p w14:paraId="742345B1" w14:textId="016FBBCC" w:rsidR="008E3CD7" w:rsidRDefault="008E3CD7" w:rsidP="008E3CD7">
            <w:pPr>
              <w:pStyle w:val="af8"/>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af8"/>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8"/>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8"/>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8"/>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gNB should control the timing </w:t>
            </w:r>
            <w:r w:rsidRPr="00AF3F7B">
              <w:rPr>
                <w:lang w:val="en-US"/>
              </w:rPr>
              <w:lastRenderedPageBreak/>
              <w:t>adjustment behavior at UE side with timing drift.</w:t>
            </w:r>
          </w:p>
        </w:tc>
        <w:tc>
          <w:tcPr>
            <w:tcW w:w="2700" w:type="dxa"/>
          </w:tcPr>
          <w:p w14:paraId="1490FE0A" w14:textId="77777777" w:rsidR="007F5EDE" w:rsidRDefault="007F5EDE" w:rsidP="004110E0">
            <w:pPr>
              <w:pStyle w:val="af8"/>
              <w:spacing w:line="256" w:lineRule="auto"/>
              <w:rPr>
                <w:rFonts w:eastAsia="MS Mincho"/>
                <w:lang w:eastAsia="ja-JP"/>
              </w:rPr>
            </w:pPr>
            <w:r w:rsidRPr="3A0F8F2F">
              <w:rPr>
                <w:rFonts w:eastAsia="MS Mincho"/>
                <w:lang w:eastAsia="ja-JP"/>
              </w:rPr>
              <w:lastRenderedPageBreak/>
              <w:t>Solution #2-2</w:t>
            </w:r>
          </w:p>
          <w:p w14:paraId="196E7344" w14:textId="77777777" w:rsidR="007F5EDE" w:rsidRPr="00390831" w:rsidRDefault="007F5EDE" w:rsidP="004110E0">
            <w:pPr>
              <w:pStyle w:val="af8"/>
              <w:spacing w:line="256" w:lineRule="auto"/>
              <w:rPr>
                <w:rFonts w:eastAsia="MS Mincho"/>
                <w:lang w:eastAsia="ja-JP"/>
              </w:rPr>
            </w:pPr>
            <w:r>
              <w:rPr>
                <w:rFonts w:eastAsia="MS Mincho" w:hint="eastAsia"/>
                <w:lang w:eastAsia="ja-JP"/>
              </w:rPr>
              <w:t>T</w:t>
            </w:r>
            <w:r>
              <w:rPr>
                <w:rFonts w:eastAsia="MS Mincho"/>
                <w:lang w:eastAsia="ja-JP"/>
              </w:rPr>
              <w:t xml:space="preserve">iming drift correction should be introduced for solution #2-2. This correction can be improved the performance if UE cannot estimate the propagation delay variation </w:t>
            </w:r>
            <w:r>
              <w:rPr>
                <w:rFonts w:eastAsia="MS Mincho"/>
                <w:lang w:eastAsia="ja-JP"/>
              </w:rPr>
              <w:lastRenderedPageBreak/>
              <w:t>without GNSS and or inaccurate case.</w:t>
            </w:r>
          </w:p>
        </w:tc>
        <w:tc>
          <w:tcPr>
            <w:tcW w:w="2970" w:type="dxa"/>
          </w:tcPr>
          <w:p w14:paraId="3D48C2EE" w14:textId="77777777" w:rsidR="007F5EDE" w:rsidRPr="00902581" w:rsidRDefault="007F5EDE" w:rsidP="004110E0">
            <w:pPr>
              <w:pStyle w:val="af8"/>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8"/>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8"/>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8"/>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8"/>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8"/>
              <w:spacing w:line="256" w:lineRule="auto"/>
              <w:rPr>
                <w:rFonts w:eastAsiaTheme="minorEastAsia"/>
                <w:lang w:eastAsia="zh-CN"/>
              </w:rPr>
            </w:pPr>
          </w:p>
        </w:tc>
        <w:tc>
          <w:tcPr>
            <w:tcW w:w="2790" w:type="dxa"/>
          </w:tcPr>
          <w:p w14:paraId="2D12AA1C" w14:textId="77777777" w:rsidR="004110E0" w:rsidRDefault="004110E0" w:rsidP="004110E0">
            <w:pPr>
              <w:pStyle w:val="af8"/>
              <w:spacing w:line="256" w:lineRule="auto"/>
              <w:rPr>
                <w:rFonts w:eastAsia="MS Mincho"/>
                <w:lang w:eastAsia="ja-JP"/>
              </w:rPr>
            </w:pPr>
          </w:p>
        </w:tc>
        <w:tc>
          <w:tcPr>
            <w:tcW w:w="2700" w:type="dxa"/>
          </w:tcPr>
          <w:p w14:paraId="4014CC10" w14:textId="77777777" w:rsidR="004110E0" w:rsidRDefault="004110E0" w:rsidP="004110E0">
            <w:pPr>
              <w:pStyle w:val="af8"/>
              <w:spacing w:line="256" w:lineRule="auto"/>
              <w:rPr>
                <w:rFonts w:eastAsiaTheme="minorEastAsia"/>
                <w:lang w:eastAsia="zh-CN"/>
              </w:rPr>
            </w:pPr>
          </w:p>
        </w:tc>
        <w:tc>
          <w:tcPr>
            <w:tcW w:w="2970" w:type="dxa"/>
          </w:tcPr>
          <w:p w14:paraId="78E55E1F" w14:textId="77777777" w:rsidR="004110E0" w:rsidRDefault="004110E0" w:rsidP="004110E0">
            <w:pPr>
              <w:pStyle w:val="af8"/>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8"/>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8"/>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8"/>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8"/>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8"/>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8"/>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8"/>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8"/>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8"/>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8"/>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8"/>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8"/>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8"/>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8"/>
              <w:spacing w:line="252" w:lineRule="auto"/>
            </w:pPr>
            <w:r>
              <w:t>Apple</w:t>
            </w:r>
          </w:p>
          <w:p w14:paraId="1A0D50C5" w14:textId="3795AF31" w:rsidR="00545ACC" w:rsidRDefault="00545ACC" w:rsidP="0081166B">
            <w:pPr>
              <w:pStyle w:val="af8"/>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8"/>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8"/>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8"/>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8"/>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8"/>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8"/>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lastRenderedPageBreak/>
              <w:t>Revised proposal</w:t>
            </w:r>
            <w:r w:rsidRPr="009C16E2">
              <w:rPr>
                <w:rFonts w:eastAsiaTheme="minorEastAsia"/>
                <w:b/>
                <w:lang w:eastAsia="zh-CN"/>
              </w:rPr>
              <w:t xml:space="preserve">: Support Combined Open and closed loop where </w:t>
            </w:r>
          </w:p>
          <w:p w14:paraId="2365C0AF" w14:textId="1BA44457" w:rsidR="009C16E2" w:rsidRPr="009C16E2" w:rsidRDefault="000C490F" w:rsidP="009C16E2">
            <w:pPr>
              <w:pStyle w:val="af8"/>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8"/>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lastRenderedPageBreak/>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hint="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0C490F" w:rsidRPr="00902581" w14:paraId="254FCCA9" w14:textId="77777777" w:rsidTr="00131678">
        <w:tc>
          <w:tcPr>
            <w:tcW w:w="932" w:type="pct"/>
          </w:tcPr>
          <w:p w14:paraId="1431503D" w14:textId="77777777" w:rsidR="000C490F" w:rsidRPr="000C490F" w:rsidRDefault="000C490F" w:rsidP="00027F27">
            <w:pPr>
              <w:rPr>
                <w:rFonts w:eastAsiaTheme="minorEastAsia"/>
                <w:lang w:eastAsia="zh-CN"/>
              </w:rPr>
            </w:pPr>
          </w:p>
        </w:tc>
        <w:tc>
          <w:tcPr>
            <w:tcW w:w="4068" w:type="pct"/>
          </w:tcPr>
          <w:p w14:paraId="42DFF892" w14:textId="77777777" w:rsidR="000C490F" w:rsidRPr="006069ED" w:rsidRDefault="000C490F" w:rsidP="00027F27">
            <w:pPr>
              <w:adjustRightInd w:val="0"/>
              <w:snapToGrid w:val="0"/>
              <w:spacing w:after="120"/>
              <w:rPr>
                <w:rFonts w:eastAsiaTheme="minorEastAsia" w:hint="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lastRenderedPageBreak/>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lastRenderedPageBreak/>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 xml:space="preserve">/Inactive </w:t>
            </w:r>
            <w:proofErr w:type="spellStart"/>
            <w:r w:rsidRPr="00054C98">
              <w:rPr>
                <w:rFonts w:eastAsia="Malgun Gothic"/>
                <w:lang w:eastAsia="ko-KR"/>
              </w:rPr>
              <w:t>UEs</w:t>
            </w:r>
            <w:proofErr w:type="spellEnd"/>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lastRenderedPageBreak/>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f"/>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f"/>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lastRenderedPageBreak/>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f"/>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f"/>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f"/>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f"/>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lastRenderedPageBreak/>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f"/>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f"/>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f"/>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f"/>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f"/>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f"/>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f"/>
              <w:numPr>
                <w:ilvl w:val="0"/>
                <w:numId w:val="47"/>
              </w:numPr>
              <w:rPr>
                <w:rFonts w:eastAsia="Times New Roman"/>
              </w:rPr>
            </w:pPr>
            <w:r w:rsidRPr="00D76715">
              <w:lastRenderedPageBreak/>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 xml:space="preserve">If the satellite is time and frequency reference point, then UL signals will be time and frequency aligned and received at nominal UL frequency at satellite RX. Then all time slots </w:t>
            </w:r>
            <w:r w:rsidRPr="00902581">
              <w:lastRenderedPageBreak/>
              <w:t>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w:t>
      </w:r>
      <w:r w:rsidRPr="00902581">
        <w:lastRenderedPageBreak/>
        <w:t>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lastRenderedPageBreak/>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f"/>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f"/>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f"/>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lastRenderedPageBreak/>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lastRenderedPageBreak/>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lastRenderedPageBreak/>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lastRenderedPageBreak/>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i)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lastRenderedPageBreak/>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lastRenderedPageBreak/>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f"/>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f"/>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f"/>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f"/>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f"/>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f"/>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f"/>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lastRenderedPageBreak/>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f"/>
              <w:numPr>
                <w:ilvl w:val="0"/>
                <w:numId w:val="49"/>
              </w:numPr>
              <w:rPr>
                <w:rFonts w:eastAsia="Times New Roman"/>
              </w:rPr>
            </w:pPr>
            <w:r>
              <w:t>D or B</w:t>
            </w:r>
          </w:p>
          <w:p w14:paraId="3A51E3B2" w14:textId="77777777" w:rsidR="008E3CD7" w:rsidRPr="00902581" w:rsidRDefault="008E3CD7" w:rsidP="00346025">
            <w:pPr>
              <w:pStyle w:val="aff"/>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hint="eastAsia"/>
                <w:lang w:eastAsia="zh-CN"/>
              </w:rPr>
            </w:pPr>
            <w:r w:rsidRPr="003D0536">
              <w:rPr>
                <w:b/>
                <w:lang w:eastAsia="x-none"/>
              </w:rPr>
              <w:t xml:space="preserve">An NR NTN UE in </w:t>
            </w:r>
            <w:proofErr w:type="spellStart"/>
            <w:r w:rsidRPr="003D0536">
              <w:rPr>
                <w:b/>
                <w:lang w:eastAsia="x-none"/>
              </w:rPr>
              <w:t>RRC_IDLE</w:t>
            </w:r>
            <w:proofErr w:type="spellEnd"/>
            <w:r w:rsidRPr="003D0536">
              <w:rPr>
                <w:b/>
                <w:lang w:eastAsia="x-none"/>
              </w:rPr>
              <w:t xml:space="preserve"> and </w:t>
            </w:r>
            <w:proofErr w:type="spellStart"/>
            <w:r w:rsidRPr="003D0536">
              <w:rPr>
                <w:b/>
                <w:lang w:eastAsia="x-none"/>
              </w:rPr>
              <w:t>RRC_INACTIVE</w:t>
            </w:r>
            <w:proofErr w:type="spellEnd"/>
            <w:r w:rsidRPr="003D0536">
              <w:rPr>
                <w:b/>
                <w:lang w:eastAsia="x-none"/>
              </w:rPr>
              <w:t xml:space="preserve"> states shall be capable of at least using its acquired GNSS position and satellite ephemeris to calculate frequency pre-compensation to counter shift the Doppler experienced on the service link.</w:t>
            </w: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lastRenderedPageBreak/>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lastRenderedPageBreak/>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lastRenderedPageBreak/>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lastRenderedPageBreak/>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hint="eastAsia"/>
                <w:lang w:eastAsia="zh-CN"/>
              </w:rPr>
            </w:pPr>
            <w:r>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8" w:name="_Toc55490735"/>
      <w:r w:rsidRPr="00902581">
        <w:rPr>
          <w:rFonts w:ascii="Times New Roman" w:hAnsi="Times New Roman"/>
        </w:rPr>
        <w:lastRenderedPageBreak/>
        <w:t>Serving satellite ephemeris</w:t>
      </w:r>
      <w:bookmarkEnd w:id="28"/>
    </w:p>
    <w:p w14:paraId="5BDA2413" w14:textId="77777777" w:rsidR="004E2835" w:rsidRPr="00902581" w:rsidRDefault="00CF499D" w:rsidP="00902581">
      <w:pPr>
        <w:pStyle w:val="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30"/>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f"/>
        <w:numPr>
          <w:ilvl w:val="0"/>
          <w:numId w:val="19"/>
        </w:numPr>
      </w:pPr>
      <w:r w:rsidRPr="00902581">
        <w:t xml:space="preserve">Orbital elements: e.g., (a, e, ω, Ω, i, M0) </w:t>
      </w:r>
    </w:p>
    <w:p w14:paraId="1A9A40B0" w14:textId="77777777" w:rsidR="009F7567" w:rsidRPr="00902581" w:rsidRDefault="009F7567" w:rsidP="00346025">
      <w:pPr>
        <w:pStyle w:val="aff"/>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lastRenderedPageBreak/>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lastRenderedPageBreak/>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f"/>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f"/>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lastRenderedPageBreak/>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8"/>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8"/>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8"/>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8"/>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8"/>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8"/>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8"/>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8"/>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af8"/>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8"/>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8"/>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8"/>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8"/>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w:t>
            </w:r>
            <w:r>
              <w:lastRenderedPageBreak/>
              <w:t xml:space="preserve">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lastRenderedPageBreak/>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lastRenderedPageBreak/>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f2"/>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 xml:space="preserve">HAPS and </w:t>
            </w:r>
            <w:proofErr w:type="spellStart"/>
            <w:r w:rsidRPr="0004715D">
              <w:rPr>
                <w:rFonts w:eastAsiaTheme="minorEastAsia"/>
                <w:lang w:eastAsia="zh-CN"/>
              </w:rPr>
              <w:t>ATG</w:t>
            </w:r>
            <w:proofErr w:type="spellEnd"/>
            <w:r w:rsidRPr="0004715D">
              <w:rPr>
                <w:rFonts w:eastAsiaTheme="minorEastAsia"/>
                <w:lang w:eastAsia="zh-CN"/>
              </w:rPr>
              <w:t xml:space="preserve"> scenarios</w:t>
            </w:r>
            <w:r>
              <w:rPr>
                <w:rFonts w:eastAsiaTheme="minorEastAsia"/>
                <w:lang w:eastAsia="zh-CN"/>
              </w:rPr>
              <w:t xml:space="preserve"> can NOT be supported in the case of </w:t>
            </w:r>
            <w:proofErr w:type="gramStart"/>
            <w:r>
              <w:rPr>
                <w:rFonts w:eastAsiaTheme="minorEastAsia"/>
                <w:lang w:eastAsia="zh-CN"/>
              </w:rPr>
              <w:t>time-stamp</w:t>
            </w:r>
            <w:proofErr w:type="gramEnd"/>
            <w:r>
              <w:rPr>
                <w:rFonts w:eastAsiaTheme="minorEastAsia"/>
                <w:lang w:eastAsia="zh-CN"/>
              </w:rPr>
              <w:t xml:space="preserve">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 xml:space="preserve">Compatibility with a potential unified ephemeris format to be used for other purposes (e.g. </w:t>
            </w:r>
            <w:proofErr w:type="spellStart"/>
            <w:r w:rsidRPr="00501478">
              <w:rPr>
                <w:rFonts w:eastAsiaTheme="minorEastAsia"/>
                <w:lang w:eastAsia="zh-CN"/>
              </w:rPr>
              <w:t>RRM</w:t>
            </w:r>
            <w:proofErr w:type="spellEnd"/>
            <w:r w:rsidRPr="00501478">
              <w:rPr>
                <w:rFonts w:eastAsiaTheme="minorEastAsia"/>
                <w:lang w:eastAsia="zh-CN"/>
              </w:rPr>
              <w:t xml:space="preserve">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proofErr w:type="gramStart"/>
            <w:r>
              <w:rPr>
                <w:rFonts w:eastAsiaTheme="minorEastAsia" w:hint="eastAsia"/>
                <w:bCs/>
                <w:iCs/>
                <w:lang w:eastAsia="zh-CN"/>
              </w:rPr>
              <w:t>S</w:t>
            </w:r>
            <w:r>
              <w:rPr>
                <w:rFonts w:eastAsiaTheme="minorEastAsia"/>
                <w:bCs/>
                <w:iCs/>
                <w:lang w:eastAsia="zh-CN"/>
              </w:rPr>
              <w:t>o</w:t>
            </w:r>
            <w:proofErr w:type="gramEnd"/>
            <w:r>
              <w:rPr>
                <w:rFonts w:eastAsiaTheme="minorEastAsia"/>
                <w:bCs/>
                <w:iCs/>
                <w:lang w:eastAsia="zh-CN"/>
              </w:rPr>
              <w:t xml:space="preserve">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hint="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3" w:name="_Toc55490740"/>
      <w:r w:rsidRPr="00902581">
        <w:rPr>
          <w:rFonts w:ascii="Times New Roman" w:hAnsi="Times New Roman"/>
        </w:rPr>
        <w:lastRenderedPageBreak/>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30"/>
      </w:pPr>
      <w:bookmarkStart w:id="36" w:name="_Toc55490742"/>
      <w:r w:rsidRPr="00902581">
        <w:t>Background</w:t>
      </w:r>
      <w:bookmarkEnd w:id="36"/>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0C490F"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0C490F"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0C490F"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0C490F"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0C490F"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w:t>
      </w:r>
      <w:proofErr w:type="spellStart"/>
      <w:r w:rsidR="00C13F67" w:rsidRPr="00902581">
        <w:t>RAN4</w:t>
      </w:r>
      <w:proofErr w:type="spellEnd"/>
      <w:r w:rsidR="00C13F67" w:rsidRPr="00902581">
        <w:t xml:space="preserve">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w:t>
            </w:r>
            <w:r w:rsidRPr="00902581">
              <w:lastRenderedPageBreak/>
              <w:t>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lastRenderedPageBreak/>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lastRenderedPageBreak/>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30"/>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lastRenderedPageBreak/>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lastRenderedPageBreak/>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lastRenderedPageBreak/>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f"/>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f"/>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lastRenderedPageBreak/>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f"/>
              <w:numPr>
                <w:ilvl w:val="0"/>
                <w:numId w:val="27"/>
              </w:numPr>
            </w:pPr>
            <w:r>
              <w:t>Initial access</w:t>
            </w:r>
          </w:p>
          <w:p w14:paraId="306A3B71" w14:textId="77777777" w:rsidR="00E754B9" w:rsidRDefault="00E754B9" w:rsidP="00346025">
            <w:pPr>
              <w:pStyle w:val="aff"/>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3" w:name="_Ref55490160"/>
      <w:bookmarkStart w:id="44" w:name="_Toc55490748"/>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lastRenderedPageBreak/>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5" w:name="_Toc55490749"/>
      <w:r w:rsidRPr="00902581">
        <w:t>Issue#</w:t>
      </w:r>
      <w:r w:rsidR="00AF5378" w:rsidRPr="00902581">
        <w:t>8</w:t>
      </w:r>
      <w:r w:rsidR="00277408" w:rsidRPr="00902581">
        <w:t>: UL frequency synchronization requirements</w:t>
      </w:r>
      <w:bookmarkEnd w:id="45"/>
    </w:p>
    <w:p w14:paraId="7EEB920C" w14:textId="77777777" w:rsidR="00277408" w:rsidRPr="00902581" w:rsidRDefault="00277408" w:rsidP="00277408">
      <w:pPr>
        <w:pStyle w:val="30"/>
      </w:pPr>
      <w:bookmarkStart w:id="46" w:name="_Toc55490750"/>
      <w:r w:rsidRPr="00902581">
        <w:t>Background</w:t>
      </w:r>
      <w:bookmarkEnd w:id="46"/>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0C490F"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8"/>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8"/>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w:t>
            </w:r>
            <w:r w:rsidRPr="00902581">
              <w:lastRenderedPageBreak/>
              <w:t xml:space="preserve">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15pt;height:11.5pt;mso-width-percent:0;mso-height-percent:0;mso-width-percent:0;mso-height-percent:0" o:ole="">
                  <v:imagedata r:id="rId37" o:title=""/>
                </v:shape>
                <o:OLEObject Type="Embed" ProgID="Equation.3" ShapeID="_x0000_i1032" DrawAspect="Content" ObjectID="_1666445101" r:id="rId38"/>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24"/>
              </w:rPr>
              <w:object w:dxaOrig="1240" w:dyaOrig="630" w14:anchorId="17162876">
                <v:shape id="_x0000_i1033" type="#_x0000_t75" alt="" style="width:62.3pt;height:32.25pt;mso-width-percent:0;mso-height-percent:0;mso-width-percent:0;mso-height-percent:0" o:ole="">
                  <v:imagedata r:id="rId39" o:title=""/>
                </v:shape>
                <o:OLEObject Type="Embed" ProgID="Equation.3" ShapeID="_x0000_i1033" DrawAspect="Content" ObjectID="_1666445102" r:id="rId40"/>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9.3pt;height:11.95pt;mso-width-percent:0;mso-height-percent:0;mso-width-percent:0;mso-height-percent:0" o:ole="">
                  <v:imagedata r:id="rId41" o:title=""/>
                </v:shape>
                <o:OLEObject Type="Embed" ProgID="Equation.3" ShapeID="_x0000_i1034" DrawAspect="Content" ObjectID="_1666445103" r:id="rId42"/>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35" type="#_x0000_t75" alt="" style="width:31.8pt;height:19pt;mso-width-percent:0;mso-height-percent:0;mso-width-percent:0;mso-height-percent:0" o:ole="">
                  <v:imagedata r:id="rId43" o:title=""/>
                </v:shape>
                <o:OLEObject Type="Embed" ProgID="Equation.3" ShapeID="_x0000_i1035" DrawAspect="Content" ObjectID="_1666445104" r:id="rId44"/>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30"/>
              </w:rPr>
              <w:object w:dxaOrig="3530" w:dyaOrig="690" w14:anchorId="71FC92A7">
                <v:shape id="_x0000_i1036" type="#_x0000_t75" alt="" style="width:176.25pt;height:35.35pt;mso-width-percent:0;mso-height-percent:0;mso-width-percent:0;mso-height-percent:0" o:ole="">
                  <v:imagedata r:id="rId45" o:title=""/>
                </v:shape>
                <o:OLEObject Type="Embed" ProgID="Equation.3" ShapeID="_x0000_i1036" DrawAspect="Content" ObjectID="_1666445105" r:id="rId46"/>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9.7pt;height:15.45pt;mso-width-percent:0;mso-height-percent:0;mso-width-percent:0;mso-height-percent:0" o:ole="">
                  <v:imagedata r:id="rId47" o:title=""/>
                </v:shape>
                <o:OLEObject Type="Embed" ProgID="Equation.3" ShapeID="_x0000_i1037" DrawAspect="Content" ObjectID="_1666445106" r:id="rId48"/>
              </w:object>
            </w:r>
            <w:r w:rsidRPr="00902581">
              <w:t xml:space="preserve"> is the carrier frequency and </w:t>
            </w:r>
            <w:r w:rsidR="002663AA" w:rsidRPr="00902581">
              <w:rPr>
                <w:noProof/>
              </w:rPr>
              <w:object w:dxaOrig="155" w:dyaOrig="190" w14:anchorId="21E62690">
                <v:shape id="_x0000_i1038" type="#_x0000_t75" alt="" style="width:8.85pt;height:9.3pt;mso-width-percent:0;mso-height-percent:0;mso-width-percent:0;mso-height-percent:0" o:ole="">
                  <v:imagedata r:id="rId49" o:title=""/>
                </v:shape>
                <o:OLEObject Type="Embed" ProgID="Equation.3" ShapeID="_x0000_i1038" DrawAspect="Content" ObjectID="_1666445107"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lastRenderedPageBreak/>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w:t>
            </w:r>
            <w:proofErr w:type="spellStart"/>
            <w:r w:rsidRPr="00902581">
              <w:t>R+2∆D</w:t>
            </w:r>
            <w:proofErr w:type="spellEnd"/>
            <w:r w:rsidRPr="00902581">
              <w:t xml:space="preserve">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7" w:name="_Toc55490751"/>
      <w:r w:rsidRPr="00902581">
        <w:t>Companies views</w:t>
      </w:r>
      <w:bookmarkEnd w:id="47"/>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lastRenderedPageBreak/>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lastRenderedPageBreak/>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8" w:name="_Toc55490752"/>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8"/>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9" w:name="_Toc55490753"/>
      <w:r w:rsidRPr="00902581">
        <w:rPr>
          <w:rFonts w:ascii="Times New Roman" w:hAnsi="Times New Roman"/>
        </w:rPr>
        <w:t>Other issues</w:t>
      </w:r>
      <w:bookmarkEnd w:id="49"/>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0"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0"/>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proofErr w:type="spellStart"/>
          <w:r w:rsidRPr="00902581">
            <w:lastRenderedPageBreak/>
            <w:t>R1</w:t>
          </w:r>
          <w:proofErr w:type="spellEnd"/>
          <w:r w:rsidRPr="00902581">
            <w:t>-2009292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proofErr w:type="spellStart"/>
          <w:r w:rsidRPr="00902581">
            <w:t>R1</w:t>
          </w:r>
          <w:proofErr w:type="spellEnd"/>
          <w:r w:rsidRPr="00902581">
            <w:t>-2009117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957E" w14:textId="77777777" w:rsidR="00F6398C" w:rsidRDefault="00F6398C">
      <w:r>
        <w:separator/>
      </w:r>
    </w:p>
  </w:endnote>
  <w:endnote w:type="continuationSeparator" w:id="0">
    <w:p w14:paraId="1BF0160A" w14:textId="77777777" w:rsidR="00F6398C" w:rsidRDefault="00F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492984DF" w:rsidR="001532E6" w:rsidRDefault="001532E6"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974575">
      <w:rPr>
        <w:rStyle w:val="aff6"/>
      </w:rPr>
      <w:t>81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974575">
      <w:rPr>
        <w:rStyle w:val="aff6"/>
      </w:rPr>
      <w:t>83</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89C71" w14:textId="77777777" w:rsidR="00F6398C" w:rsidRDefault="00F6398C">
      <w:r>
        <w:separator/>
      </w:r>
    </w:p>
  </w:footnote>
  <w:footnote w:type="continuationSeparator" w:id="0">
    <w:p w14:paraId="1A265561" w14:textId="77777777" w:rsidR="00F6398C" w:rsidRDefault="00F6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1532E6" w:rsidRDefault="001532E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3.wmf"/><Relationship Id="rId21" Type="http://schemas.openxmlformats.org/officeDocument/2006/relationships/image" Target="media/image7.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7.wmf"/><Relationship Id="rId50" Type="http://schemas.openxmlformats.org/officeDocument/2006/relationships/oleObject" Target="embeddings/oleObject13.bin"/><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5.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4.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CCF3AF79-8998-4BC3-956C-6B507C0E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85</Pages>
  <Words>33540</Words>
  <Characters>182275</Characters>
  <Application>Microsoft Office Word</Application>
  <DocSecurity>0</DocSecurity>
  <Lines>1518</Lines>
  <Paragraphs>430</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215385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Ke Ting</cp:lastModifiedBy>
  <cp:revision>10</cp:revision>
  <cp:lastPrinted>2017-11-03T16:53:00Z</cp:lastPrinted>
  <dcterms:created xsi:type="dcterms:W3CDTF">2020-11-09T04:23:00Z</dcterms:created>
  <dcterms:modified xsi:type="dcterms:W3CDTF">2020-11-09T07:51:00Z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