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490710" w:history="1">
            <w:r w:rsidR="00455DCC" w:rsidRPr="00AC643A">
              <w:rPr>
                <w:rStyle w:val="Hyperlink"/>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1532E6">
          <w:pPr>
            <w:pStyle w:val="TOC1"/>
            <w:rPr>
              <w:rFonts w:asciiTheme="minorHAnsi" w:eastAsiaTheme="minorEastAsia" w:hAnsiTheme="minorHAnsi" w:cstheme="minorBidi"/>
              <w:szCs w:val="22"/>
              <w:lang w:val="fr-FR" w:eastAsia="fr-FR"/>
            </w:rPr>
          </w:pPr>
          <w:hyperlink w:anchor="_Toc55490711" w:history="1">
            <w:r w:rsidR="00455DCC" w:rsidRPr="00AC643A">
              <w:rPr>
                <w:rStyle w:val="Hyperlink"/>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1532E6">
          <w:pPr>
            <w:pStyle w:val="TOC1"/>
            <w:rPr>
              <w:rFonts w:asciiTheme="minorHAnsi" w:eastAsiaTheme="minorEastAsia" w:hAnsiTheme="minorHAnsi" w:cstheme="minorBidi"/>
              <w:szCs w:val="22"/>
              <w:lang w:val="fr-FR" w:eastAsia="fr-FR"/>
            </w:rPr>
          </w:pPr>
          <w:hyperlink w:anchor="_Toc55490712" w:history="1">
            <w:r w:rsidR="00455DCC" w:rsidRPr="00AC643A">
              <w:rPr>
                <w:rStyle w:val="Hyperlink"/>
              </w:rPr>
              <w:t>1</w:t>
            </w:r>
            <w:r w:rsidR="00455DCC">
              <w:rPr>
                <w:rFonts w:asciiTheme="minorHAnsi" w:eastAsiaTheme="minorEastAsia" w:hAnsiTheme="minorHAnsi" w:cstheme="minorBidi"/>
                <w:szCs w:val="22"/>
                <w:lang w:val="fr-FR" w:eastAsia="fr-FR"/>
              </w:rPr>
              <w:tab/>
            </w:r>
            <w:r w:rsidR="00455DCC" w:rsidRPr="00AC643A">
              <w:rPr>
                <w:rStyle w:val="Hyperlink"/>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1532E6">
          <w:pPr>
            <w:pStyle w:val="TOC2"/>
            <w:rPr>
              <w:rFonts w:asciiTheme="minorHAnsi" w:eastAsiaTheme="minorEastAsia" w:hAnsiTheme="minorHAnsi" w:cstheme="minorBidi"/>
              <w:sz w:val="22"/>
              <w:szCs w:val="22"/>
              <w:lang w:val="fr-FR" w:eastAsia="fr-FR"/>
            </w:rPr>
          </w:pPr>
          <w:hyperlink w:anchor="_Toc55490713" w:history="1">
            <w:r w:rsidR="00455DCC" w:rsidRPr="00AC643A">
              <w:rPr>
                <w:rStyle w:val="Hyperlink"/>
              </w:rPr>
              <w:t>1.1</w:t>
            </w:r>
            <w:r w:rsidR="00455DCC">
              <w:rPr>
                <w:rFonts w:asciiTheme="minorHAnsi" w:eastAsiaTheme="minorEastAsia" w:hAnsiTheme="minorHAnsi" w:cstheme="minorBidi"/>
                <w:sz w:val="22"/>
                <w:szCs w:val="22"/>
                <w:lang w:val="fr-FR" w:eastAsia="fr-FR"/>
              </w:rPr>
              <w:tab/>
            </w:r>
            <w:r w:rsidR="00455DCC" w:rsidRPr="00AC643A">
              <w:rPr>
                <w:rStyle w:val="Hyperlink"/>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1532E6">
          <w:pPr>
            <w:pStyle w:val="TOC3"/>
            <w:rPr>
              <w:rFonts w:asciiTheme="minorHAnsi" w:eastAsiaTheme="minorEastAsia" w:hAnsiTheme="minorHAnsi" w:cstheme="minorBidi"/>
              <w:sz w:val="22"/>
              <w:szCs w:val="22"/>
              <w:lang w:val="fr-FR" w:eastAsia="fr-FR"/>
            </w:rPr>
          </w:pPr>
          <w:hyperlink w:anchor="_Toc55490714" w:history="1">
            <w:r w:rsidR="00455DCC" w:rsidRPr="00AC643A">
              <w:rPr>
                <w:rStyle w:val="Hyperlink"/>
              </w:rPr>
              <w:t>1.1.1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1532E6">
          <w:pPr>
            <w:pStyle w:val="TOC3"/>
            <w:rPr>
              <w:rFonts w:asciiTheme="minorHAnsi" w:eastAsiaTheme="minorEastAsia" w:hAnsiTheme="minorHAnsi" w:cstheme="minorBidi"/>
              <w:sz w:val="22"/>
              <w:szCs w:val="22"/>
              <w:lang w:val="fr-FR" w:eastAsia="fr-FR"/>
            </w:rPr>
          </w:pPr>
          <w:hyperlink w:anchor="_Toc55490715" w:history="1">
            <w:r w:rsidR="00455DCC" w:rsidRPr="00AC643A">
              <w:rPr>
                <w:rStyle w:val="Hyperlink"/>
              </w:rPr>
              <w:t>1.1.2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1532E6">
          <w:pPr>
            <w:pStyle w:val="TOC3"/>
            <w:rPr>
              <w:rFonts w:asciiTheme="minorHAnsi" w:eastAsiaTheme="minorEastAsia" w:hAnsiTheme="minorHAnsi" w:cstheme="minorBidi"/>
              <w:sz w:val="22"/>
              <w:szCs w:val="22"/>
              <w:lang w:val="fr-FR" w:eastAsia="fr-FR"/>
            </w:rPr>
          </w:pPr>
          <w:hyperlink w:anchor="_Toc55490716" w:history="1">
            <w:r w:rsidR="00455DCC" w:rsidRPr="00AC643A">
              <w:rPr>
                <w:rStyle w:val="Hyperlink"/>
                <w:lang w:val="en-US"/>
              </w:rPr>
              <w:t>1.1.3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1532E6">
          <w:pPr>
            <w:pStyle w:val="TOC3"/>
            <w:rPr>
              <w:rFonts w:asciiTheme="minorHAnsi" w:eastAsiaTheme="minorEastAsia" w:hAnsiTheme="minorHAnsi" w:cstheme="minorBidi"/>
              <w:sz w:val="22"/>
              <w:szCs w:val="22"/>
              <w:lang w:val="fr-FR" w:eastAsia="fr-FR"/>
            </w:rPr>
          </w:pPr>
          <w:hyperlink w:anchor="_Toc55490717" w:history="1">
            <w:r w:rsidR="00455DCC" w:rsidRPr="00AC643A">
              <w:rPr>
                <w:rStyle w:val="Hyperlink"/>
              </w:rPr>
              <w:t>1.1.4</w:t>
            </w:r>
            <w:r w:rsidR="00455DCC">
              <w:rPr>
                <w:rFonts w:asciiTheme="minorHAnsi" w:eastAsiaTheme="minorEastAsia" w:hAnsiTheme="minorHAnsi" w:cstheme="minorBidi"/>
                <w:sz w:val="22"/>
                <w:szCs w:val="22"/>
                <w:lang w:val="fr-FR" w:eastAsia="fr-FR"/>
              </w:rPr>
              <w:tab/>
            </w:r>
            <w:r w:rsidR="00455DCC" w:rsidRPr="00AC643A">
              <w:rPr>
                <w:rStyle w:val="Hyperlink"/>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1532E6">
          <w:pPr>
            <w:pStyle w:val="TOC3"/>
            <w:rPr>
              <w:rFonts w:asciiTheme="minorHAnsi" w:eastAsiaTheme="minorEastAsia" w:hAnsiTheme="minorHAnsi" w:cstheme="minorBidi"/>
              <w:sz w:val="22"/>
              <w:szCs w:val="22"/>
              <w:lang w:val="fr-FR" w:eastAsia="fr-FR"/>
            </w:rPr>
          </w:pPr>
          <w:hyperlink w:anchor="_Toc55490718" w:history="1">
            <w:r w:rsidR="00455DCC" w:rsidRPr="00AC643A">
              <w:rPr>
                <w:rStyle w:val="Hyperlink"/>
              </w:rPr>
              <w:t>1.1.5</w:t>
            </w:r>
            <w:r w:rsidR="00455DCC">
              <w:rPr>
                <w:rFonts w:asciiTheme="minorHAnsi" w:eastAsiaTheme="minorEastAsia" w:hAnsiTheme="minorHAnsi" w:cstheme="minorBidi"/>
                <w:sz w:val="22"/>
                <w:szCs w:val="22"/>
                <w:lang w:val="fr-FR" w:eastAsia="fr-FR"/>
              </w:rPr>
              <w:tab/>
            </w:r>
            <w:r w:rsidR="00455DCC" w:rsidRPr="00AC643A">
              <w:rPr>
                <w:rStyle w:val="Hyperlink"/>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1532E6">
          <w:pPr>
            <w:pStyle w:val="TOC3"/>
            <w:rPr>
              <w:rFonts w:asciiTheme="minorHAnsi" w:eastAsiaTheme="minorEastAsia" w:hAnsiTheme="minorHAnsi" w:cstheme="minorBidi"/>
              <w:sz w:val="22"/>
              <w:szCs w:val="22"/>
              <w:lang w:val="fr-FR" w:eastAsia="fr-FR"/>
            </w:rPr>
          </w:pPr>
          <w:hyperlink w:anchor="_Toc55490719" w:history="1">
            <w:r w:rsidR="00455DCC" w:rsidRPr="00AC643A">
              <w:rPr>
                <w:rStyle w:val="Hyperlink"/>
              </w:rPr>
              <w:t>1.1.6</w:t>
            </w:r>
            <w:r w:rsidR="00455DCC">
              <w:rPr>
                <w:rFonts w:asciiTheme="minorHAnsi" w:eastAsiaTheme="minorEastAsia" w:hAnsiTheme="minorHAnsi" w:cstheme="minorBidi"/>
                <w:sz w:val="22"/>
                <w:szCs w:val="22"/>
                <w:lang w:val="fr-FR" w:eastAsia="fr-FR"/>
              </w:rPr>
              <w:tab/>
            </w:r>
            <w:r w:rsidR="00455DCC" w:rsidRPr="00AC643A">
              <w:rPr>
                <w:rStyle w:val="Hyperlink"/>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1532E6">
          <w:pPr>
            <w:pStyle w:val="TOC2"/>
            <w:rPr>
              <w:rFonts w:asciiTheme="minorHAnsi" w:eastAsiaTheme="minorEastAsia" w:hAnsiTheme="minorHAnsi" w:cstheme="minorBidi"/>
              <w:sz w:val="22"/>
              <w:szCs w:val="22"/>
              <w:lang w:val="fr-FR" w:eastAsia="fr-FR"/>
            </w:rPr>
          </w:pPr>
          <w:hyperlink w:anchor="_Toc55490720" w:history="1">
            <w:r w:rsidR="00455DCC" w:rsidRPr="00AC643A">
              <w:rPr>
                <w:rStyle w:val="Hyperlink"/>
                <w:lang w:val="en-US"/>
              </w:rPr>
              <w:t>1.2</w:t>
            </w:r>
            <w:r w:rsidR="00455DCC">
              <w:rPr>
                <w:rFonts w:asciiTheme="minorHAnsi" w:eastAsiaTheme="minorEastAsia" w:hAnsiTheme="minorHAnsi" w:cstheme="minorBidi"/>
                <w:sz w:val="22"/>
                <w:szCs w:val="22"/>
                <w:lang w:val="fr-FR" w:eastAsia="fr-FR"/>
              </w:rPr>
              <w:tab/>
            </w:r>
            <w:r w:rsidR="00455DCC" w:rsidRPr="00AC643A">
              <w:rPr>
                <w:rStyle w:val="Hyperlink"/>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1532E6">
          <w:pPr>
            <w:pStyle w:val="TOC3"/>
            <w:rPr>
              <w:rFonts w:asciiTheme="minorHAnsi" w:eastAsiaTheme="minorEastAsia" w:hAnsiTheme="minorHAnsi" w:cstheme="minorBidi"/>
              <w:sz w:val="22"/>
              <w:szCs w:val="22"/>
              <w:lang w:val="fr-FR" w:eastAsia="fr-FR"/>
            </w:rPr>
          </w:pPr>
          <w:hyperlink w:anchor="_Toc55490721" w:history="1">
            <w:r w:rsidR="00455DCC" w:rsidRPr="00AC643A">
              <w:rPr>
                <w:rStyle w:val="Hyperlink"/>
              </w:rPr>
              <w:t>1.2.1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1532E6">
          <w:pPr>
            <w:pStyle w:val="TOC3"/>
            <w:rPr>
              <w:rFonts w:asciiTheme="minorHAnsi" w:eastAsiaTheme="minorEastAsia" w:hAnsiTheme="minorHAnsi" w:cstheme="minorBidi"/>
              <w:sz w:val="22"/>
              <w:szCs w:val="22"/>
              <w:lang w:val="fr-FR" w:eastAsia="fr-FR"/>
            </w:rPr>
          </w:pPr>
          <w:hyperlink w:anchor="_Toc55490722" w:history="1">
            <w:r w:rsidR="00455DCC" w:rsidRPr="00AC643A">
              <w:rPr>
                <w:rStyle w:val="Hyperlink"/>
                <w:lang w:val="fr-FR"/>
              </w:rPr>
              <w:t>1.2.2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1532E6">
          <w:pPr>
            <w:pStyle w:val="TOC3"/>
            <w:rPr>
              <w:rFonts w:asciiTheme="minorHAnsi" w:eastAsiaTheme="minorEastAsia" w:hAnsiTheme="minorHAnsi" w:cstheme="minorBidi"/>
              <w:sz w:val="22"/>
              <w:szCs w:val="22"/>
              <w:lang w:val="fr-FR" w:eastAsia="fr-FR"/>
            </w:rPr>
          </w:pPr>
          <w:hyperlink w:anchor="_Toc55490723" w:history="1">
            <w:r w:rsidR="00455DCC" w:rsidRPr="00AC643A">
              <w:rPr>
                <w:rStyle w:val="Hyperlink"/>
                <w:lang w:val="en-US"/>
              </w:rPr>
              <w:t>1.2.3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1532E6">
          <w:pPr>
            <w:pStyle w:val="TOC1"/>
            <w:rPr>
              <w:rFonts w:asciiTheme="minorHAnsi" w:eastAsiaTheme="minorEastAsia" w:hAnsiTheme="minorHAnsi" w:cstheme="minorBidi"/>
              <w:szCs w:val="22"/>
              <w:lang w:val="fr-FR" w:eastAsia="fr-FR"/>
            </w:rPr>
          </w:pPr>
          <w:hyperlink w:anchor="_Toc55490724" w:history="1">
            <w:r w:rsidR="00455DCC" w:rsidRPr="00AC643A">
              <w:rPr>
                <w:rStyle w:val="Hyperlink"/>
              </w:rPr>
              <w:t>2</w:t>
            </w:r>
            <w:r w:rsidR="00455DCC">
              <w:rPr>
                <w:rFonts w:asciiTheme="minorHAnsi" w:eastAsiaTheme="minorEastAsia" w:hAnsiTheme="minorHAnsi" w:cstheme="minorBidi"/>
                <w:szCs w:val="22"/>
                <w:lang w:val="fr-FR" w:eastAsia="fr-FR"/>
              </w:rPr>
              <w:tab/>
            </w:r>
            <w:r w:rsidR="00455DCC" w:rsidRPr="00AC643A">
              <w:rPr>
                <w:rStyle w:val="Hyperlink"/>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1532E6">
          <w:pPr>
            <w:pStyle w:val="TOC2"/>
            <w:rPr>
              <w:rFonts w:asciiTheme="minorHAnsi" w:eastAsiaTheme="minorEastAsia" w:hAnsiTheme="minorHAnsi" w:cstheme="minorBidi"/>
              <w:sz w:val="22"/>
              <w:szCs w:val="22"/>
              <w:lang w:val="fr-FR" w:eastAsia="fr-FR"/>
            </w:rPr>
          </w:pPr>
          <w:hyperlink w:anchor="_Toc55490725" w:history="1">
            <w:r w:rsidR="00455DCC" w:rsidRPr="00AC643A">
              <w:rPr>
                <w:rStyle w:val="Hyperlink"/>
              </w:rPr>
              <w:t>2.1</w:t>
            </w:r>
            <w:r w:rsidR="00455DCC">
              <w:rPr>
                <w:rFonts w:asciiTheme="minorHAnsi" w:eastAsiaTheme="minorEastAsia" w:hAnsiTheme="minorHAnsi" w:cstheme="minorBidi"/>
                <w:sz w:val="22"/>
                <w:szCs w:val="22"/>
                <w:lang w:val="fr-FR" w:eastAsia="fr-FR"/>
              </w:rPr>
              <w:tab/>
            </w:r>
            <w:r w:rsidR="00455DCC" w:rsidRPr="00AC643A">
              <w:rPr>
                <w:rStyle w:val="Hyperlink"/>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1532E6">
          <w:pPr>
            <w:pStyle w:val="TOC3"/>
            <w:rPr>
              <w:rFonts w:asciiTheme="minorHAnsi" w:eastAsiaTheme="minorEastAsia" w:hAnsiTheme="minorHAnsi" w:cstheme="minorBidi"/>
              <w:sz w:val="22"/>
              <w:szCs w:val="22"/>
              <w:lang w:val="fr-FR" w:eastAsia="fr-FR"/>
            </w:rPr>
          </w:pPr>
          <w:hyperlink w:anchor="_Toc55490726" w:history="1">
            <w:r w:rsidR="00455DCC" w:rsidRPr="00AC643A">
              <w:rPr>
                <w:rStyle w:val="Hyperlink"/>
              </w:rPr>
              <w:t>2.1.1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1532E6">
          <w:pPr>
            <w:pStyle w:val="TOC3"/>
            <w:rPr>
              <w:rFonts w:asciiTheme="minorHAnsi" w:eastAsiaTheme="minorEastAsia" w:hAnsiTheme="minorHAnsi" w:cstheme="minorBidi"/>
              <w:sz w:val="22"/>
              <w:szCs w:val="22"/>
              <w:lang w:val="fr-FR" w:eastAsia="fr-FR"/>
            </w:rPr>
          </w:pPr>
          <w:hyperlink w:anchor="_Toc55490727" w:history="1">
            <w:r w:rsidR="00455DCC" w:rsidRPr="00AC643A">
              <w:rPr>
                <w:rStyle w:val="Hyperlink"/>
              </w:rPr>
              <w:t>2.1.2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1532E6">
          <w:pPr>
            <w:pStyle w:val="TOC3"/>
            <w:rPr>
              <w:rFonts w:asciiTheme="minorHAnsi" w:eastAsiaTheme="minorEastAsia" w:hAnsiTheme="minorHAnsi" w:cstheme="minorBidi"/>
              <w:sz w:val="22"/>
              <w:szCs w:val="22"/>
              <w:lang w:val="fr-FR" w:eastAsia="fr-FR"/>
            </w:rPr>
          </w:pPr>
          <w:hyperlink w:anchor="_Toc55490728" w:history="1">
            <w:r w:rsidR="00455DCC" w:rsidRPr="00AC643A">
              <w:rPr>
                <w:rStyle w:val="Hyperlink"/>
                <w:lang w:val="en-US"/>
              </w:rPr>
              <w:t>2.1.3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1532E6">
          <w:pPr>
            <w:pStyle w:val="TOC3"/>
            <w:rPr>
              <w:rFonts w:asciiTheme="minorHAnsi" w:eastAsiaTheme="minorEastAsia" w:hAnsiTheme="minorHAnsi" w:cstheme="minorBidi"/>
              <w:sz w:val="22"/>
              <w:szCs w:val="22"/>
              <w:lang w:val="fr-FR" w:eastAsia="fr-FR"/>
            </w:rPr>
          </w:pPr>
          <w:hyperlink w:anchor="_Toc55490729" w:history="1">
            <w:r w:rsidR="00455DCC" w:rsidRPr="00AC643A">
              <w:rPr>
                <w:rStyle w:val="Hyperlink"/>
              </w:rPr>
              <w:t>2.1.4</w:t>
            </w:r>
            <w:r w:rsidR="00455DCC">
              <w:rPr>
                <w:rFonts w:asciiTheme="minorHAnsi" w:eastAsiaTheme="minorEastAsia" w:hAnsiTheme="minorHAnsi" w:cstheme="minorBidi"/>
                <w:sz w:val="22"/>
                <w:szCs w:val="22"/>
                <w:lang w:val="fr-FR" w:eastAsia="fr-FR"/>
              </w:rPr>
              <w:tab/>
            </w:r>
            <w:r w:rsidR="00455DCC" w:rsidRPr="00AC643A">
              <w:rPr>
                <w:rStyle w:val="Hyperlink"/>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1532E6">
          <w:pPr>
            <w:pStyle w:val="TOC3"/>
            <w:rPr>
              <w:rFonts w:asciiTheme="minorHAnsi" w:eastAsiaTheme="minorEastAsia" w:hAnsiTheme="minorHAnsi" w:cstheme="minorBidi"/>
              <w:sz w:val="22"/>
              <w:szCs w:val="22"/>
              <w:lang w:val="fr-FR" w:eastAsia="fr-FR"/>
            </w:rPr>
          </w:pPr>
          <w:hyperlink w:anchor="_Toc55490730" w:history="1">
            <w:r w:rsidR="00455DCC" w:rsidRPr="00AC643A">
              <w:rPr>
                <w:rStyle w:val="Hyperlink"/>
              </w:rPr>
              <w:t>2.1.5</w:t>
            </w:r>
            <w:r w:rsidR="00455DCC">
              <w:rPr>
                <w:rFonts w:asciiTheme="minorHAnsi" w:eastAsiaTheme="minorEastAsia" w:hAnsiTheme="minorHAnsi" w:cstheme="minorBidi"/>
                <w:sz w:val="22"/>
                <w:szCs w:val="22"/>
                <w:lang w:val="fr-FR" w:eastAsia="fr-FR"/>
              </w:rPr>
              <w:tab/>
            </w:r>
            <w:r w:rsidR="00455DCC" w:rsidRPr="00AC643A">
              <w:rPr>
                <w:rStyle w:val="Hyperlink"/>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1532E6">
          <w:pPr>
            <w:pStyle w:val="TOC2"/>
            <w:rPr>
              <w:rFonts w:asciiTheme="minorHAnsi" w:eastAsiaTheme="minorEastAsia" w:hAnsiTheme="minorHAnsi" w:cstheme="minorBidi"/>
              <w:sz w:val="22"/>
              <w:szCs w:val="22"/>
              <w:lang w:val="fr-FR" w:eastAsia="fr-FR"/>
            </w:rPr>
          </w:pPr>
          <w:hyperlink w:anchor="_Toc55490731" w:history="1">
            <w:r w:rsidR="00455DCC" w:rsidRPr="00AC643A">
              <w:rPr>
                <w:rStyle w:val="Hyperlink"/>
              </w:rPr>
              <w:t>2.2</w:t>
            </w:r>
            <w:r w:rsidR="00455DCC">
              <w:rPr>
                <w:rFonts w:asciiTheme="minorHAnsi" w:eastAsiaTheme="minorEastAsia" w:hAnsiTheme="minorHAnsi" w:cstheme="minorBidi"/>
                <w:sz w:val="22"/>
                <w:szCs w:val="22"/>
                <w:lang w:val="fr-FR" w:eastAsia="fr-FR"/>
              </w:rPr>
              <w:tab/>
            </w:r>
            <w:r w:rsidR="00455DCC" w:rsidRPr="00AC643A">
              <w:rPr>
                <w:rStyle w:val="Hyperlink"/>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1532E6">
          <w:pPr>
            <w:pStyle w:val="TOC3"/>
            <w:rPr>
              <w:rFonts w:asciiTheme="minorHAnsi" w:eastAsiaTheme="minorEastAsia" w:hAnsiTheme="minorHAnsi" w:cstheme="minorBidi"/>
              <w:sz w:val="22"/>
              <w:szCs w:val="22"/>
              <w:lang w:val="fr-FR" w:eastAsia="fr-FR"/>
            </w:rPr>
          </w:pPr>
          <w:hyperlink w:anchor="_Toc55490732" w:history="1">
            <w:r w:rsidR="00455DCC" w:rsidRPr="00AC643A">
              <w:rPr>
                <w:rStyle w:val="Hyperlink"/>
              </w:rPr>
              <w:t>2.2.1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1532E6">
          <w:pPr>
            <w:pStyle w:val="TOC3"/>
            <w:rPr>
              <w:rFonts w:asciiTheme="minorHAnsi" w:eastAsiaTheme="minorEastAsia" w:hAnsiTheme="minorHAnsi" w:cstheme="minorBidi"/>
              <w:sz w:val="22"/>
              <w:szCs w:val="22"/>
              <w:lang w:val="fr-FR" w:eastAsia="fr-FR"/>
            </w:rPr>
          </w:pPr>
          <w:hyperlink w:anchor="_Toc55490733" w:history="1">
            <w:r w:rsidR="00455DCC" w:rsidRPr="00AC643A">
              <w:rPr>
                <w:rStyle w:val="Hyperlink"/>
              </w:rPr>
              <w:t>2.2.2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1532E6">
          <w:pPr>
            <w:pStyle w:val="TOC3"/>
            <w:rPr>
              <w:rFonts w:asciiTheme="minorHAnsi" w:eastAsiaTheme="minorEastAsia" w:hAnsiTheme="minorHAnsi" w:cstheme="minorBidi"/>
              <w:sz w:val="22"/>
              <w:szCs w:val="22"/>
              <w:lang w:val="fr-FR" w:eastAsia="fr-FR"/>
            </w:rPr>
          </w:pPr>
          <w:hyperlink w:anchor="_Toc55490734" w:history="1">
            <w:r w:rsidR="00455DCC" w:rsidRPr="00AC643A">
              <w:rPr>
                <w:rStyle w:val="Hyperlink"/>
                <w:lang w:val="en-US"/>
              </w:rPr>
              <w:t>2.2.3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1532E6">
          <w:pPr>
            <w:pStyle w:val="TOC1"/>
            <w:rPr>
              <w:rFonts w:asciiTheme="minorHAnsi" w:eastAsiaTheme="minorEastAsia" w:hAnsiTheme="minorHAnsi" w:cstheme="minorBidi"/>
              <w:szCs w:val="22"/>
              <w:lang w:val="fr-FR" w:eastAsia="fr-FR"/>
            </w:rPr>
          </w:pPr>
          <w:hyperlink w:anchor="_Toc55490735" w:history="1">
            <w:r w:rsidR="00455DCC" w:rsidRPr="00AC643A">
              <w:rPr>
                <w:rStyle w:val="Hyperlink"/>
              </w:rPr>
              <w:t>3</w:t>
            </w:r>
            <w:r w:rsidR="00455DCC">
              <w:rPr>
                <w:rFonts w:asciiTheme="minorHAnsi" w:eastAsiaTheme="minorEastAsia" w:hAnsiTheme="minorHAnsi" w:cstheme="minorBidi"/>
                <w:szCs w:val="22"/>
                <w:lang w:val="fr-FR" w:eastAsia="fr-FR"/>
              </w:rPr>
              <w:tab/>
            </w:r>
            <w:r w:rsidR="00455DCC" w:rsidRPr="00AC643A">
              <w:rPr>
                <w:rStyle w:val="Hyperlink"/>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1532E6">
          <w:pPr>
            <w:pStyle w:val="TOC2"/>
            <w:rPr>
              <w:rFonts w:asciiTheme="minorHAnsi" w:eastAsiaTheme="minorEastAsia" w:hAnsiTheme="minorHAnsi" w:cstheme="minorBidi"/>
              <w:sz w:val="22"/>
              <w:szCs w:val="22"/>
              <w:lang w:val="fr-FR" w:eastAsia="fr-FR"/>
            </w:rPr>
          </w:pPr>
          <w:hyperlink w:anchor="_Toc55490736" w:history="1">
            <w:r w:rsidR="00455DCC" w:rsidRPr="00AC643A">
              <w:rPr>
                <w:rStyle w:val="Hyperlink"/>
              </w:rPr>
              <w:t>3.1</w:t>
            </w:r>
            <w:r w:rsidR="00455DCC">
              <w:rPr>
                <w:rFonts w:asciiTheme="minorHAnsi" w:eastAsiaTheme="minorEastAsia" w:hAnsiTheme="minorHAnsi" w:cstheme="minorBidi"/>
                <w:sz w:val="22"/>
                <w:szCs w:val="22"/>
                <w:lang w:val="fr-FR" w:eastAsia="fr-FR"/>
              </w:rPr>
              <w:tab/>
            </w:r>
            <w:r w:rsidR="00455DCC" w:rsidRPr="00AC643A">
              <w:rPr>
                <w:rStyle w:val="Hyperlink"/>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1532E6">
          <w:pPr>
            <w:pStyle w:val="TOC3"/>
            <w:rPr>
              <w:rFonts w:asciiTheme="minorHAnsi" w:eastAsiaTheme="minorEastAsia" w:hAnsiTheme="minorHAnsi" w:cstheme="minorBidi"/>
              <w:sz w:val="22"/>
              <w:szCs w:val="22"/>
              <w:lang w:val="fr-FR" w:eastAsia="fr-FR"/>
            </w:rPr>
          </w:pPr>
          <w:hyperlink w:anchor="_Toc55490737" w:history="1">
            <w:r w:rsidR="00455DCC" w:rsidRPr="00AC643A">
              <w:rPr>
                <w:rStyle w:val="Hyperlink"/>
              </w:rPr>
              <w:t>3.1.1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1532E6">
          <w:pPr>
            <w:pStyle w:val="TOC3"/>
            <w:rPr>
              <w:rFonts w:asciiTheme="minorHAnsi" w:eastAsiaTheme="minorEastAsia" w:hAnsiTheme="minorHAnsi" w:cstheme="minorBidi"/>
              <w:sz w:val="22"/>
              <w:szCs w:val="22"/>
              <w:lang w:val="fr-FR" w:eastAsia="fr-FR"/>
            </w:rPr>
          </w:pPr>
          <w:hyperlink w:anchor="_Toc55490738" w:history="1">
            <w:r w:rsidR="00455DCC" w:rsidRPr="00AC643A">
              <w:rPr>
                <w:rStyle w:val="Hyperlink"/>
              </w:rPr>
              <w:t>3.1.2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1532E6">
          <w:pPr>
            <w:pStyle w:val="TOC3"/>
            <w:rPr>
              <w:rFonts w:asciiTheme="minorHAnsi" w:eastAsiaTheme="minorEastAsia" w:hAnsiTheme="minorHAnsi" w:cstheme="minorBidi"/>
              <w:sz w:val="22"/>
              <w:szCs w:val="22"/>
              <w:lang w:val="fr-FR" w:eastAsia="fr-FR"/>
            </w:rPr>
          </w:pPr>
          <w:hyperlink w:anchor="_Toc55490739" w:history="1">
            <w:r w:rsidR="00455DCC" w:rsidRPr="00AC643A">
              <w:rPr>
                <w:rStyle w:val="Hyperlink"/>
                <w:lang w:val="en-US"/>
              </w:rPr>
              <w:t>3.1.3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1532E6">
          <w:pPr>
            <w:pStyle w:val="TOC1"/>
            <w:rPr>
              <w:rFonts w:asciiTheme="minorHAnsi" w:eastAsiaTheme="minorEastAsia" w:hAnsiTheme="minorHAnsi" w:cstheme="minorBidi"/>
              <w:szCs w:val="22"/>
              <w:lang w:val="fr-FR" w:eastAsia="fr-FR"/>
            </w:rPr>
          </w:pPr>
          <w:hyperlink w:anchor="_Toc55490740" w:history="1">
            <w:r w:rsidR="00455DCC" w:rsidRPr="00AC643A">
              <w:rPr>
                <w:rStyle w:val="Hyperlink"/>
              </w:rPr>
              <w:t>4</w:t>
            </w:r>
            <w:r w:rsidR="00455DCC">
              <w:rPr>
                <w:rFonts w:asciiTheme="minorHAnsi" w:eastAsiaTheme="minorEastAsia" w:hAnsiTheme="minorHAnsi" w:cstheme="minorBidi"/>
                <w:szCs w:val="22"/>
                <w:lang w:val="fr-FR" w:eastAsia="fr-FR"/>
              </w:rPr>
              <w:tab/>
            </w:r>
            <w:r w:rsidR="00455DCC" w:rsidRPr="00AC643A">
              <w:rPr>
                <w:rStyle w:val="Hyperlink"/>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1532E6">
          <w:pPr>
            <w:pStyle w:val="TOC2"/>
            <w:rPr>
              <w:rFonts w:asciiTheme="minorHAnsi" w:eastAsiaTheme="minorEastAsia" w:hAnsiTheme="minorHAnsi" w:cstheme="minorBidi"/>
              <w:sz w:val="22"/>
              <w:szCs w:val="22"/>
              <w:lang w:val="fr-FR" w:eastAsia="fr-FR"/>
            </w:rPr>
          </w:pPr>
          <w:hyperlink w:anchor="_Toc55490741" w:history="1">
            <w:r w:rsidR="00455DCC" w:rsidRPr="00AC643A">
              <w:rPr>
                <w:rStyle w:val="Hyperlink"/>
              </w:rPr>
              <w:t>4.1</w:t>
            </w:r>
            <w:r w:rsidR="00455DCC">
              <w:rPr>
                <w:rFonts w:asciiTheme="minorHAnsi" w:eastAsiaTheme="minorEastAsia" w:hAnsiTheme="minorHAnsi" w:cstheme="minorBidi"/>
                <w:sz w:val="22"/>
                <w:szCs w:val="22"/>
                <w:lang w:val="fr-FR" w:eastAsia="fr-FR"/>
              </w:rPr>
              <w:tab/>
            </w:r>
            <w:r w:rsidR="00455DCC" w:rsidRPr="00AC643A">
              <w:rPr>
                <w:rStyle w:val="Hyperlink"/>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1532E6">
          <w:pPr>
            <w:pStyle w:val="TOC3"/>
            <w:rPr>
              <w:rFonts w:asciiTheme="minorHAnsi" w:eastAsiaTheme="minorEastAsia" w:hAnsiTheme="minorHAnsi" w:cstheme="minorBidi"/>
              <w:sz w:val="22"/>
              <w:szCs w:val="22"/>
              <w:lang w:val="fr-FR" w:eastAsia="fr-FR"/>
            </w:rPr>
          </w:pPr>
          <w:hyperlink w:anchor="_Toc55490742" w:history="1">
            <w:r w:rsidR="00455DCC" w:rsidRPr="00AC643A">
              <w:rPr>
                <w:rStyle w:val="Hyperlink"/>
              </w:rPr>
              <w:t>4.1.1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1532E6">
          <w:pPr>
            <w:pStyle w:val="TOC3"/>
            <w:rPr>
              <w:rFonts w:asciiTheme="minorHAnsi" w:eastAsiaTheme="minorEastAsia" w:hAnsiTheme="minorHAnsi" w:cstheme="minorBidi"/>
              <w:sz w:val="22"/>
              <w:szCs w:val="22"/>
              <w:lang w:val="fr-FR" w:eastAsia="fr-FR"/>
            </w:rPr>
          </w:pPr>
          <w:hyperlink w:anchor="_Toc55490743" w:history="1">
            <w:r w:rsidR="00455DCC" w:rsidRPr="00AC643A">
              <w:rPr>
                <w:rStyle w:val="Hyperlink"/>
                <w:lang w:val="fr-FR"/>
              </w:rPr>
              <w:t>4.1.2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1532E6">
          <w:pPr>
            <w:pStyle w:val="TOC3"/>
            <w:rPr>
              <w:rFonts w:asciiTheme="minorHAnsi" w:eastAsiaTheme="minorEastAsia" w:hAnsiTheme="minorHAnsi" w:cstheme="minorBidi"/>
              <w:sz w:val="22"/>
              <w:szCs w:val="22"/>
              <w:lang w:val="fr-FR" w:eastAsia="fr-FR"/>
            </w:rPr>
          </w:pPr>
          <w:hyperlink w:anchor="_Toc55490744" w:history="1">
            <w:r w:rsidR="00455DCC" w:rsidRPr="00AC643A">
              <w:rPr>
                <w:rStyle w:val="Hyperlink"/>
                <w:lang w:val="en-US"/>
              </w:rPr>
              <w:t>4.1.3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1532E6">
          <w:pPr>
            <w:pStyle w:val="TOC2"/>
            <w:rPr>
              <w:rFonts w:asciiTheme="minorHAnsi" w:eastAsiaTheme="minorEastAsia" w:hAnsiTheme="minorHAnsi" w:cstheme="minorBidi"/>
              <w:sz w:val="22"/>
              <w:szCs w:val="22"/>
              <w:lang w:val="fr-FR" w:eastAsia="fr-FR"/>
            </w:rPr>
          </w:pPr>
          <w:hyperlink w:anchor="_Toc55490745" w:history="1">
            <w:r w:rsidR="00455DCC" w:rsidRPr="00AC643A">
              <w:rPr>
                <w:rStyle w:val="Hyperlink"/>
              </w:rPr>
              <w:t>4.2</w:t>
            </w:r>
            <w:r w:rsidR="00455DCC">
              <w:rPr>
                <w:rFonts w:asciiTheme="minorHAnsi" w:eastAsiaTheme="minorEastAsia" w:hAnsiTheme="minorHAnsi" w:cstheme="minorBidi"/>
                <w:sz w:val="22"/>
                <w:szCs w:val="22"/>
                <w:lang w:val="fr-FR" w:eastAsia="fr-FR"/>
              </w:rPr>
              <w:tab/>
            </w:r>
            <w:r w:rsidR="00455DCC" w:rsidRPr="00AC643A">
              <w:rPr>
                <w:rStyle w:val="Hyperlink"/>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1532E6">
          <w:pPr>
            <w:pStyle w:val="TOC3"/>
            <w:rPr>
              <w:rFonts w:asciiTheme="minorHAnsi" w:eastAsiaTheme="minorEastAsia" w:hAnsiTheme="minorHAnsi" w:cstheme="minorBidi"/>
              <w:sz w:val="22"/>
              <w:szCs w:val="22"/>
              <w:lang w:val="fr-FR" w:eastAsia="fr-FR"/>
            </w:rPr>
          </w:pPr>
          <w:hyperlink w:anchor="_Toc55490746" w:history="1">
            <w:r w:rsidR="00455DCC" w:rsidRPr="00AC643A">
              <w:rPr>
                <w:rStyle w:val="Hyperlink"/>
              </w:rPr>
              <w:t>4.2.1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1532E6">
          <w:pPr>
            <w:pStyle w:val="TOC3"/>
            <w:rPr>
              <w:rFonts w:asciiTheme="minorHAnsi" w:eastAsiaTheme="minorEastAsia" w:hAnsiTheme="minorHAnsi" w:cstheme="minorBidi"/>
              <w:sz w:val="22"/>
              <w:szCs w:val="22"/>
              <w:lang w:val="fr-FR" w:eastAsia="fr-FR"/>
            </w:rPr>
          </w:pPr>
          <w:hyperlink w:anchor="_Toc55490747" w:history="1">
            <w:r w:rsidR="00455DCC" w:rsidRPr="00AC643A">
              <w:rPr>
                <w:rStyle w:val="Hyperlink"/>
              </w:rPr>
              <w:t>4.2.2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1532E6">
          <w:pPr>
            <w:pStyle w:val="TOC3"/>
            <w:rPr>
              <w:rFonts w:asciiTheme="minorHAnsi" w:eastAsiaTheme="minorEastAsia" w:hAnsiTheme="minorHAnsi" w:cstheme="minorBidi"/>
              <w:sz w:val="22"/>
              <w:szCs w:val="22"/>
              <w:lang w:val="fr-FR" w:eastAsia="fr-FR"/>
            </w:rPr>
          </w:pPr>
          <w:hyperlink w:anchor="_Toc55490748" w:history="1">
            <w:r w:rsidR="00455DCC" w:rsidRPr="00AC643A">
              <w:rPr>
                <w:rStyle w:val="Hyperlink"/>
                <w:lang w:val="en-US"/>
              </w:rPr>
              <w:t>4.2.3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1532E6">
          <w:pPr>
            <w:pStyle w:val="TOC2"/>
            <w:rPr>
              <w:rFonts w:asciiTheme="minorHAnsi" w:eastAsiaTheme="minorEastAsia" w:hAnsiTheme="minorHAnsi" w:cstheme="minorBidi"/>
              <w:sz w:val="22"/>
              <w:szCs w:val="22"/>
              <w:lang w:val="fr-FR" w:eastAsia="fr-FR"/>
            </w:rPr>
          </w:pPr>
          <w:hyperlink w:anchor="_Toc55490749" w:history="1">
            <w:r w:rsidR="00455DCC" w:rsidRPr="00AC643A">
              <w:rPr>
                <w:rStyle w:val="Hyperlink"/>
              </w:rPr>
              <w:t>4.3</w:t>
            </w:r>
            <w:r w:rsidR="00455DCC">
              <w:rPr>
                <w:rFonts w:asciiTheme="minorHAnsi" w:eastAsiaTheme="minorEastAsia" w:hAnsiTheme="minorHAnsi" w:cstheme="minorBidi"/>
                <w:sz w:val="22"/>
                <w:szCs w:val="22"/>
                <w:lang w:val="fr-FR" w:eastAsia="fr-FR"/>
              </w:rPr>
              <w:tab/>
            </w:r>
            <w:r w:rsidR="00455DCC" w:rsidRPr="00AC643A">
              <w:rPr>
                <w:rStyle w:val="Hyperlink"/>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1532E6">
          <w:pPr>
            <w:pStyle w:val="TOC3"/>
            <w:rPr>
              <w:rFonts w:asciiTheme="minorHAnsi" w:eastAsiaTheme="minorEastAsia" w:hAnsiTheme="minorHAnsi" w:cstheme="minorBidi"/>
              <w:sz w:val="22"/>
              <w:szCs w:val="22"/>
              <w:lang w:val="fr-FR" w:eastAsia="fr-FR"/>
            </w:rPr>
          </w:pPr>
          <w:hyperlink w:anchor="_Toc55490750" w:history="1">
            <w:r w:rsidR="00455DCC" w:rsidRPr="00AC643A">
              <w:rPr>
                <w:rStyle w:val="Hyperlink"/>
              </w:rPr>
              <w:t>4.3.1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1532E6">
          <w:pPr>
            <w:pStyle w:val="TOC3"/>
            <w:rPr>
              <w:rFonts w:asciiTheme="minorHAnsi" w:eastAsiaTheme="minorEastAsia" w:hAnsiTheme="minorHAnsi" w:cstheme="minorBidi"/>
              <w:sz w:val="22"/>
              <w:szCs w:val="22"/>
              <w:lang w:val="fr-FR" w:eastAsia="fr-FR"/>
            </w:rPr>
          </w:pPr>
          <w:hyperlink w:anchor="_Toc55490751" w:history="1">
            <w:r w:rsidR="00455DCC" w:rsidRPr="00AC643A">
              <w:rPr>
                <w:rStyle w:val="Hyperlink"/>
              </w:rPr>
              <w:t>4.3.2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1532E6">
          <w:pPr>
            <w:pStyle w:val="TOC3"/>
            <w:rPr>
              <w:rFonts w:asciiTheme="minorHAnsi" w:eastAsiaTheme="minorEastAsia" w:hAnsiTheme="minorHAnsi" w:cstheme="minorBidi"/>
              <w:sz w:val="22"/>
              <w:szCs w:val="22"/>
              <w:lang w:val="fr-FR" w:eastAsia="fr-FR"/>
            </w:rPr>
          </w:pPr>
          <w:hyperlink w:anchor="_Toc55490752" w:history="1">
            <w:r w:rsidR="00455DCC" w:rsidRPr="00AC643A">
              <w:rPr>
                <w:rStyle w:val="Hyperlink"/>
                <w:lang w:val="en-US"/>
              </w:rPr>
              <w:t>4.3.3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1532E6">
          <w:pPr>
            <w:pStyle w:val="TOC1"/>
            <w:rPr>
              <w:rFonts w:asciiTheme="minorHAnsi" w:eastAsiaTheme="minorEastAsia" w:hAnsiTheme="minorHAnsi" w:cstheme="minorBidi"/>
              <w:szCs w:val="22"/>
              <w:lang w:val="fr-FR" w:eastAsia="fr-FR"/>
            </w:rPr>
          </w:pPr>
          <w:hyperlink w:anchor="_Toc55490753" w:history="1">
            <w:r w:rsidR="00455DCC" w:rsidRPr="00AC643A">
              <w:rPr>
                <w:rStyle w:val="Hyperlink"/>
              </w:rPr>
              <w:t>5</w:t>
            </w:r>
            <w:r w:rsidR="00455DCC">
              <w:rPr>
                <w:rFonts w:asciiTheme="minorHAnsi" w:eastAsiaTheme="minorEastAsia" w:hAnsiTheme="minorHAnsi" w:cstheme="minorBidi"/>
                <w:szCs w:val="22"/>
                <w:lang w:val="fr-FR" w:eastAsia="fr-FR"/>
              </w:rPr>
              <w:tab/>
            </w:r>
            <w:r w:rsidR="00455DCC" w:rsidRPr="00AC643A">
              <w:rPr>
                <w:rStyle w:val="Hyperlink"/>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1532E6">
          <w:pPr>
            <w:pStyle w:val="TOC1"/>
            <w:rPr>
              <w:rFonts w:asciiTheme="minorHAnsi" w:eastAsiaTheme="minorEastAsia" w:hAnsiTheme="minorHAnsi" w:cstheme="minorBidi"/>
              <w:szCs w:val="22"/>
              <w:lang w:val="fr-FR" w:eastAsia="fr-FR"/>
            </w:rPr>
          </w:pPr>
          <w:hyperlink w:anchor="_Toc55490754" w:history="1">
            <w:r w:rsidR="00455DCC" w:rsidRPr="00AC643A">
              <w:rPr>
                <w:rStyle w:val="Hyperlink"/>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490714"/>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346025">
      <w:pPr>
        <w:pStyle w:val="ListParagraph"/>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ListParagraph"/>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ListParagraph"/>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2663AA" w:rsidP="00792992">
      <w:pPr>
        <w:keepNext/>
        <w:jc w:val="center"/>
      </w:pPr>
      <w:r w:rsidRPr="00902581">
        <w:rPr>
          <w:noProof/>
        </w:rPr>
        <w:object w:dxaOrig="8824" w:dyaOrig="4434" w14:anchorId="69526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370.8pt;height:185.95pt;mso-width-percent:0;mso-height-percent:0;mso-width-percent:0;mso-height-percent:0" o:ole="">
            <v:imagedata r:id="rId14" o:title=""/>
          </v:shape>
          <o:OLEObject Type="Embed" ProgID="Visio.Drawing.11" ShapeID="_x0000_i1038" DrawAspect="Content" ObjectID="_1666373892"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lastRenderedPageBreak/>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ListParagraph"/>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w:t>
            </w:r>
            <w:r>
              <w:lastRenderedPageBreak/>
              <w:t>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proofErr w:type="spellStart"/>
            <w:r>
              <w:t>CEWiT</w:t>
            </w:r>
            <w:proofErr w:type="spellEnd"/>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ListParagraph"/>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ListParagraph"/>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Heading3"/>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Heading3"/>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ListParagraph"/>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ListParagraph"/>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ListParagraph"/>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ListParagraph"/>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ListParagraph"/>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ListParagraph"/>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proofErr w:type="spellStart"/>
            <w:r>
              <w:t>CEWiT</w:t>
            </w:r>
            <w:proofErr w:type="spellEnd"/>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lastRenderedPageBreak/>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lastRenderedPageBreak/>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lastRenderedPageBreak/>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lastRenderedPageBreak/>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346025">
      <w:pPr>
        <w:pStyle w:val="ListParagraph"/>
        <w:numPr>
          <w:ilvl w:val="0"/>
          <w:numId w:val="20"/>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346025">
      <w:pPr>
        <w:pStyle w:val="ListParagraph"/>
        <w:numPr>
          <w:ilvl w:val="0"/>
          <w:numId w:val="20"/>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ListParagraph"/>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lastRenderedPageBreak/>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proofErr w:type="spellStart"/>
            <w:r>
              <w:t>CEWiT</w:t>
            </w:r>
            <w:proofErr w:type="spellEnd"/>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BodyText"/>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lastRenderedPageBreak/>
              <w:t>Fraunhofer HHI</w:t>
            </w:r>
          </w:p>
        </w:tc>
        <w:tc>
          <w:tcPr>
            <w:tcW w:w="4068" w:type="pct"/>
          </w:tcPr>
          <w:p w14:paraId="05377CC0" w14:textId="712CD79B" w:rsidR="003A01C6" w:rsidRDefault="003A01C6" w:rsidP="003A01C6">
            <w:pPr>
              <w:rPr>
                <w:rFonts w:eastAsia="Malgun Gothic"/>
                <w:lang w:eastAsia="ko-KR"/>
              </w:rPr>
            </w:pPr>
            <w:r>
              <w:lastRenderedPageBreak/>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Heading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w:t>
      </w:r>
      <w:proofErr w:type="spellStart"/>
      <w:r>
        <w:rPr>
          <w:lang w:val="en-US"/>
        </w:rPr>
        <w:t>InterDigital</w:t>
      </w:r>
      <w:proofErr w:type="spellEnd"/>
      <w:r>
        <w:rPr>
          <w:lang w:val="en-US"/>
        </w:rPr>
        <w:t xml:space="preserve">,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lastRenderedPageBreak/>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ListParagraph"/>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ListParagraph"/>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85CAC" w:rsidRPr="00902581" w14:paraId="2E54DC33" w14:textId="77777777" w:rsidTr="0081166B">
        <w:tc>
          <w:tcPr>
            <w:tcW w:w="932"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t>Companies</w:t>
            </w:r>
          </w:p>
        </w:tc>
        <w:tc>
          <w:tcPr>
            <w:tcW w:w="4068"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81166B">
        <w:tc>
          <w:tcPr>
            <w:tcW w:w="932"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068"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gNB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gNB in a transparent way to the UE. </w:t>
            </w:r>
          </w:p>
        </w:tc>
      </w:tr>
      <w:tr w:rsidR="009C16E2" w:rsidRPr="00902581" w14:paraId="0B35C1F0" w14:textId="77777777" w:rsidTr="0081166B">
        <w:tc>
          <w:tcPr>
            <w:tcW w:w="932" w:type="pct"/>
          </w:tcPr>
          <w:p w14:paraId="221A81E4" w14:textId="673AC1E0" w:rsidR="009C16E2" w:rsidRPr="00131678" w:rsidRDefault="00131678" w:rsidP="0081166B">
            <w:pPr>
              <w:rPr>
                <w:rFonts w:eastAsia="Malgun Gothic"/>
                <w:lang w:eastAsia="ko-KR"/>
              </w:rPr>
            </w:pPr>
            <w:r>
              <w:rPr>
                <w:rFonts w:eastAsia="Malgun Gothic" w:hint="eastAsia"/>
                <w:lang w:eastAsia="ko-KR"/>
              </w:rPr>
              <w:t>Samsung</w:t>
            </w:r>
          </w:p>
        </w:tc>
        <w:tc>
          <w:tcPr>
            <w:tcW w:w="4068" w:type="pct"/>
          </w:tcPr>
          <w:p w14:paraId="6DF5D693" w14:textId="17729A21" w:rsidR="009C16E2" w:rsidRPr="00131678" w:rsidRDefault="00131678" w:rsidP="00131678">
            <w:pPr>
              <w:adjustRightInd w:val="0"/>
              <w:snapToGrid w:val="0"/>
              <w:spacing w:after="120"/>
              <w:rPr>
                <w:rFonts w:eastAsia="Malgun Gothic"/>
                <w:lang w:eastAsia="ko-KR"/>
              </w:rPr>
            </w:pPr>
            <w:r>
              <w:rPr>
                <w:rFonts w:eastAsia="Malgun Gothic" w:hint="eastAsia"/>
                <w:lang w:eastAsia="ko-KR"/>
              </w:rPr>
              <w:t>We support FL</w:t>
            </w:r>
            <w:r>
              <w:rPr>
                <w:rFonts w:eastAsia="Malgun Gothic"/>
                <w:lang w:eastAsia="ko-KR"/>
              </w:rPr>
              <w:t xml:space="preserve">’s proposal. </w:t>
            </w:r>
          </w:p>
        </w:tc>
      </w:tr>
      <w:tr w:rsidR="00BB4614" w:rsidRPr="00902581" w14:paraId="174A99D3" w14:textId="77777777" w:rsidTr="0081166B">
        <w:tc>
          <w:tcPr>
            <w:tcW w:w="932" w:type="pct"/>
          </w:tcPr>
          <w:p w14:paraId="6E4DA979" w14:textId="24158448" w:rsidR="00BB4614" w:rsidRPr="007C4906" w:rsidRDefault="00BB4614" w:rsidP="00BB4614">
            <w:pPr>
              <w:rPr>
                <w:rFonts w:eastAsiaTheme="minorEastAsia"/>
                <w:lang w:eastAsia="zh-CN"/>
              </w:rPr>
            </w:pPr>
            <w:r>
              <w:rPr>
                <w:rFonts w:eastAsia="Malgun Gothic" w:hint="eastAsia"/>
                <w:lang w:eastAsia="ko-KR"/>
              </w:rPr>
              <w:t>LG</w:t>
            </w:r>
          </w:p>
        </w:tc>
        <w:tc>
          <w:tcPr>
            <w:tcW w:w="4068"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Malgun Gothic" w:hint="eastAsia"/>
                <w:lang w:eastAsia="ko-KR"/>
              </w:rPr>
              <w:t>Support</w:t>
            </w:r>
            <w:r w:rsidRPr="00BB4614">
              <w:rPr>
                <w:rFonts w:eastAsia="Malgun Gothic"/>
                <w:lang w:eastAsia="ko-KR"/>
              </w:rPr>
              <w:t xml:space="preserve"> with the proposal.</w:t>
            </w:r>
          </w:p>
        </w:tc>
      </w:tr>
      <w:tr w:rsidR="00D968B2" w:rsidRPr="00902581" w14:paraId="47EB92AC" w14:textId="77777777" w:rsidTr="0081166B">
        <w:tc>
          <w:tcPr>
            <w:tcW w:w="932" w:type="pct"/>
          </w:tcPr>
          <w:p w14:paraId="5E8DB718" w14:textId="107F399D" w:rsidR="00D968B2" w:rsidRDefault="00D968B2" w:rsidP="00D968B2">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7DB5F100" w14:textId="7BD1ED56" w:rsidR="00D968B2" w:rsidRPr="00BB4614" w:rsidRDefault="00D968B2" w:rsidP="00D968B2">
            <w:pPr>
              <w:adjustRightInd w:val="0"/>
              <w:snapToGrid w:val="0"/>
              <w:spacing w:after="120"/>
              <w:rPr>
                <w:rFonts w:eastAsia="Malgun Gothic"/>
                <w:lang w:eastAsia="ko-KR"/>
              </w:rPr>
            </w:pPr>
            <w:r>
              <w:rPr>
                <w:rFonts w:eastAsiaTheme="minorEastAsia"/>
                <w:lang w:eastAsia="zh-CN"/>
              </w:rPr>
              <w:t>W</w:t>
            </w:r>
            <w:r w:rsidRPr="003434D6">
              <w:rPr>
                <w:rFonts w:eastAsiaTheme="minorEastAsia"/>
                <w:lang w:eastAsia="zh-CN"/>
              </w:rPr>
              <w:t>e share the same view as MediaTek</w:t>
            </w:r>
            <w:r>
              <w:rPr>
                <w:rFonts w:eastAsiaTheme="minorEastAsia"/>
                <w:lang w:eastAsia="zh-CN"/>
              </w:rPr>
              <w:t xml:space="preserve">. </w:t>
            </w:r>
            <w:r w:rsidRPr="003434D6">
              <w:rPr>
                <w:rFonts w:eastAsiaTheme="minorEastAsia"/>
                <w:lang w:eastAsia="zh-CN"/>
              </w:rPr>
              <w:t xml:space="preserve">We </w:t>
            </w:r>
            <w:r>
              <w:rPr>
                <w:rFonts w:eastAsiaTheme="minorEastAsia"/>
                <w:lang w:eastAsia="zh-CN"/>
              </w:rPr>
              <w:t>suggest that</w:t>
            </w:r>
            <w:r w:rsidRPr="003434D6">
              <w:rPr>
                <w:rFonts w:eastAsiaTheme="minorEastAsia"/>
                <w:lang w:eastAsia="zh-CN"/>
              </w:rPr>
              <w:t xml:space="preserve"> the network handles completely the delay between the satellite and the gNB and make it transparent to the UE.</w:t>
            </w:r>
          </w:p>
        </w:tc>
      </w:tr>
      <w:tr w:rsidR="00D968B2" w:rsidRPr="00902581" w14:paraId="682F080F" w14:textId="77777777" w:rsidTr="0081166B">
        <w:tc>
          <w:tcPr>
            <w:tcW w:w="932" w:type="pct"/>
          </w:tcPr>
          <w:p w14:paraId="3DD130A8" w14:textId="4F835FBF" w:rsidR="00D968B2" w:rsidRPr="007C4906" w:rsidRDefault="00F36250"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D4481AA" w14:textId="328AD41F" w:rsidR="00D968B2" w:rsidRPr="00F36250" w:rsidRDefault="00F36250" w:rsidP="00F36250">
            <w:pPr>
              <w:adjustRightInd w:val="0"/>
              <w:snapToGrid w:val="0"/>
              <w:spacing w:after="120"/>
              <w:rPr>
                <w:rFonts w:eastAsiaTheme="minorEastAsia"/>
                <w:lang w:eastAsia="zh-CN"/>
              </w:rPr>
            </w:pPr>
            <w:r>
              <w:rPr>
                <w:rFonts w:eastAsiaTheme="minorEastAsia" w:hint="eastAsia"/>
                <w:lang w:eastAsia="zh-CN"/>
              </w:rPr>
              <w:t>W</w:t>
            </w:r>
            <w:r>
              <w:rPr>
                <w:rFonts w:eastAsiaTheme="minorEastAsia"/>
                <w:lang w:eastAsia="zh-CN"/>
              </w:rPr>
              <w:t>e are supportive on FL’s proposal. Support both options are flexible for network implementation. For sake of progress, positive for both options seems to be a good compromise.</w:t>
            </w:r>
          </w:p>
        </w:tc>
      </w:tr>
      <w:tr w:rsidR="001532E6" w:rsidRPr="00902581" w14:paraId="5D3DD484" w14:textId="77777777" w:rsidTr="0081166B">
        <w:tc>
          <w:tcPr>
            <w:tcW w:w="932" w:type="pct"/>
          </w:tcPr>
          <w:p w14:paraId="4982AE9C" w14:textId="369E06A6" w:rsidR="001532E6" w:rsidRDefault="001532E6" w:rsidP="00D968B2">
            <w:pPr>
              <w:rPr>
                <w:rFonts w:eastAsiaTheme="minorEastAsia" w:hint="eastAsia"/>
                <w:lang w:eastAsia="zh-CN"/>
              </w:rPr>
            </w:pPr>
            <w:r>
              <w:rPr>
                <w:rFonts w:eastAsiaTheme="minorEastAsia"/>
                <w:lang w:eastAsia="zh-CN"/>
              </w:rPr>
              <w:t>Apple</w:t>
            </w:r>
          </w:p>
        </w:tc>
        <w:tc>
          <w:tcPr>
            <w:tcW w:w="4068" w:type="pct"/>
          </w:tcPr>
          <w:p w14:paraId="3571790E" w14:textId="1DE23B72" w:rsidR="001532E6" w:rsidRDefault="001532E6" w:rsidP="00F36250">
            <w:pPr>
              <w:adjustRightInd w:val="0"/>
              <w:snapToGrid w:val="0"/>
              <w:spacing w:after="120"/>
              <w:rPr>
                <w:rFonts w:eastAsiaTheme="minorEastAsia" w:hint="eastAsia"/>
                <w:lang w:eastAsia="zh-CN"/>
              </w:rPr>
            </w:pPr>
            <w:r>
              <w:rPr>
                <w:rFonts w:eastAsiaTheme="minorEastAsia"/>
                <w:lang w:eastAsia="zh-CN"/>
              </w:rPr>
              <w:t xml:space="preserve">Having the reference point at </w:t>
            </w:r>
            <w:proofErr w:type="spellStart"/>
            <w:r>
              <w:rPr>
                <w:rFonts w:eastAsiaTheme="minorEastAsia"/>
                <w:lang w:eastAsia="zh-CN"/>
              </w:rPr>
              <w:t>gNB</w:t>
            </w:r>
            <w:proofErr w:type="spellEnd"/>
            <w:r>
              <w:rPr>
                <w:rFonts w:eastAsiaTheme="minorEastAsia"/>
                <w:lang w:eastAsia="zh-CN"/>
              </w:rPr>
              <w:t xml:space="preserve"> and having the reference point at satellite will require different signaling designs. For the latter case, no common TA needs to be broadcast. We feel FL’s updated proposal does not reflect one of the benefits resulting from the reference point at satellite. We are supportive to the proposal from MediaTek.</w:t>
            </w: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Heading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ListParagraph"/>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ListParagraph"/>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t>MediaTek</w:t>
            </w:r>
          </w:p>
        </w:tc>
        <w:tc>
          <w:tcPr>
            <w:tcW w:w="4068" w:type="pct"/>
          </w:tcPr>
          <w:p w14:paraId="763B2D1C" w14:textId="683FE920" w:rsidR="009E2ADF" w:rsidRPr="007C4906" w:rsidRDefault="009C16E2" w:rsidP="0081166B">
            <w:pPr>
              <w:pStyle w:val="ListParagraph"/>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ListParagraph"/>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lastRenderedPageBreak/>
              <w:t xml:space="preserve">We also support a common timing drift rate, i.e., suggest to remove "FFS: ". The drift rate can enable UEs to update autonomously their TA, which would help to </w:t>
            </w:r>
            <w:proofErr w:type="spellStart"/>
            <w:r w:rsidRPr="00AF346B">
              <w:rPr>
                <w:rFonts w:eastAsiaTheme="minorEastAsia"/>
                <w:lang w:eastAsia="zh-CN"/>
              </w:rPr>
              <w:t>increaseaccuracy</w:t>
            </w:r>
            <w:proofErr w:type="spellEnd"/>
            <w:r w:rsidRPr="00AF346B">
              <w:rPr>
                <w:rFonts w:eastAsiaTheme="minorEastAsia"/>
                <w:lang w:eastAsia="zh-CN"/>
              </w:rPr>
              <w:t xml:space="preserve"> of TA. </w:t>
            </w:r>
          </w:p>
          <w:p w14:paraId="42A93798" w14:textId="77777777" w:rsidR="00AF346B" w:rsidRPr="00AF346B" w:rsidRDefault="00AF346B" w:rsidP="00AF346B">
            <w:pPr>
              <w:pStyle w:val="ListParagraph"/>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One more benefit from the drift rate makes a UE to calculate Doppler as well as TA from drift rate. In other words, the gNB can jointly signal common TA drift rate </w:t>
            </w:r>
            <w:proofErr w:type="spellStart"/>
            <w:r w:rsidRPr="00AF346B">
              <w:rPr>
                <w:rFonts w:eastAsiaTheme="minorEastAsia"/>
                <w:lang w:eastAsia="zh-CN"/>
              </w:rPr>
              <w:t>andDoppler</w:t>
            </w:r>
            <w:proofErr w:type="spellEnd"/>
            <w:r w:rsidRPr="00AF346B">
              <w:rPr>
                <w:rFonts w:eastAsiaTheme="minorEastAsia"/>
                <w:lang w:eastAsia="zh-CN"/>
              </w:rPr>
              <w:t xml:space="preserve"> shift such as the UE derives Doppler shift from common TA drift rate signaled by </w:t>
            </w:r>
            <w:proofErr w:type="spellStart"/>
            <w:r w:rsidRPr="00AF346B">
              <w:rPr>
                <w:rFonts w:eastAsiaTheme="minorEastAsia"/>
                <w:lang w:eastAsia="zh-CN"/>
              </w:rPr>
              <w:t>gNB</w:t>
            </w:r>
            <w:proofErr w:type="spellEnd"/>
            <w:r w:rsidRPr="00AF346B">
              <w:rPr>
                <w:rFonts w:eastAsiaTheme="minorEastAsia"/>
                <w:lang w:eastAsia="zh-CN"/>
              </w:rPr>
              <w:t xml:space="preserve"> or vice versa.</w:t>
            </w:r>
          </w:p>
        </w:tc>
      </w:tr>
      <w:tr w:rsidR="00D968B2" w:rsidRPr="00902581" w14:paraId="6A9A16F9" w14:textId="77777777" w:rsidTr="0081166B">
        <w:tc>
          <w:tcPr>
            <w:tcW w:w="932" w:type="pct"/>
          </w:tcPr>
          <w:p w14:paraId="518C0C09" w14:textId="001E934F" w:rsidR="00D968B2" w:rsidRPr="007C4906" w:rsidRDefault="00D968B2" w:rsidP="00D968B2">
            <w:pPr>
              <w:rPr>
                <w:rFonts w:eastAsiaTheme="minorEastAsia"/>
                <w:lang w:eastAsia="zh-CN"/>
              </w:rPr>
            </w:pPr>
            <w:r>
              <w:rPr>
                <w:rFonts w:eastAsiaTheme="minorEastAsia"/>
                <w:lang w:eastAsia="zh-CN"/>
              </w:rPr>
              <w:lastRenderedPageBreak/>
              <w:t>Xiaomi</w:t>
            </w:r>
          </w:p>
        </w:tc>
        <w:tc>
          <w:tcPr>
            <w:tcW w:w="4068" w:type="pct"/>
          </w:tcPr>
          <w:p w14:paraId="04B68F0A" w14:textId="3005DF6B" w:rsidR="00D968B2" w:rsidRPr="007C4906" w:rsidRDefault="00D968B2" w:rsidP="00D968B2">
            <w:pPr>
              <w:pStyle w:val="ListParagraph"/>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D968B2" w:rsidRPr="00902581" w14:paraId="246501E7" w14:textId="77777777" w:rsidTr="0081166B">
        <w:tc>
          <w:tcPr>
            <w:tcW w:w="932" w:type="pct"/>
          </w:tcPr>
          <w:p w14:paraId="77D2912F" w14:textId="28EFB85F" w:rsidR="00D968B2" w:rsidRPr="007C4906"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8BF05" w14:textId="035802AF" w:rsidR="00D968B2" w:rsidRPr="005379D7" w:rsidRDefault="005379D7" w:rsidP="005379D7">
            <w:pPr>
              <w:adjustRightInd w:val="0"/>
              <w:snapToGrid w:val="0"/>
              <w:spacing w:after="120"/>
              <w:rPr>
                <w:rFonts w:eastAsiaTheme="minorEastAsia"/>
                <w:lang w:eastAsia="zh-CN"/>
              </w:rPr>
            </w:pPr>
            <w:r>
              <w:rPr>
                <w:rFonts w:eastAsiaTheme="minorEastAsia" w:hint="eastAsia"/>
                <w:lang w:eastAsia="zh-CN"/>
              </w:rPr>
              <w:t>F</w:t>
            </w:r>
            <w:r>
              <w:rPr>
                <w:rFonts w:eastAsiaTheme="minorEastAsia"/>
                <w:lang w:eastAsia="zh-CN"/>
              </w:rPr>
              <w:t>ine to take this proposal.</w:t>
            </w:r>
          </w:p>
        </w:tc>
      </w:tr>
      <w:tr w:rsidR="001532E6" w:rsidRPr="00902581" w14:paraId="7218A79A" w14:textId="77777777" w:rsidTr="0081166B">
        <w:tc>
          <w:tcPr>
            <w:tcW w:w="932" w:type="pct"/>
          </w:tcPr>
          <w:p w14:paraId="740C8FB3" w14:textId="7447510E" w:rsidR="001532E6" w:rsidRDefault="001532E6" w:rsidP="001532E6">
            <w:pPr>
              <w:rPr>
                <w:rFonts w:eastAsiaTheme="minorEastAsia" w:hint="eastAsia"/>
                <w:lang w:eastAsia="zh-CN"/>
              </w:rPr>
            </w:pPr>
            <w:r>
              <w:rPr>
                <w:rFonts w:eastAsiaTheme="minorEastAsia"/>
                <w:lang w:eastAsia="zh-CN"/>
              </w:rPr>
              <w:t>Apple</w:t>
            </w:r>
          </w:p>
        </w:tc>
        <w:tc>
          <w:tcPr>
            <w:tcW w:w="4068" w:type="pct"/>
          </w:tcPr>
          <w:p w14:paraId="20F1AA22" w14:textId="1C609212" w:rsidR="001532E6" w:rsidRDefault="001532E6" w:rsidP="001532E6">
            <w:pPr>
              <w:adjustRightInd w:val="0"/>
              <w:snapToGrid w:val="0"/>
              <w:spacing w:after="120"/>
              <w:rPr>
                <w:rFonts w:eastAsiaTheme="minorEastAsia" w:hint="eastAsia"/>
                <w:lang w:eastAsia="zh-CN"/>
              </w:rPr>
            </w:pPr>
            <w:r>
              <w:rPr>
                <w:rFonts w:eastAsiaTheme="minorEastAsia"/>
                <w:lang w:eastAsia="zh-CN"/>
              </w:rPr>
              <w:t xml:space="preserve">The proposal could be discussed after the reference point is determined. If the reference point is set at satellite, then the proposal may not be needed. </w:t>
            </w: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[Ericsson] mentioned another solution for TA acquisition where the common TA indication may not be needed. This solution requires the gNB to broadcast a reference point of the feeder link. The UE pre-compensate also the timing offset observed on the link between the satellite and the reference point of the</w:t>
      </w:r>
      <w:r>
        <w:rPr>
          <w:lang w:val="en-US"/>
        </w:rPr>
        <w:t xml:space="preserve"> feeder link. However, it </w:t>
      </w:r>
      <w:proofErr w:type="gramStart"/>
      <w:r>
        <w:rPr>
          <w:lang w:val="en-US"/>
        </w:rPr>
        <w:t xml:space="preserve">is </w:t>
      </w:r>
      <w:r w:rsidRPr="00B26677">
        <w:rPr>
          <w:lang w:val="en-US"/>
        </w:rPr>
        <w:t xml:space="preserve"> unclear</w:t>
      </w:r>
      <w:proofErr w:type="gramEnd"/>
      <w:r w:rsidRPr="00B26677">
        <w:rPr>
          <w:lang w:val="en-US"/>
        </w:rPr>
        <w:t xml:space="preserve">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Heading3"/>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lastRenderedPageBreak/>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ListParagraph"/>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proofErr w:type="gramStart"/>
      <w:r w:rsidRPr="00902581">
        <w:rPr>
          <w:lang w:val="en-US"/>
        </w:rPr>
        <w:t>N</w:t>
      </w:r>
      <w:r w:rsidRPr="00902581">
        <w:rPr>
          <w:vertAlign w:val="subscript"/>
          <w:lang w:val="en-US"/>
        </w:rPr>
        <w:t>TA,margin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ListParagraph"/>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lastRenderedPageBreak/>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ra-ResponseWindow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lastRenderedPageBreak/>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ListParagraph"/>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ListParagraph"/>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ListParagraph"/>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ListParagraph"/>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lastRenderedPageBreak/>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lastRenderedPageBreak/>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proofErr w:type="spellStart"/>
            <w:r>
              <w:rPr>
                <w:rFonts w:eastAsia="Malgun Gothic"/>
                <w:lang w:eastAsia="ko-KR"/>
              </w:rPr>
              <w:t>CEWiT</w:t>
            </w:r>
            <w:proofErr w:type="spellEnd"/>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t>Solution#1-2-3</w:t>
            </w:r>
            <w:r>
              <w:t xml:space="preserve"> (RAR (Msg2) has the maximum correction capability, e.g., 2ms for SCS = 15kHz, in the preamble reception </w:t>
            </w:r>
            <w:r>
              <w:lastRenderedPageBreak/>
              <w:t>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lastRenderedPageBreak/>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BodyText"/>
              <w:spacing w:line="256" w:lineRule="auto"/>
            </w:pPr>
            <w:r>
              <w:t>Solution# 1-2-4</w:t>
            </w:r>
          </w:p>
        </w:tc>
        <w:tc>
          <w:tcPr>
            <w:tcW w:w="2700" w:type="dxa"/>
          </w:tcPr>
          <w:p w14:paraId="52962A13" w14:textId="77777777" w:rsidR="00C0766C" w:rsidRPr="00CD3B15" w:rsidRDefault="00C0766C" w:rsidP="008E3CD7">
            <w:pPr>
              <w:pStyle w:val="BodyText"/>
              <w:spacing w:line="256" w:lineRule="auto"/>
            </w:pPr>
            <w:r>
              <w:t>Solution# 1-2-2</w:t>
            </w:r>
          </w:p>
        </w:tc>
        <w:tc>
          <w:tcPr>
            <w:tcW w:w="2970" w:type="dxa"/>
          </w:tcPr>
          <w:p w14:paraId="65D8FAE2" w14:textId="77777777" w:rsidR="00C0766C" w:rsidRPr="00CD3B15" w:rsidRDefault="00C0766C" w:rsidP="008E3CD7">
            <w:pPr>
              <w:pStyle w:val="BodyText"/>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BodyText"/>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BodyText"/>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BodyText"/>
              <w:spacing w:line="256" w:lineRule="auto"/>
            </w:pPr>
          </w:p>
        </w:tc>
        <w:tc>
          <w:tcPr>
            <w:tcW w:w="2970" w:type="dxa"/>
          </w:tcPr>
          <w:p w14:paraId="3879F53D" w14:textId="77777777" w:rsidR="008A26E3" w:rsidRPr="00241C0C" w:rsidRDefault="008A26E3" w:rsidP="008A26E3">
            <w:pPr>
              <w:pStyle w:val="BodyText"/>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BodyText"/>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BodyText"/>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BodyText"/>
              <w:spacing w:line="256" w:lineRule="auto"/>
            </w:pPr>
            <w:r w:rsidRPr="00902581">
              <w:t>Solution #</w:t>
            </w:r>
            <w:r>
              <w:t>1-2-3</w:t>
            </w:r>
          </w:p>
          <w:p w14:paraId="2E6D209A" w14:textId="134FE300" w:rsidR="00645E03" w:rsidRPr="00902581" w:rsidRDefault="00645E03" w:rsidP="00645E03">
            <w:pPr>
              <w:pStyle w:val="BodyText"/>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the ra-ResponseWindow.</w:t>
            </w:r>
          </w:p>
        </w:tc>
        <w:tc>
          <w:tcPr>
            <w:tcW w:w="2700" w:type="dxa"/>
          </w:tcPr>
          <w:p w14:paraId="2B887AC1" w14:textId="7AC433B0" w:rsidR="00645E03" w:rsidRPr="00902581" w:rsidRDefault="00645E03" w:rsidP="00645E03">
            <w:pPr>
              <w:pStyle w:val="BodyText"/>
              <w:spacing w:line="256" w:lineRule="auto"/>
            </w:pPr>
            <w:r w:rsidRPr="00902581">
              <w:t>Solution #</w:t>
            </w:r>
            <w:r>
              <w:t>1-2-4</w:t>
            </w:r>
          </w:p>
        </w:tc>
        <w:tc>
          <w:tcPr>
            <w:tcW w:w="2970" w:type="dxa"/>
          </w:tcPr>
          <w:p w14:paraId="2DDA0A8B" w14:textId="53FFEC16" w:rsidR="00645E03" w:rsidRPr="00241C0C" w:rsidRDefault="00645E03" w:rsidP="00645E03">
            <w:pPr>
              <w:pStyle w:val="BodyText"/>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BodyText"/>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BodyText"/>
              <w:spacing w:line="256" w:lineRule="auto"/>
            </w:pPr>
            <w:r w:rsidRPr="005543A3">
              <w:rPr>
                <w:rFonts w:hint="eastAsia"/>
              </w:rPr>
              <w:t>Solution#1-2-4</w:t>
            </w:r>
          </w:p>
        </w:tc>
        <w:tc>
          <w:tcPr>
            <w:tcW w:w="2700" w:type="dxa"/>
          </w:tcPr>
          <w:p w14:paraId="6029FEC4" w14:textId="77777777" w:rsidR="003A01C6" w:rsidRDefault="003A01C6" w:rsidP="003A01C6">
            <w:pPr>
              <w:pStyle w:val="BodyText"/>
              <w:spacing w:line="256" w:lineRule="auto"/>
            </w:pPr>
            <w:r w:rsidRPr="005543A3">
              <w:rPr>
                <w:rFonts w:hint="eastAsia"/>
              </w:rPr>
              <w:t>Solution#1-2-</w:t>
            </w:r>
            <w:r>
              <w:t xml:space="preserve">3, #1-2-2 </w:t>
            </w:r>
          </w:p>
          <w:p w14:paraId="3006C371" w14:textId="461F9F43" w:rsidR="003A01C6" w:rsidRPr="00902581" w:rsidRDefault="003A01C6" w:rsidP="003A01C6">
            <w:pPr>
              <w:pStyle w:val="BodyText"/>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BodyText"/>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BodyText"/>
              <w:spacing w:line="256" w:lineRule="auto"/>
            </w:pPr>
            <w:r w:rsidRPr="00902581">
              <w:t>Solution#</w:t>
            </w:r>
            <w:r>
              <w:t>1-2-3</w:t>
            </w:r>
          </w:p>
        </w:tc>
        <w:tc>
          <w:tcPr>
            <w:tcW w:w="2700" w:type="dxa"/>
          </w:tcPr>
          <w:p w14:paraId="7F23222D" w14:textId="20ACF914" w:rsidR="00843356" w:rsidRPr="005543A3" w:rsidRDefault="00843356" w:rsidP="00843356">
            <w:pPr>
              <w:pStyle w:val="BodyText"/>
              <w:spacing w:line="256" w:lineRule="auto"/>
            </w:pPr>
            <w:r w:rsidRPr="00902581">
              <w:t>Solution#</w:t>
            </w:r>
            <w:r>
              <w:t>1-2-4</w:t>
            </w:r>
          </w:p>
        </w:tc>
        <w:tc>
          <w:tcPr>
            <w:tcW w:w="2970" w:type="dxa"/>
          </w:tcPr>
          <w:p w14:paraId="01E30B11" w14:textId="77777777" w:rsidR="00843356" w:rsidRPr="005543A3" w:rsidRDefault="00843356" w:rsidP="00843356">
            <w:pPr>
              <w:pStyle w:val="BodyText"/>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BodyText"/>
              <w:spacing w:line="256" w:lineRule="auto"/>
            </w:pPr>
            <w:r>
              <w:t>Thales</w:t>
            </w:r>
          </w:p>
        </w:tc>
        <w:tc>
          <w:tcPr>
            <w:tcW w:w="2790" w:type="dxa"/>
          </w:tcPr>
          <w:p w14:paraId="0ABE305F" w14:textId="4604A6C8" w:rsidR="00E754B9" w:rsidRPr="005543A3" w:rsidRDefault="00E754B9" w:rsidP="00843356">
            <w:pPr>
              <w:pStyle w:val="BodyText"/>
              <w:spacing w:line="256" w:lineRule="auto"/>
            </w:pPr>
            <w:r>
              <w:t>1-2-3 to provide clear design</w:t>
            </w:r>
          </w:p>
        </w:tc>
        <w:tc>
          <w:tcPr>
            <w:tcW w:w="2700" w:type="dxa"/>
          </w:tcPr>
          <w:p w14:paraId="3D5270D9" w14:textId="3B7F17F4" w:rsidR="00E754B9" w:rsidRPr="005543A3" w:rsidRDefault="00E754B9" w:rsidP="00843356">
            <w:pPr>
              <w:pStyle w:val="BodyText"/>
              <w:spacing w:line="256" w:lineRule="auto"/>
            </w:pPr>
            <w:r>
              <w:t>1-2-4: TA margin absorbed by Common TA.</w:t>
            </w:r>
          </w:p>
        </w:tc>
        <w:tc>
          <w:tcPr>
            <w:tcW w:w="2970" w:type="dxa"/>
          </w:tcPr>
          <w:p w14:paraId="1EC0017C" w14:textId="15C6C88E" w:rsidR="00E754B9" w:rsidRPr="005543A3" w:rsidRDefault="00E754B9" w:rsidP="00843356">
            <w:pPr>
              <w:pStyle w:val="BodyText"/>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BodyText"/>
              <w:spacing w:line="256" w:lineRule="auto"/>
            </w:pPr>
            <w:r>
              <w:t>Nokia, Nokia Shanghai Bell</w:t>
            </w:r>
          </w:p>
        </w:tc>
        <w:tc>
          <w:tcPr>
            <w:tcW w:w="2790" w:type="dxa"/>
          </w:tcPr>
          <w:p w14:paraId="49EFA64F" w14:textId="73015E51" w:rsidR="008E3CD7" w:rsidRDefault="008E3CD7" w:rsidP="008E3CD7">
            <w:pPr>
              <w:pStyle w:val="BodyText"/>
              <w:spacing w:line="256" w:lineRule="auto"/>
            </w:pPr>
            <w:r>
              <w:t xml:space="preserve">As a starting point, using the </w:t>
            </w:r>
            <w:proofErr w:type="spellStart"/>
            <w:r>
              <w:t>referenceTimeInfo</w:t>
            </w:r>
            <w:proofErr w:type="spellEnd"/>
            <w:r>
              <w:t>,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BodyText"/>
              <w:spacing w:line="256" w:lineRule="auto"/>
            </w:pPr>
          </w:p>
        </w:tc>
        <w:tc>
          <w:tcPr>
            <w:tcW w:w="2970" w:type="dxa"/>
          </w:tcPr>
          <w:p w14:paraId="708975F8" w14:textId="77777777" w:rsidR="008E3CD7" w:rsidRDefault="008E3CD7" w:rsidP="008E3CD7">
            <w:pPr>
              <w:pStyle w:val="BodyText"/>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BodyText"/>
              <w:spacing w:line="256" w:lineRule="auto"/>
            </w:pPr>
            <w:r>
              <w:t>Sony</w:t>
            </w:r>
          </w:p>
        </w:tc>
        <w:tc>
          <w:tcPr>
            <w:tcW w:w="2790" w:type="dxa"/>
          </w:tcPr>
          <w:p w14:paraId="1CAD2FC1" w14:textId="77777777" w:rsidR="007F5EDE" w:rsidRPr="00902581" w:rsidRDefault="007F5EDE" w:rsidP="004110E0">
            <w:pPr>
              <w:pStyle w:val="BodyText"/>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BodyText"/>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BodyText"/>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BodyText"/>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BodyText"/>
              <w:spacing w:line="256" w:lineRule="auto"/>
            </w:pPr>
            <w:r w:rsidRPr="00747DFD">
              <w:t>Solution#1-2-3</w:t>
            </w:r>
          </w:p>
        </w:tc>
        <w:tc>
          <w:tcPr>
            <w:tcW w:w="2970" w:type="dxa"/>
          </w:tcPr>
          <w:p w14:paraId="255F464E" w14:textId="77777777" w:rsidR="004110E0" w:rsidRPr="00747DFD" w:rsidRDefault="004110E0" w:rsidP="004110E0">
            <w:pPr>
              <w:pStyle w:val="BodyText"/>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Heading4"/>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BodyText"/>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BodyText"/>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BodyText"/>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BodyText"/>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BodyText"/>
              <w:spacing w:line="252" w:lineRule="auto"/>
              <w:rPr>
                <w:rFonts w:eastAsiaTheme="minorHAnsi"/>
              </w:rPr>
            </w:pPr>
            <w:r>
              <w:t>1-2-1</w:t>
            </w:r>
          </w:p>
          <w:p w14:paraId="7D61C75B" w14:textId="77777777" w:rsidR="00EC360D" w:rsidRDefault="00EC360D">
            <w:pPr>
              <w:pStyle w:val="BodyText"/>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BodyText"/>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BodyText"/>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BodyText"/>
              <w:spacing w:line="252" w:lineRule="auto"/>
              <w:rPr>
                <w:rFonts w:eastAsiaTheme="minorHAnsi"/>
              </w:rPr>
            </w:pPr>
            <w:r>
              <w:t>Intel</w:t>
            </w:r>
          </w:p>
          <w:p w14:paraId="354B094C" w14:textId="77777777" w:rsidR="00EC360D" w:rsidRDefault="00EC360D">
            <w:pPr>
              <w:pStyle w:val="BodyText"/>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BodyText"/>
              <w:spacing w:line="252" w:lineRule="auto"/>
              <w:rPr>
                <w:rFonts w:eastAsiaTheme="minorHAnsi"/>
                <w:lang w:eastAsia="ko-KR"/>
              </w:rPr>
            </w:pPr>
            <w:r>
              <w:t xml:space="preserve">MTK, Ericsson, Huawei, Lenovo, CATT, </w:t>
            </w:r>
            <w:proofErr w:type="spellStart"/>
            <w:r>
              <w:rPr>
                <w:lang w:eastAsia="ko-KR"/>
              </w:rPr>
              <w:t>CEWiT</w:t>
            </w:r>
            <w:proofErr w:type="spellEnd"/>
            <w:r>
              <w:rPr>
                <w:lang w:eastAsia="ko-KR"/>
              </w:rPr>
              <w:t xml:space="preserve">, </w:t>
            </w:r>
            <w:r>
              <w:t xml:space="preserve">APT, </w:t>
            </w:r>
            <w:r>
              <w:rPr>
                <w:lang w:eastAsia="ko-KR"/>
              </w:rPr>
              <w:t xml:space="preserve">LG, ETRI, </w:t>
            </w:r>
            <w:r>
              <w:t xml:space="preserve">Fraunhofer, Thales, </w:t>
            </w:r>
            <w:r>
              <w:rPr>
                <w:lang w:eastAsia="ko-KR"/>
              </w:rPr>
              <w:t>Eutelsat</w:t>
            </w:r>
          </w:p>
          <w:p w14:paraId="01389F91" w14:textId="77777777" w:rsidR="00EC360D" w:rsidRDefault="00EC360D">
            <w:pPr>
              <w:pStyle w:val="BodyText"/>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BodyText"/>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BodyText"/>
              <w:spacing w:line="252" w:lineRule="auto"/>
              <w:rPr>
                <w:rFonts w:eastAsiaTheme="minorHAnsi"/>
              </w:rPr>
            </w:pPr>
            <w:r>
              <w:t>Intel, OPPO, Panasonic</w:t>
            </w:r>
          </w:p>
          <w:p w14:paraId="77638B77" w14:textId="77777777" w:rsidR="00EC360D" w:rsidRDefault="00EC360D">
            <w:pPr>
              <w:pStyle w:val="BodyText"/>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BodyText"/>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BodyText"/>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BodyText"/>
              <w:spacing w:line="252" w:lineRule="auto"/>
              <w:rPr>
                <w:rFonts w:eastAsiaTheme="minorHAnsi"/>
                <w:lang w:eastAsia="ko-KR"/>
              </w:rPr>
            </w:pPr>
            <w:proofErr w:type="spellStart"/>
            <w:r>
              <w:rPr>
                <w:lang w:eastAsia="ko-KR"/>
              </w:rPr>
              <w:t>CEWiT</w:t>
            </w:r>
            <w:proofErr w:type="spellEnd"/>
          </w:p>
          <w:p w14:paraId="00D91AB7" w14:textId="77777777" w:rsidR="00EC360D" w:rsidRDefault="00EC360D">
            <w:pPr>
              <w:pStyle w:val="BodyText"/>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BodyText"/>
              <w:spacing w:line="252" w:lineRule="auto"/>
              <w:rPr>
                <w:rFonts w:eastAsiaTheme="minorHAnsi"/>
              </w:rPr>
            </w:pPr>
            <w:r>
              <w:t>1-2-3</w:t>
            </w:r>
          </w:p>
          <w:p w14:paraId="307ED769" w14:textId="77777777" w:rsidR="00EC360D" w:rsidRDefault="00EC360D">
            <w:pPr>
              <w:pStyle w:val="BodyText"/>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BodyText"/>
              <w:spacing w:line="252" w:lineRule="auto"/>
              <w:rPr>
                <w:rFonts w:eastAsiaTheme="minorHAnsi"/>
              </w:rPr>
            </w:pPr>
            <w:r>
              <w:t xml:space="preserve">OPPO, Huawei, CATT, </w:t>
            </w:r>
            <w:proofErr w:type="spellStart"/>
            <w:r>
              <w:t>CEWiT</w:t>
            </w:r>
            <w:proofErr w:type="spellEnd"/>
            <w:r>
              <w:t xml:space="preserve">, </w:t>
            </w:r>
            <w:r>
              <w:rPr>
                <w:lang w:eastAsia="ko-KR"/>
              </w:rPr>
              <w:t xml:space="preserve">LG, ETRI, </w:t>
            </w:r>
            <w:r>
              <w:rPr>
                <w:lang w:eastAsia="zh-CN"/>
              </w:rPr>
              <w:t xml:space="preserve">vivo, </w:t>
            </w:r>
            <w:r>
              <w:t>Thales</w:t>
            </w:r>
          </w:p>
          <w:p w14:paraId="510AC77D" w14:textId="77777777" w:rsidR="00EC360D" w:rsidRDefault="00EC360D">
            <w:pPr>
              <w:pStyle w:val="BodyText"/>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BodyText"/>
              <w:spacing w:line="252" w:lineRule="auto"/>
              <w:rPr>
                <w:rFonts w:eastAsiaTheme="minorHAnsi"/>
                <w:lang w:eastAsia="ko-KR"/>
              </w:rPr>
            </w:pPr>
            <w:r>
              <w:t xml:space="preserve">MTK, Ericsson, Fraunhofer, </w:t>
            </w:r>
            <w:r>
              <w:rPr>
                <w:lang w:eastAsia="ko-KR"/>
              </w:rPr>
              <w:t>Eutelsat</w:t>
            </w:r>
          </w:p>
          <w:p w14:paraId="37AC8ACA" w14:textId="77777777" w:rsidR="00EC360D" w:rsidRDefault="00EC360D">
            <w:pPr>
              <w:pStyle w:val="BodyText"/>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BodyText"/>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BodyText"/>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BodyText"/>
              <w:spacing w:line="252" w:lineRule="auto"/>
              <w:rPr>
                <w:rFonts w:eastAsiaTheme="minorHAnsi"/>
              </w:rPr>
            </w:pPr>
            <w:r>
              <w:t>1-2-4</w:t>
            </w:r>
          </w:p>
          <w:p w14:paraId="72E41C51" w14:textId="77777777" w:rsidR="00EC360D" w:rsidRDefault="00EC360D">
            <w:pPr>
              <w:pStyle w:val="BodyText"/>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BodyText"/>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BodyText"/>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BodyText"/>
              <w:spacing w:line="252" w:lineRule="auto"/>
              <w:rPr>
                <w:rFonts w:eastAsiaTheme="minorHAnsi"/>
              </w:rPr>
            </w:pPr>
            <w:r>
              <w:t xml:space="preserve">ZTE, Huawei, Samsung, </w:t>
            </w:r>
            <w:proofErr w:type="spellStart"/>
            <w:r>
              <w:rPr>
                <w:lang w:eastAsia="ko-KR"/>
              </w:rPr>
              <w:t>CEWiT</w:t>
            </w:r>
            <w:proofErr w:type="spellEnd"/>
            <w:r>
              <w:rPr>
                <w:lang w:eastAsia="ko-KR"/>
              </w:rPr>
              <w:t xml:space="preserve">,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BodyText"/>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BodyText"/>
              <w:spacing w:line="252" w:lineRule="auto"/>
              <w:rPr>
                <w:rFonts w:eastAsiaTheme="minorHAnsi"/>
                <w:lang w:eastAsia="ko-KR"/>
              </w:rPr>
            </w:pPr>
            <w:r>
              <w:t xml:space="preserve">Apple, CATT, </w:t>
            </w:r>
            <w:r>
              <w:rPr>
                <w:lang w:eastAsia="ko-KR"/>
              </w:rPr>
              <w:t>LG</w:t>
            </w:r>
          </w:p>
          <w:p w14:paraId="65A72BF6" w14:textId="77777777" w:rsidR="00EC360D" w:rsidRDefault="00EC360D">
            <w:pPr>
              <w:pStyle w:val="BodyText"/>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proofErr w:type="gramStart"/>
      <w:r>
        <w:rPr>
          <w:rFonts w:ascii="Times New Roman" w:hAnsi="Times New Roman" w:cs="Times New Roman"/>
          <w:highlight w:val="yellow"/>
        </w:rPr>
        <w:t>Potential  proposal</w:t>
      </w:r>
      <w:proofErr w:type="gramEnd"/>
      <w:r>
        <w:rPr>
          <w:rFonts w:ascii="Times New Roman" w:hAnsi="Times New Roman" w:cs="Times New Roman"/>
          <w:highlight w:val="yellow"/>
        </w:rPr>
        <w:t xml:space="preserve">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proofErr w:type="spellStart"/>
            <w:r>
              <w:rPr>
                <w:rFonts w:eastAsiaTheme="minorEastAsia"/>
                <w:lang w:eastAsia="zh-CN"/>
              </w:rPr>
              <w:t>MedeaTek</w:t>
            </w:r>
            <w:proofErr w:type="spellEnd"/>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“Autonomous TA margin is included within the Common TA broadcast by gNB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Malgun Gothic"/>
                <w:lang w:eastAsia="ko-KR"/>
              </w:rPr>
            </w:pPr>
            <w:r>
              <w:rPr>
                <w:rFonts w:eastAsia="Malgun Gothic"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Malgun Gothic" w:hint="eastAsia"/>
                <w:lang w:eastAsia="ko-KR"/>
              </w:rPr>
              <w:lastRenderedPageBreak/>
              <w:t>LG</w:t>
            </w:r>
          </w:p>
        </w:tc>
        <w:tc>
          <w:tcPr>
            <w:tcW w:w="4068" w:type="pct"/>
          </w:tcPr>
          <w:p w14:paraId="30D63D77" w14:textId="77777777" w:rsidR="00BB4614" w:rsidRPr="00BB4614" w:rsidRDefault="00BB4614" w:rsidP="00BB4614">
            <w:pPr>
              <w:adjustRightInd w:val="0"/>
              <w:snapToGrid w:val="0"/>
              <w:spacing w:after="120"/>
              <w:rPr>
                <w:rFonts w:eastAsia="Malgun Gothic"/>
                <w:lang w:eastAsia="ko-KR"/>
              </w:rPr>
            </w:pPr>
            <w:r w:rsidRPr="00BB4614">
              <w:rPr>
                <w:rFonts w:eastAsia="Malgun Gothic" w:hint="eastAsia"/>
                <w:lang w:eastAsia="ko-KR"/>
              </w:rPr>
              <w:t>We cannot agree the proposal 1-3.</w:t>
            </w:r>
          </w:p>
          <w:p w14:paraId="2600DEBD" w14:textId="77777777" w:rsidR="00BB4614" w:rsidRPr="00BB4614" w:rsidRDefault="00BB4614" w:rsidP="00BB4614">
            <w:pPr>
              <w:adjustRightInd w:val="0"/>
              <w:snapToGrid w:val="0"/>
              <w:spacing w:after="120"/>
              <w:rPr>
                <w:rFonts w:eastAsia="Malgun Gothic"/>
                <w:lang w:eastAsia="ko-KR"/>
              </w:rPr>
            </w:pPr>
            <w:r w:rsidRPr="00BB4614">
              <w:rPr>
                <w:rFonts w:eastAsia="Malgun Gothic"/>
                <w:lang w:eastAsia="ko-KR"/>
              </w:rPr>
              <w:t xml:space="preserve">In case when the RP is located at satellite, the Common TA (RTD from satellite to gNB) will be zero and it may not be necessary to provide the Common TA by gNB.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Malgun Gothic"/>
                <w:lang w:eastAsia="ko-KR"/>
              </w:rPr>
              <w:t xml:space="preserve">Therefore, the option that the TA offset is indicated via SIB should be included in this proposal.  </w:t>
            </w:r>
          </w:p>
        </w:tc>
      </w:tr>
      <w:tr w:rsidR="00D968B2" w:rsidRPr="00902581" w14:paraId="70ED1F11" w14:textId="77777777" w:rsidTr="0081166B">
        <w:tc>
          <w:tcPr>
            <w:tcW w:w="932" w:type="pct"/>
          </w:tcPr>
          <w:p w14:paraId="68308B0B" w14:textId="6BD3461D"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304D5" w14:textId="2335BCA0" w:rsidR="00D968B2" w:rsidRPr="007C4906" w:rsidRDefault="00D968B2" w:rsidP="00D968B2">
            <w:pPr>
              <w:pStyle w:val="ListParagraph"/>
              <w:adjustRightInd w:val="0"/>
              <w:snapToGrid w:val="0"/>
              <w:spacing w:after="120"/>
              <w:ind w:left="357"/>
              <w:rPr>
                <w:rFonts w:eastAsiaTheme="minorEastAsia"/>
                <w:lang w:eastAsia="zh-CN"/>
              </w:rPr>
            </w:pPr>
            <w:r>
              <w:rPr>
                <w:rFonts w:eastAsiaTheme="minorEastAsia" w:hint="eastAsia"/>
                <w:lang w:eastAsia="zh-CN"/>
              </w:rPr>
              <w:t>A</w:t>
            </w:r>
            <w:r>
              <w:rPr>
                <w:rFonts w:eastAsiaTheme="minorEastAsia"/>
                <w:lang w:eastAsia="zh-CN"/>
              </w:rPr>
              <w:t>gree</w:t>
            </w:r>
          </w:p>
        </w:tc>
      </w:tr>
      <w:tr w:rsidR="005379D7" w:rsidRPr="00902581" w14:paraId="46781BAC" w14:textId="77777777" w:rsidTr="0081166B">
        <w:tc>
          <w:tcPr>
            <w:tcW w:w="932" w:type="pct"/>
          </w:tcPr>
          <w:p w14:paraId="0A541E3D" w14:textId="5892FE51" w:rsidR="005379D7"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818B22C" w14:textId="3F85CA6D" w:rsidR="005379D7" w:rsidRPr="005379D7" w:rsidRDefault="005379D7" w:rsidP="00106FAA">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 This proposals provide the most flexibility for gNB implementation</w:t>
            </w:r>
            <w:r w:rsidR="00106FAA">
              <w:rPr>
                <w:rFonts w:eastAsiaTheme="minorEastAsia"/>
                <w:lang w:eastAsia="zh-CN"/>
              </w:rPr>
              <w:t>.</w:t>
            </w:r>
          </w:p>
        </w:tc>
      </w:tr>
      <w:tr w:rsidR="001532E6" w:rsidRPr="00902581" w14:paraId="4AD9CDE1" w14:textId="77777777" w:rsidTr="0081166B">
        <w:tc>
          <w:tcPr>
            <w:tcW w:w="932" w:type="pct"/>
          </w:tcPr>
          <w:p w14:paraId="6D90CC51" w14:textId="69D5223A" w:rsidR="001532E6" w:rsidRDefault="001532E6" w:rsidP="001532E6">
            <w:pPr>
              <w:rPr>
                <w:rFonts w:eastAsiaTheme="minorEastAsia" w:hint="eastAsia"/>
                <w:lang w:eastAsia="zh-CN"/>
              </w:rPr>
            </w:pPr>
            <w:r>
              <w:rPr>
                <w:rFonts w:eastAsiaTheme="minorEastAsia"/>
                <w:lang w:eastAsia="zh-CN"/>
              </w:rPr>
              <w:t>Apple</w:t>
            </w:r>
          </w:p>
        </w:tc>
        <w:tc>
          <w:tcPr>
            <w:tcW w:w="4068" w:type="pct"/>
          </w:tcPr>
          <w:p w14:paraId="66FB1ECF" w14:textId="0752FA2E" w:rsidR="001532E6" w:rsidRDefault="001532E6" w:rsidP="001532E6">
            <w:pPr>
              <w:adjustRightInd w:val="0"/>
              <w:snapToGrid w:val="0"/>
              <w:spacing w:after="120"/>
              <w:rPr>
                <w:rFonts w:eastAsiaTheme="minorEastAsia" w:hint="eastAsia"/>
                <w:lang w:eastAsia="zh-CN"/>
              </w:rPr>
            </w:pPr>
            <w:r>
              <w:rPr>
                <w:rFonts w:eastAsiaTheme="minorEastAsia"/>
                <w:lang w:eastAsia="zh-CN"/>
              </w:rPr>
              <w:t>We have not</w:t>
            </w:r>
            <w:r w:rsidR="00B70968">
              <w:rPr>
                <w:rFonts w:eastAsiaTheme="minorEastAsia"/>
                <w:lang w:eastAsia="zh-CN"/>
              </w:rPr>
              <w:t xml:space="preserve"> yet</w:t>
            </w:r>
            <w:r>
              <w:rPr>
                <w:rFonts w:eastAsiaTheme="minorEastAsia"/>
                <w:lang w:eastAsia="zh-CN"/>
              </w:rPr>
              <w:t xml:space="preserve"> agreed to support common TA broadcast. Hence, this updated proposal </w:t>
            </w:r>
            <w:r w:rsidR="00F60F41">
              <w:rPr>
                <w:rFonts w:eastAsiaTheme="minorEastAsia"/>
                <w:lang w:eastAsia="zh-CN"/>
              </w:rPr>
              <w:t>c</w:t>
            </w:r>
            <w:r>
              <w:rPr>
                <w:rFonts w:eastAsiaTheme="minorEastAsia"/>
                <w:lang w:eastAsia="zh-CN"/>
              </w:rPr>
              <w:t xml:space="preserve">ould be discussed </w:t>
            </w:r>
            <w:r w:rsidR="00F60F41">
              <w:rPr>
                <w:rFonts w:eastAsiaTheme="minorEastAsia"/>
                <w:lang w:eastAsia="zh-CN"/>
              </w:rPr>
              <w:t>after</w:t>
            </w:r>
            <w:r>
              <w:rPr>
                <w:rFonts w:eastAsiaTheme="minorEastAsia"/>
                <w:lang w:eastAsia="zh-CN"/>
              </w:rPr>
              <w:t xml:space="preserve"> common TA broadcast is agreed. </w:t>
            </w: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Heading3"/>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ListParagraph"/>
        <w:numPr>
          <w:ilvl w:val="0"/>
          <w:numId w:val="32"/>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ListParagraph"/>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ListParagraph"/>
        <w:numPr>
          <w:ilvl w:val="0"/>
          <w:numId w:val="22"/>
        </w:numPr>
      </w:pPr>
      <w:r w:rsidRPr="00902581">
        <w:t>Is there a necessity to extend the range of TAC in RAR?</w:t>
      </w:r>
    </w:p>
    <w:p w14:paraId="56FFEB27" w14:textId="77777777" w:rsidR="00623E80" w:rsidRPr="00902581" w:rsidRDefault="00623E80" w:rsidP="00346025">
      <w:pPr>
        <w:pStyle w:val="ListParagraph"/>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2663AA" w:rsidRPr="00902581">
              <w:rPr>
                <w:i/>
                <w:noProof/>
                <w:position w:val="-10"/>
              </w:rPr>
              <w:object w:dxaOrig="260" w:dyaOrig="300" w14:anchorId="2F44CF0E">
                <v:shape id="_x0000_i1037" type="#_x0000_t75" alt="" style="width:15pt;height:15pt;mso-width-percent:0;mso-height-percent:0;mso-width-percent:0;mso-height-percent:0" o:ole="">
                  <v:imagedata r:id="rId18" o:title=""/>
                </v:shape>
                <o:OLEObject Type="Embed" ProgID="Equation.3" ShapeID="_x0000_i1037" DrawAspect="Content" ObjectID="_1666373893" r:id="rId19"/>
              </w:object>
            </w:r>
            <w:r w:rsidRPr="00902581">
              <w:rPr>
                <w:i/>
              </w:rPr>
              <w:t xml:space="preserve">, for a TAG indicates </w:t>
            </w:r>
            <w:r w:rsidR="002663AA" w:rsidRPr="00902581">
              <w:rPr>
                <w:i/>
                <w:noProof/>
                <w:position w:val="-10"/>
              </w:rPr>
              <w:object w:dxaOrig="400" w:dyaOrig="300" w14:anchorId="11692676">
                <v:shape id="_x0000_i1036" type="#_x0000_t75" alt="" style="width:21.55pt;height:15pt;mso-width-percent:0;mso-height-percent:0;mso-width-percent:0;mso-height-percent:0" o:ole="">
                  <v:imagedata r:id="rId20" o:title=""/>
                </v:shape>
                <o:OLEObject Type="Embed" ProgID="Equation.3" ShapeID="_x0000_i1036" DrawAspect="Content" ObjectID="_1666373894" r:id="rId21"/>
              </w:object>
            </w:r>
            <w:r w:rsidRPr="00902581">
              <w:rPr>
                <w:i/>
              </w:rPr>
              <w:t xml:space="preserve"> values by index values of </w:t>
            </w:r>
            <w:r w:rsidR="002663AA" w:rsidRPr="00902581">
              <w:rPr>
                <w:i/>
                <w:noProof/>
                <w:position w:val="-10"/>
              </w:rPr>
              <w:object w:dxaOrig="260" w:dyaOrig="300" w14:anchorId="5BED3F10">
                <v:shape id="_x0000_i1035" type="#_x0000_t75" alt="" style="width:15pt;height:15pt;mso-width-percent:0;mso-height-percent:0;mso-width-percent:0;mso-height-percent:0" o:ole="">
                  <v:imagedata r:id="rId22" o:title=""/>
                </v:shape>
                <o:OLEObject Type="Embed" ProgID="Equation.3" ShapeID="_x0000_i1035" DrawAspect="Content" ObjectID="_1666373895" r:id="rId23"/>
              </w:object>
            </w:r>
            <w:r w:rsidRPr="00902581">
              <w:rPr>
                <w:i/>
              </w:rPr>
              <w:t xml:space="preserve"> = 0, 1, 2, ..., 3846, where an amount of the time alignment for the TAG with SCS of </w:t>
            </w:r>
            <w:r w:rsidR="002663AA" w:rsidRPr="00902581">
              <w:rPr>
                <w:i/>
                <w:noProof/>
                <w:position w:val="-6"/>
              </w:rPr>
              <w:object w:dxaOrig="560" w:dyaOrig="300" w14:anchorId="2EA1EFBA">
                <v:shape id="_x0000_i1034" type="#_x0000_t75" alt="" style="width:27.35pt;height:15pt;mso-width-percent:0;mso-height-percent:0;mso-width-percent:0;mso-height-percent:0" o:ole="">
                  <v:imagedata r:id="rId24" o:title=""/>
                </v:shape>
                <o:OLEObject Type="Embed" ProgID="Equation.3" ShapeID="_x0000_i1034" DrawAspect="Content" ObjectID="_1666373896" r:id="rId25"/>
              </w:object>
            </w:r>
            <w:r w:rsidRPr="00902581">
              <w:rPr>
                <w:i/>
              </w:rPr>
              <w:t xml:space="preserve"> kHz is </w:t>
            </w:r>
            <w:r w:rsidR="002663AA" w:rsidRPr="00902581">
              <w:rPr>
                <w:i/>
                <w:noProof/>
                <w:position w:val="-10"/>
              </w:rPr>
              <w:object w:dxaOrig="1719" w:dyaOrig="340" w14:anchorId="3D8BEFB5">
                <v:shape id="_x0000_i1033" type="#_x0000_t75" alt="" style="width:86.25pt;height:15.8pt;mso-width-percent:0;mso-height-percent:0;mso-width-percent:0;mso-height-percent:0" o:ole="">
                  <v:imagedata r:id="rId26" o:title=""/>
                </v:shape>
                <o:OLEObject Type="Embed" ProgID="Equation.3" ShapeID="_x0000_i1033" DrawAspect="Content" ObjectID="_1666373897" r:id="rId27"/>
              </w:object>
            </w:r>
            <w:r w:rsidRPr="00902581">
              <w:rPr>
                <w:i/>
              </w:rPr>
              <w:t xml:space="preserve">. </w:t>
            </w:r>
            <w:r w:rsidR="002663AA" w:rsidRPr="00902581">
              <w:rPr>
                <w:i/>
                <w:noProof/>
                <w:position w:val="-10"/>
              </w:rPr>
              <w:object w:dxaOrig="400" w:dyaOrig="300" w14:anchorId="75529BC5">
                <v:shape id="_x0000_i1032" type="#_x0000_t75" alt="" style="width:21.55pt;height:15pt;mso-width-percent:0;mso-height-percent:0;mso-width-percent:0;mso-height-percent:0" o:ole="">
                  <v:imagedata r:id="rId20" o:title=""/>
                </v:shape>
                <o:OLEObject Type="Embed" ProgID="Equation.3" ShapeID="_x0000_i1032" DrawAspect="Content" ObjectID="_1666373898"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lastRenderedPageBreak/>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proofErr w:type="spellStart"/>
            <w:r>
              <w:rPr>
                <w:rFonts w:eastAsia="Malgun Gothic"/>
                <w:lang w:eastAsia="ko-KR"/>
              </w:rPr>
              <w:t>CEWiT</w:t>
            </w:r>
            <w:proofErr w:type="spellEnd"/>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proofErr w:type="spellStart"/>
      <w:r w:rsidR="006D7D9D" w:rsidRPr="006D7D9D">
        <w:rPr>
          <w:bCs/>
          <w:lang w:val="en-US"/>
        </w:rPr>
        <w:t>InterDigital</w:t>
      </w:r>
      <w:proofErr w:type="spellEnd"/>
      <w:r w:rsidR="006D7D9D" w:rsidRPr="006D7D9D">
        <w:rPr>
          <w:bCs/>
          <w:lang w:val="en-US"/>
        </w:rPr>
        <w:t xml:space="preserve">, </w:t>
      </w:r>
      <w:r w:rsidR="006D7D9D" w:rsidRPr="006D7D9D">
        <w:rPr>
          <w:rFonts w:eastAsiaTheme="minorEastAsia"/>
          <w:lang w:val="en-US" w:eastAsia="zh-CN"/>
        </w:rPr>
        <w:t xml:space="preserve">Huawei, </w:t>
      </w:r>
      <w:proofErr w:type="spellStart"/>
      <w:r w:rsidR="006D7D9D" w:rsidRPr="006D7D9D">
        <w:rPr>
          <w:rFonts w:eastAsiaTheme="minorEastAsia" w:hint="eastAsia"/>
          <w:lang w:val="en-US" w:eastAsia="zh-CN"/>
        </w:rPr>
        <w:t>S</w:t>
      </w:r>
      <w:r w:rsidR="006D7D9D" w:rsidRPr="006D7D9D">
        <w:rPr>
          <w:rFonts w:eastAsiaTheme="minorEastAsia"/>
          <w:lang w:val="en-US" w:eastAsia="zh-CN"/>
        </w:rPr>
        <w:t>preadtrum</w:t>
      </w:r>
      <w:proofErr w:type="spellEnd"/>
      <w:r w:rsidR="006D7D9D" w:rsidRPr="006D7D9D">
        <w:rPr>
          <w:rFonts w:eastAsiaTheme="minorEastAsia"/>
          <w:lang w:val="en-US" w:eastAsia="zh-CN"/>
        </w:rPr>
        <w:t xml:space="preserve">,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proofErr w:type="spellStart"/>
      <w:r w:rsidR="006D7D9D" w:rsidRPr="006D7D9D">
        <w:rPr>
          <w:rFonts w:eastAsia="Malgun Gothic"/>
          <w:lang w:val="en-US" w:eastAsia="ko-KR"/>
        </w:rPr>
        <w:t>CEWiT</w:t>
      </w:r>
      <w:proofErr w:type="spellEnd"/>
      <w:r w:rsidR="006D7D9D" w:rsidRPr="006D7D9D">
        <w:rPr>
          <w:rFonts w:eastAsia="Malgun Gothic"/>
          <w:lang w:val="en-US" w:eastAsia="ko-KR"/>
        </w:rPr>
        <w:t xml:space="preserve">, </w:t>
      </w:r>
      <w:proofErr w:type="gramStart"/>
      <w:r w:rsidR="006D7D9D" w:rsidRPr="006D7D9D">
        <w:rPr>
          <w:bCs/>
          <w:lang w:val="en-US"/>
        </w:rPr>
        <w:t>APT,</w:t>
      </w:r>
      <w:r w:rsidR="006D7D9D" w:rsidRPr="006D7D9D">
        <w:rPr>
          <w:rFonts w:eastAsia="Malgun Gothic" w:hint="eastAsia"/>
          <w:bCs/>
          <w:lang w:val="en-US" w:eastAsia="ko-KR"/>
        </w:rPr>
        <w:t>LG</w:t>
      </w:r>
      <w:proofErr w:type="gramEnd"/>
      <w:r w:rsidR="006D7D9D" w:rsidRPr="006D7D9D">
        <w:rPr>
          <w:lang w:val="en-US"/>
        </w:rPr>
        <w:t xml:space="preserve">, </w:t>
      </w:r>
      <w:r w:rsidR="006D7D9D" w:rsidRPr="006D7D9D">
        <w:rPr>
          <w:rFonts w:eastAsia="Malgun Gothic" w:hint="eastAsia"/>
          <w:lang w:val="en-US" w:eastAsia="ko-KR"/>
        </w:rPr>
        <w:t>ETRI</w:t>
      </w:r>
      <w:r w:rsidR="006D7D9D">
        <w:rPr>
          <w:rFonts w:eastAsia="Malgun Gothic"/>
          <w:lang w:val="en-US" w:eastAsia="ko-KR"/>
        </w:rPr>
        <w:t xml:space="preserve">, </w:t>
      </w:r>
      <w:r w:rsidR="006D7D9D">
        <w:rPr>
          <w:lang w:val="en-US"/>
        </w:rPr>
        <w:t xml:space="preserve">Fraunhofer IIS, </w:t>
      </w:r>
      <w:r w:rsidR="006D7D9D" w:rsidRPr="006D7D9D">
        <w:rPr>
          <w:lang w:val="en-US"/>
        </w:rPr>
        <w:t>Fraunhofer HHI</w:t>
      </w:r>
      <w:r w:rsidR="006D7D9D">
        <w:rPr>
          <w:lang w:val="en-US"/>
        </w:rPr>
        <w:t xml:space="preserve">, </w:t>
      </w:r>
      <w:proofErr w:type="spellStart"/>
      <w:r w:rsidR="006D7D9D">
        <w:rPr>
          <w:bCs/>
        </w:rPr>
        <w:t>Thales,</w:t>
      </w:r>
      <w:r w:rsidR="006D7D9D">
        <w:t>Nokia</w:t>
      </w:r>
      <w:proofErr w:type="spellEnd"/>
      <w:r w:rsidR="006D7D9D">
        <w:t>,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Malgun Gothic"/>
          <w:bCs/>
          <w:lang w:eastAsia="ko-KR"/>
        </w:rPr>
        <w:t xml:space="preserve"> </w:t>
      </w:r>
      <w:r w:rsidR="003F19D7">
        <w:rPr>
          <w:rFonts w:eastAsia="Malgun Gothic"/>
          <w:bCs/>
          <w:lang w:eastAsia="ko-KR"/>
        </w:rPr>
        <w:t>Eutelsat,</w:t>
      </w:r>
      <w:r w:rsidR="003F19D7" w:rsidRPr="003F19D7">
        <w:rPr>
          <w:rFonts w:eastAsia="Malgun Gothic"/>
          <w:bCs/>
          <w:lang w:eastAsia="ko-KR"/>
        </w:rPr>
        <w:t xml:space="preserve"> </w:t>
      </w:r>
      <w:proofErr w:type="gramStart"/>
      <w:r w:rsidR="003F19D7">
        <w:rPr>
          <w:rFonts w:eastAsia="Malgun Gothic"/>
          <w:bCs/>
          <w:lang w:eastAsia="ko-KR"/>
        </w:rPr>
        <w:t>Sequans]</w:t>
      </w:r>
      <w:r w:rsidR="003F19D7">
        <w:rPr>
          <w:bCs/>
        </w:rPr>
        <w:t xml:space="preserve"> </w:t>
      </w:r>
      <w:r w:rsidR="003F19D7">
        <w:t xml:space="preserve"> </w:t>
      </w:r>
      <w:r>
        <w:t>we</w:t>
      </w:r>
      <w:proofErr w:type="gramEnd"/>
      <w:r>
        <w:t xml:space="preserv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proofErr w:type="gramStart"/>
      <w:r>
        <w:rPr>
          <w:bCs/>
        </w:rPr>
        <w:t>Qualcomm</w:t>
      </w:r>
      <w:r>
        <w:t xml:space="preserve"> ]</w:t>
      </w:r>
      <w:proofErr w:type="gramEnd"/>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Malgun Gothic"/>
                <w:lang w:eastAsia="ko-KR"/>
              </w:rPr>
            </w:pPr>
            <w:r>
              <w:rPr>
                <w:rFonts w:eastAsia="Malgun Gothic"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D968B2" w:rsidRPr="00902581" w14:paraId="2A21A0EB" w14:textId="77777777" w:rsidTr="00131678">
        <w:tc>
          <w:tcPr>
            <w:tcW w:w="932" w:type="pct"/>
          </w:tcPr>
          <w:p w14:paraId="396A6168" w14:textId="4FBBCFCA"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127ACEC" w14:textId="731F46AE" w:rsidR="00D968B2" w:rsidRPr="0041240D" w:rsidRDefault="00D968B2" w:rsidP="0041240D">
            <w:pPr>
              <w:adjustRightInd w:val="0"/>
              <w:snapToGrid w:val="0"/>
              <w:spacing w:after="120"/>
              <w:rPr>
                <w:rFonts w:eastAsiaTheme="minorEastAsia"/>
                <w:lang w:eastAsia="zh-CN"/>
              </w:rPr>
            </w:pPr>
            <w:r w:rsidRPr="0041240D">
              <w:rPr>
                <w:rFonts w:eastAsiaTheme="minorEastAsia"/>
                <w:lang w:val="en-US" w:eastAsia="zh-CN"/>
              </w:rPr>
              <w:t xml:space="preserve">Support the </w:t>
            </w:r>
            <w:r w:rsidRPr="0041240D">
              <w:rPr>
                <w:rFonts w:eastAsiaTheme="minorEastAsia"/>
                <w:lang w:eastAsia="zh-CN"/>
              </w:rPr>
              <w:t>recommendation.</w:t>
            </w:r>
          </w:p>
        </w:tc>
      </w:tr>
      <w:tr w:rsidR="00D968B2" w:rsidRPr="00902581" w14:paraId="13E21465" w14:textId="77777777" w:rsidTr="00131678">
        <w:tc>
          <w:tcPr>
            <w:tcW w:w="932" w:type="pct"/>
          </w:tcPr>
          <w:p w14:paraId="2E0F92FC" w14:textId="4A57B6C8" w:rsidR="00D968B2" w:rsidRPr="007C4906" w:rsidRDefault="00927CAB"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68693D5" w14:textId="5A555A5F" w:rsidR="00D968B2" w:rsidRPr="00927CAB" w:rsidRDefault="00927CAB" w:rsidP="00927CAB">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1532E6" w:rsidRPr="00902581" w14:paraId="3540E89A" w14:textId="77777777" w:rsidTr="00131678">
        <w:tc>
          <w:tcPr>
            <w:tcW w:w="932" w:type="pct"/>
          </w:tcPr>
          <w:p w14:paraId="65803836" w14:textId="6AA43B66" w:rsidR="001532E6" w:rsidRPr="007C4906" w:rsidRDefault="001532E6" w:rsidP="001532E6">
            <w:pPr>
              <w:rPr>
                <w:rFonts w:eastAsiaTheme="minorEastAsia"/>
                <w:lang w:eastAsia="zh-CN"/>
              </w:rPr>
            </w:pPr>
            <w:r>
              <w:rPr>
                <w:rFonts w:eastAsiaTheme="minorEastAsia"/>
                <w:lang w:eastAsia="zh-CN"/>
              </w:rPr>
              <w:t>Apple</w:t>
            </w:r>
          </w:p>
        </w:tc>
        <w:tc>
          <w:tcPr>
            <w:tcW w:w="4068" w:type="pct"/>
          </w:tcPr>
          <w:p w14:paraId="02F96914" w14:textId="5A5F090B" w:rsidR="001532E6" w:rsidRPr="001532E6" w:rsidRDefault="00F60F41" w:rsidP="001532E6">
            <w:pPr>
              <w:adjustRightInd w:val="0"/>
              <w:snapToGrid w:val="0"/>
              <w:spacing w:after="120"/>
              <w:rPr>
                <w:rFonts w:eastAsiaTheme="minorEastAsia"/>
                <w:lang w:eastAsia="zh-CN"/>
              </w:rPr>
            </w:pPr>
            <w:r>
              <w:rPr>
                <w:rFonts w:eastAsiaTheme="minorEastAsia"/>
                <w:lang w:eastAsia="zh-CN"/>
              </w:rPr>
              <w:t>Support</w:t>
            </w: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proofErr w:type="gramStart"/>
      <w:r w:rsidR="001D3C97">
        <w:t xml:space="preserve">making </w:t>
      </w:r>
      <w:r w:rsidR="00B0588A">
        <w:t xml:space="preserve"> progress</w:t>
      </w:r>
      <w:proofErr w:type="gramEnd"/>
      <w:r w:rsidR="00B0588A">
        <w:t xml:space="preserve">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Heading2"/>
        <w:rPr>
          <w:lang w:val="en-US"/>
        </w:rPr>
      </w:pPr>
      <w:bookmarkStart w:id="13" w:name="_Toc55490720"/>
      <w:r w:rsidRPr="00902581">
        <w:rPr>
          <w:lang w:val="en-US"/>
        </w:rPr>
        <w:lastRenderedPageBreak/>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Heading3"/>
      </w:pPr>
      <w:bookmarkStart w:id="14" w:name="_Toc55490721"/>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1532E6"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1532E6"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 xml:space="preserve">The drift indications shall be considered by the UE to update its TA before each new </w:t>
      </w:r>
      <w:r w:rsidR="00F56111" w:rsidRPr="00902581">
        <w:rPr>
          <w:rFonts w:ascii="Times New Roman" w:hAnsi="Times New Roman" w:cs="Times New Roman"/>
          <w:sz w:val="20"/>
          <w:lang w:val="en-US" w:eastAsia="en-US"/>
        </w:rPr>
        <w:lastRenderedPageBreak/>
        <w:t>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1532E6"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t>CEWiT</w:t>
            </w:r>
            <w:proofErr w:type="spellEnd"/>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lastRenderedPageBreak/>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lastRenderedPageBreak/>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signaled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w:t>
            </w:r>
            <w:r w:rsidRPr="00902581">
              <w:lastRenderedPageBreak/>
              <w:t xml:space="preserve">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490722"/>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lastRenderedPageBreak/>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lastRenderedPageBreak/>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proofErr w:type="spellStart"/>
            <w:r>
              <w:t>CEWiT</w:t>
            </w:r>
            <w:proofErr w:type="spellEnd"/>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BodyText"/>
              <w:spacing w:line="256" w:lineRule="auto"/>
            </w:pPr>
            <w:r>
              <w:rPr>
                <w:rFonts w:eastAsiaTheme="minorEastAsia"/>
                <w:lang w:eastAsia="zh-CN"/>
              </w:rPr>
              <w:t>Solution#2-2</w:t>
            </w:r>
          </w:p>
        </w:tc>
        <w:tc>
          <w:tcPr>
            <w:tcW w:w="2700" w:type="dxa"/>
          </w:tcPr>
          <w:p w14:paraId="1B0CB815" w14:textId="77777777" w:rsidR="008815CA" w:rsidRDefault="008815CA" w:rsidP="008E3CD7">
            <w:pPr>
              <w:pStyle w:val="BodyText"/>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BodyText"/>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BodyText"/>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BodyText"/>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BodyText"/>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BodyText"/>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BodyText"/>
              <w:spacing w:line="256" w:lineRule="auto"/>
            </w:pPr>
            <w:r>
              <w:t xml:space="preserve">Fraunhofer IIS, </w:t>
            </w:r>
          </w:p>
          <w:p w14:paraId="6A157C66" w14:textId="31125E89" w:rsidR="003A01C6" w:rsidRDefault="003A01C6" w:rsidP="003A01C6">
            <w:pPr>
              <w:pStyle w:val="BodyText"/>
              <w:spacing w:line="256" w:lineRule="auto"/>
              <w:rPr>
                <w:rFonts w:eastAsia="Malgun Gothic"/>
                <w:lang w:eastAsia="ko-KR"/>
              </w:rPr>
            </w:pPr>
            <w:r>
              <w:t>Fraunhofer HHI</w:t>
            </w:r>
          </w:p>
        </w:tc>
        <w:tc>
          <w:tcPr>
            <w:tcW w:w="2790" w:type="dxa"/>
          </w:tcPr>
          <w:p w14:paraId="55524359" w14:textId="28C1861D" w:rsidR="003A01C6" w:rsidRDefault="003A01C6" w:rsidP="003A01C6">
            <w:pPr>
              <w:pStyle w:val="BodyText"/>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BodyText"/>
              <w:spacing w:line="256" w:lineRule="auto"/>
              <w:rPr>
                <w:rFonts w:eastAsiaTheme="minorEastAsia"/>
                <w:lang w:eastAsia="zh-CN"/>
              </w:rPr>
            </w:pPr>
            <w:r>
              <w:t>Solution #2-3</w:t>
            </w:r>
          </w:p>
        </w:tc>
        <w:tc>
          <w:tcPr>
            <w:tcW w:w="2970" w:type="dxa"/>
          </w:tcPr>
          <w:p w14:paraId="0EEC5BD4" w14:textId="52C9EC8B" w:rsidR="003A01C6" w:rsidRDefault="003A01C6" w:rsidP="003A01C6">
            <w:pPr>
              <w:pStyle w:val="BodyText"/>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BodyText"/>
              <w:spacing w:line="256" w:lineRule="auto"/>
            </w:pPr>
            <w:r>
              <w:rPr>
                <w:rFonts w:eastAsiaTheme="minorEastAsia" w:hint="eastAsia"/>
                <w:lang w:eastAsia="zh-CN"/>
              </w:rPr>
              <w:lastRenderedPageBreak/>
              <w:t>v</w:t>
            </w:r>
            <w:r>
              <w:rPr>
                <w:rFonts w:eastAsiaTheme="minorEastAsia"/>
                <w:lang w:eastAsia="zh-CN"/>
              </w:rPr>
              <w:t>ivo</w:t>
            </w:r>
          </w:p>
        </w:tc>
        <w:tc>
          <w:tcPr>
            <w:tcW w:w="2790" w:type="dxa"/>
          </w:tcPr>
          <w:p w14:paraId="56A0C7AE" w14:textId="22176555" w:rsidR="00904377" w:rsidRPr="005559DD" w:rsidRDefault="00904377" w:rsidP="00904377">
            <w:pPr>
              <w:pStyle w:val="BodyText"/>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BodyText"/>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BodyText"/>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BodyText"/>
              <w:spacing w:line="256" w:lineRule="auto"/>
            </w:pPr>
            <w:r>
              <w:t>Nokia, Nokia Shanghai Bell</w:t>
            </w:r>
          </w:p>
        </w:tc>
        <w:tc>
          <w:tcPr>
            <w:tcW w:w="2790" w:type="dxa"/>
          </w:tcPr>
          <w:p w14:paraId="4825FB37" w14:textId="65BC3CA7" w:rsidR="008E3CD7" w:rsidRPr="005559DD" w:rsidRDefault="008E3CD7" w:rsidP="008E3CD7">
            <w:pPr>
              <w:pStyle w:val="BodyText"/>
              <w:spacing w:line="256" w:lineRule="auto"/>
            </w:pPr>
            <w:r>
              <w:t>We prefer #2-3 closed loop TA update in connected mode.</w:t>
            </w:r>
          </w:p>
        </w:tc>
        <w:tc>
          <w:tcPr>
            <w:tcW w:w="2700" w:type="dxa"/>
          </w:tcPr>
          <w:p w14:paraId="742345B1" w14:textId="016FBBCC" w:rsidR="008E3CD7" w:rsidRDefault="008E3CD7" w:rsidP="008E3CD7">
            <w:pPr>
              <w:pStyle w:val="BodyText"/>
              <w:spacing w:line="256" w:lineRule="auto"/>
            </w:pPr>
            <w:r>
              <w:t xml:space="preserve">Combined open and closed loop #2-2 can be considered, if TA has been initially calculated based on GNSS and 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BodyText"/>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BodyText"/>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BodyText"/>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BodyText"/>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BodyText"/>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BodyText"/>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BodyText"/>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BodyText"/>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BodyText"/>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BodyText"/>
              <w:spacing w:line="256" w:lineRule="auto"/>
              <w:rPr>
                <w:rFonts w:eastAsiaTheme="minorEastAsia"/>
                <w:lang w:eastAsia="zh-CN"/>
              </w:rPr>
            </w:pPr>
          </w:p>
        </w:tc>
        <w:tc>
          <w:tcPr>
            <w:tcW w:w="2790" w:type="dxa"/>
          </w:tcPr>
          <w:p w14:paraId="2D12AA1C" w14:textId="77777777" w:rsidR="004110E0" w:rsidRDefault="004110E0" w:rsidP="004110E0">
            <w:pPr>
              <w:pStyle w:val="BodyText"/>
              <w:spacing w:line="256" w:lineRule="auto"/>
              <w:rPr>
                <w:rFonts w:eastAsia="MS Mincho"/>
                <w:lang w:eastAsia="ja-JP"/>
              </w:rPr>
            </w:pPr>
          </w:p>
        </w:tc>
        <w:tc>
          <w:tcPr>
            <w:tcW w:w="2700" w:type="dxa"/>
          </w:tcPr>
          <w:p w14:paraId="4014CC10" w14:textId="77777777" w:rsidR="004110E0" w:rsidRDefault="004110E0" w:rsidP="004110E0">
            <w:pPr>
              <w:pStyle w:val="BodyText"/>
              <w:spacing w:line="256" w:lineRule="auto"/>
              <w:rPr>
                <w:rFonts w:eastAsiaTheme="minorEastAsia"/>
                <w:lang w:eastAsia="zh-CN"/>
              </w:rPr>
            </w:pPr>
          </w:p>
        </w:tc>
        <w:tc>
          <w:tcPr>
            <w:tcW w:w="2970" w:type="dxa"/>
          </w:tcPr>
          <w:p w14:paraId="78E55E1F" w14:textId="77777777" w:rsidR="004110E0" w:rsidRDefault="004110E0" w:rsidP="004110E0">
            <w:pPr>
              <w:pStyle w:val="BodyText"/>
              <w:spacing w:line="256" w:lineRule="auto"/>
              <w:rPr>
                <w:rFonts w:eastAsiaTheme="minorEastAsia"/>
                <w:lang w:eastAsia="zh-CN"/>
              </w:rPr>
            </w:pPr>
          </w:p>
        </w:tc>
      </w:tr>
    </w:tbl>
    <w:p w14:paraId="4FFF8875" w14:textId="77777777" w:rsidR="00C878C0" w:rsidRDefault="00C878C0" w:rsidP="00C878C0">
      <w:pPr>
        <w:pStyle w:val="Heading3"/>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BodyText"/>
        <w:spacing w:line="252" w:lineRule="auto"/>
      </w:pPr>
      <w:r w:rsidRPr="00A10342">
        <w:rPr>
          <w:sz w:val="22"/>
          <w:lang w:val="en-US"/>
        </w:rPr>
        <w:t xml:space="preserve">For TA update in connected </w:t>
      </w:r>
      <w:proofErr w:type="gramStart"/>
      <w:r w:rsidRPr="00A10342">
        <w:rPr>
          <w:sz w:val="22"/>
          <w:lang w:val="en-US"/>
        </w:rPr>
        <w:t xml:space="preserve">mode </w:t>
      </w:r>
      <w:r>
        <w:rPr>
          <w:sz w:val="22"/>
          <w:lang w:val="en-US"/>
        </w:rPr>
        <w:t>,</w:t>
      </w:r>
      <w:proofErr w:type="gramEnd"/>
      <w:r>
        <w:rPr>
          <w:sz w:val="22"/>
          <w:lang w:val="en-US"/>
        </w:rPr>
        <w:t xml:space="preserve">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BodyText"/>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BodyText"/>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BodyText"/>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BodyText"/>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BodyText"/>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BodyText"/>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BodyText"/>
              <w:spacing w:line="252" w:lineRule="auto"/>
              <w:rPr>
                <w:rFonts w:eastAsiaTheme="minorEastAsia"/>
                <w:lang w:val="de-DE" w:eastAsia="zh-CN"/>
              </w:rPr>
            </w:pPr>
            <w:r w:rsidRPr="00A10342">
              <w:rPr>
                <w:rFonts w:eastAsiaTheme="minorEastAsia" w:hint="eastAsia"/>
                <w:lang w:val="en-US" w:eastAsia="zh-CN"/>
              </w:rPr>
              <w:t>Z</w:t>
            </w:r>
            <w:r w:rsidRPr="00A10342">
              <w:rPr>
                <w:rFonts w:eastAsiaTheme="minorEastAsia"/>
                <w:lang w:val="en-US"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BodyText"/>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BodyText"/>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BodyText"/>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BodyText"/>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BodyText"/>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xml:space="preserve">, </w:t>
            </w:r>
            <w:proofErr w:type="spellStart"/>
            <w:r w:rsidRPr="007533AB">
              <w:rPr>
                <w:rFonts w:eastAsiaTheme="minorEastAsia"/>
                <w:lang w:val="en-US" w:eastAsia="zh-CN"/>
              </w:rPr>
              <w:t>InterDigital</w:t>
            </w:r>
            <w:proofErr w:type="spellEnd"/>
            <w:r w:rsidRPr="007533AB">
              <w:rPr>
                <w:rFonts w:eastAsiaTheme="minorEastAsia"/>
                <w:lang w:val="en-US" w:eastAsia="zh-CN"/>
              </w:rPr>
              <w:t>, Qualcomm,</w:t>
            </w:r>
            <w:r w:rsidRPr="007533AB">
              <w:rPr>
                <w:rFonts w:eastAsiaTheme="minorEastAsia" w:hint="eastAsia"/>
                <w:lang w:val="en-US" w:eastAsia="zh-CN"/>
              </w:rPr>
              <w:t xml:space="preserve"> v</w:t>
            </w:r>
            <w:r w:rsidRPr="007533AB">
              <w:rPr>
                <w:rFonts w:eastAsiaTheme="minorEastAsia"/>
                <w:lang w:val="en-US" w:eastAsia="zh-CN"/>
              </w:rPr>
              <w:t xml:space="preserve">ivo, </w:t>
            </w:r>
            <w:r w:rsidRPr="007533AB">
              <w:rPr>
                <w:lang w:val="en-US"/>
              </w:rPr>
              <w:t xml:space="preserve">Fraunhofer IIS, </w:t>
            </w:r>
            <w:r>
              <w:t xml:space="preserve">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proofErr w:type="spellStart"/>
            <w:r w:rsidR="00F4697D">
              <w:t>CEWiT</w:t>
            </w:r>
            <w:proofErr w:type="spellEnd"/>
            <w:r w:rsidR="00F4697D">
              <w:t xml:space="preserve">,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w:t>
            </w:r>
            <w:proofErr w:type="spellStart"/>
            <w:r w:rsidR="00F4697D">
              <w:rPr>
                <w:rFonts w:eastAsiaTheme="minorEastAsia" w:hint="eastAsia"/>
                <w:lang w:eastAsia="zh-CN"/>
              </w:rPr>
              <w:t>Spreadtrum</w:t>
            </w:r>
            <w:proofErr w:type="spellEnd"/>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BodyText"/>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BodyText"/>
              <w:spacing w:line="252" w:lineRule="auto"/>
            </w:pPr>
            <w:r>
              <w:rPr>
                <w:rFonts w:eastAsiaTheme="minorEastAsia"/>
                <w:lang w:eastAsia="zh-CN"/>
              </w:rPr>
              <w:t>MediaTek,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BodyText"/>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BodyText"/>
              <w:spacing w:line="252" w:lineRule="auto"/>
            </w:pPr>
            <w:r>
              <w:t>Apple</w:t>
            </w:r>
          </w:p>
          <w:p w14:paraId="1A0D50C5" w14:textId="3795AF31" w:rsidR="00545ACC" w:rsidRDefault="00545ACC" w:rsidP="0081166B">
            <w:pPr>
              <w:pStyle w:val="BodyText"/>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BodyText"/>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BodyText"/>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BodyText"/>
              <w:spacing w:line="256" w:lineRule="auto"/>
            </w:pPr>
            <w:r>
              <w:rPr>
                <w:rFonts w:eastAsiaTheme="minorEastAsia"/>
                <w:lang w:eastAsia="zh-CN"/>
              </w:rPr>
              <w:t xml:space="preserve">Vivo, </w:t>
            </w:r>
            <w:r>
              <w:t xml:space="preserve">Fraunhofer IIS, 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BodyText"/>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BodyText"/>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BodyText"/>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1532E6" w:rsidP="009C16E2">
            <w:pPr>
              <w:pStyle w:val="BodyText"/>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BodyText"/>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think, with consistency of other proposals about drift rate, we suggest to add "FFS: whether to support Solution #2-3". Then, RAN1 can further discuss the benefit </w:t>
            </w:r>
            <w:proofErr w:type="spellStart"/>
            <w:r w:rsidRPr="00AF346B">
              <w:rPr>
                <w:rFonts w:eastAsiaTheme="minorEastAsia"/>
                <w:lang w:eastAsia="zh-CN"/>
              </w:rPr>
              <w:t>ofsignalling</w:t>
            </w:r>
            <w:proofErr w:type="spellEnd"/>
            <w:r w:rsidRPr="00AF346B">
              <w:rPr>
                <w:rFonts w:eastAsiaTheme="minorEastAsia"/>
                <w:lang w:eastAsia="zh-CN"/>
              </w:rPr>
              <w:t xml:space="preserve">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41240D" w:rsidRPr="00902581" w14:paraId="2B1CCA2C" w14:textId="77777777" w:rsidTr="00131678">
        <w:tc>
          <w:tcPr>
            <w:tcW w:w="932" w:type="pct"/>
          </w:tcPr>
          <w:p w14:paraId="3F270C84" w14:textId="646A709F" w:rsidR="0041240D" w:rsidRPr="007C4906" w:rsidRDefault="0041240D" w:rsidP="0041240D">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817FB9E" w14:textId="626F7DBE" w:rsidR="0041240D" w:rsidRPr="007C4906" w:rsidRDefault="0041240D" w:rsidP="0041240D">
            <w:pPr>
              <w:pStyle w:val="ListParagraph"/>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 xml:space="preserve">upport but suggest to remove FFS pat at this stage. </w:t>
            </w:r>
          </w:p>
        </w:tc>
      </w:tr>
      <w:tr w:rsidR="00CA77EB" w:rsidRPr="00902581" w14:paraId="1B752CE0" w14:textId="77777777" w:rsidTr="00131678">
        <w:tc>
          <w:tcPr>
            <w:tcW w:w="932" w:type="pct"/>
          </w:tcPr>
          <w:p w14:paraId="3BEBCFE7" w14:textId="732B05E4" w:rsidR="00CA77EB" w:rsidRDefault="00CA77EB" w:rsidP="0041240D">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093A6DC" w14:textId="53BC4996" w:rsidR="00CA77EB" w:rsidRPr="00CA77EB" w:rsidRDefault="00CA77EB" w:rsidP="00CA77EB">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 since details and corresponding collision issue should be definitely discussed.</w:t>
            </w:r>
          </w:p>
        </w:tc>
      </w:tr>
      <w:tr w:rsidR="001532E6" w:rsidRPr="00902581" w14:paraId="64F14B47" w14:textId="77777777" w:rsidTr="00131678">
        <w:tc>
          <w:tcPr>
            <w:tcW w:w="932" w:type="pct"/>
          </w:tcPr>
          <w:p w14:paraId="5DF5530A" w14:textId="6D9CFBA5" w:rsidR="001532E6" w:rsidRDefault="001532E6" w:rsidP="001532E6">
            <w:pPr>
              <w:rPr>
                <w:rFonts w:eastAsiaTheme="minorEastAsia" w:hint="eastAsia"/>
                <w:lang w:eastAsia="zh-CN"/>
              </w:rPr>
            </w:pPr>
            <w:r>
              <w:rPr>
                <w:rFonts w:eastAsiaTheme="minorEastAsia"/>
                <w:lang w:eastAsia="zh-CN"/>
              </w:rPr>
              <w:t>Apple</w:t>
            </w:r>
          </w:p>
        </w:tc>
        <w:tc>
          <w:tcPr>
            <w:tcW w:w="4068" w:type="pct"/>
          </w:tcPr>
          <w:p w14:paraId="382D2095" w14:textId="3D18DB7C" w:rsidR="00B70968" w:rsidRDefault="00B70968" w:rsidP="001532E6">
            <w:pPr>
              <w:adjustRightInd w:val="0"/>
              <w:snapToGrid w:val="0"/>
              <w:spacing w:after="120"/>
              <w:rPr>
                <w:rFonts w:eastAsiaTheme="minorEastAsia"/>
                <w:lang w:eastAsia="zh-CN"/>
              </w:rPr>
            </w:pPr>
            <w:r>
              <w:rPr>
                <w:rFonts w:eastAsiaTheme="minorEastAsia"/>
                <w:lang w:eastAsia="zh-CN"/>
              </w:rPr>
              <w:t xml:space="preserve">We have a question about this proposal. </w:t>
            </w:r>
          </w:p>
          <w:p w14:paraId="5DC7B6FB" w14:textId="7F854ECE" w:rsidR="001532E6" w:rsidRDefault="001532E6" w:rsidP="001532E6">
            <w:pPr>
              <w:adjustRightInd w:val="0"/>
              <w:snapToGrid w:val="0"/>
              <w:spacing w:after="120"/>
              <w:rPr>
                <w:rFonts w:eastAsiaTheme="minorEastAsia"/>
                <w:lang w:eastAsia="zh-CN"/>
              </w:rPr>
            </w:pPr>
            <w:r>
              <w:rPr>
                <w:rFonts w:eastAsiaTheme="minorEastAsia"/>
                <w:lang w:eastAsia="zh-CN"/>
              </w:rPr>
              <w:t xml:space="preserve">Based on the existing agreement, a UE only in RRC_IDLE and RRC_INACTIVE states </w:t>
            </w:r>
            <w:proofErr w:type="gramStart"/>
            <w:r>
              <w:rPr>
                <w:rFonts w:eastAsiaTheme="minorEastAsia"/>
                <w:lang w:eastAsia="zh-CN"/>
              </w:rPr>
              <w:t>is</w:t>
            </w:r>
            <w:proofErr w:type="gramEnd"/>
            <w:r>
              <w:rPr>
                <w:rFonts w:eastAsiaTheme="minorEastAsia"/>
                <w:lang w:eastAsia="zh-CN"/>
              </w:rPr>
              <w:t xml:space="preserve"> required to support UE specific TA calculation. It is still open whether a UE in RRC_CONNECTED state is required to support UE specific TA calculation. </w:t>
            </w:r>
          </w:p>
          <w:p w14:paraId="277F97DA" w14:textId="5A5E550D" w:rsidR="001532E6" w:rsidRDefault="001532E6" w:rsidP="001532E6">
            <w:pPr>
              <w:adjustRightInd w:val="0"/>
              <w:snapToGrid w:val="0"/>
              <w:spacing w:after="120"/>
              <w:rPr>
                <w:rFonts w:eastAsiaTheme="minorEastAsia" w:hint="eastAsia"/>
                <w:lang w:eastAsia="zh-CN"/>
              </w:rPr>
            </w:pPr>
            <w:r>
              <w:rPr>
                <w:rFonts w:eastAsiaTheme="minorEastAsia"/>
                <w:lang w:eastAsia="zh-CN"/>
              </w:rPr>
              <w:t xml:space="preserve">If a UE applies the UE specific TA calculated in RRC_IDLE or RRC_INACTIVE, then this UE specific TA is not accurate or may be out-dated. </w:t>
            </w:r>
            <w:r w:rsidR="00B70968">
              <w:rPr>
                <w:rFonts w:eastAsiaTheme="minorEastAsia"/>
                <w:lang w:eastAsia="zh-CN"/>
              </w:rPr>
              <w:t>How do we achieve</w:t>
            </w:r>
            <w:r>
              <w:rPr>
                <w:rFonts w:eastAsiaTheme="minorEastAsia"/>
                <w:lang w:eastAsia="zh-CN"/>
              </w:rPr>
              <w:t xml:space="preserve"> the </w:t>
            </w:r>
            <w:r w:rsidR="00B70968">
              <w:rPr>
                <w:rFonts w:eastAsiaTheme="minorEastAsia"/>
                <w:lang w:eastAsia="zh-CN"/>
              </w:rPr>
              <w:t xml:space="preserve">good </w:t>
            </w:r>
            <w:r>
              <w:rPr>
                <w:rFonts w:eastAsiaTheme="minorEastAsia"/>
                <w:lang w:eastAsia="zh-CN"/>
              </w:rPr>
              <w:t>performance from combination of both open and closed control loops</w:t>
            </w:r>
            <w:r w:rsidR="00B70968">
              <w:rPr>
                <w:rFonts w:eastAsiaTheme="minorEastAsia"/>
                <w:lang w:eastAsia="zh-CN"/>
              </w:rPr>
              <w:t>?</w:t>
            </w: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Heading1"/>
        <w:rPr>
          <w:rFonts w:ascii="Times New Roman" w:hAnsi="Times New Roman"/>
        </w:rPr>
      </w:pPr>
      <w:bookmarkStart w:id="17" w:name="_Toc55490724"/>
      <w:r w:rsidRPr="00902581">
        <w:rPr>
          <w:rFonts w:ascii="Times New Roman" w:hAnsi="Times New Roman"/>
        </w:rPr>
        <w:lastRenderedPageBreak/>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lastRenderedPageBreak/>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lastRenderedPageBreak/>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20" w:name="_Toc55490727"/>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proofErr w:type="spellStart"/>
            <w:r>
              <w:rPr>
                <w:rFonts w:eastAsia="Malgun Gothic"/>
                <w:lang w:eastAsia="ko-KR"/>
              </w:rPr>
              <w:t>CEWiT</w:t>
            </w:r>
            <w:proofErr w:type="spellEnd"/>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lastRenderedPageBreak/>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ListParagraph"/>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ListParagraph"/>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lastRenderedPageBreak/>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lastRenderedPageBreak/>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346025">
      <w:pPr>
        <w:numPr>
          <w:ilvl w:val="0"/>
          <w:numId w:val="30"/>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TableGrid"/>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ListParagraph"/>
              <w:numPr>
                <w:ilvl w:val="0"/>
                <w:numId w:val="39"/>
              </w:numPr>
            </w:pPr>
            <w:r>
              <w:t xml:space="preserve">It requires the UE to read the SIB several times per second, which increases power consumption. </w:t>
            </w:r>
          </w:p>
          <w:p w14:paraId="0FA4E70F" w14:textId="77777777" w:rsidR="00652C5A" w:rsidRDefault="00652C5A" w:rsidP="00346025">
            <w:pPr>
              <w:pStyle w:val="ListParagraph"/>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w:t>
            </w:r>
            <w:r>
              <w:lastRenderedPageBreak/>
              <w:t xml:space="preserve">The DL RS cannot be used as it is not possible in the device to discriminate between the crystal error and the satellite Doppler shift. </w:t>
            </w:r>
          </w:p>
          <w:p w14:paraId="4440ED5C" w14:textId="77777777" w:rsidR="00652C5A" w:rsidRDefault="00652C5A" w:rsidP="00346025">
            <w:pPr>
              <w:pStyle w:val="ListParagraph"/>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ListParagraph"/>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lastRenderedPageBreak/>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ListParagraph"/>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ListParagraph"/>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lastRenderedPageBreak/>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ListParagraph"/>
              <w:numPr>
                <w:ilvl w:val="0"/>
                <w:numId w:val="48"/>
              </w:numPr>
              <w:rPr>
                <w:rFonts w:eastAsia="Times New Roman"/>
              </w:rPr>
            </w:pPr>
            <w:r w:rsidRPr="00D76715">
              <w:t>System is agnostic to UE’s location</w:t>
            </w:r>
          </w:p>
          <w:p w14:paraId="654B764F" w14:textId="77777777" w:rsidR="008E3CD7" w:rsidRPr="00D76715" w:rsidRDefault="008E3CD7" w:rsidP="00346025">
            <w:pPr>
              <w:pStyle w:val="ListParagraph"/>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ListParagraph"/>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ListParagraph"/>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ListParagraph"/>
              <w:numPr>
                <w:ilvl w:val="0"/>
                <w:numId w:val="47"/>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Heading3"/>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Heading3"/>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lastRenderedPageBreak/>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lastRenderedPageBreak/>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ListParagraph"/>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ListParagraph"/>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lastRenderedPageBreak/>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ListParagraph"/>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ListParagraph"/>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lastRenderedPageBreak/>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lastRenderedPageBreak/>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ListParagraph"/>
              <w:numPr>
                <w:ilvl w:val="0"/>
                <w:numId w:val="27"/>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w:t>
      </w:r>
      <w:proofErr w:type="gramStart"/>
      <w:r w:rsidR="00BE39E7">
        <w:rPr>
          <w:rFonts w:eastAsiaTheme="minorHAnsi"/>
          <w:bCs/>
          <w:sz w:val="22"/>
          <w:szCs w:val="22"/>
          <w:lang w:val="en-US"/>
        </w:rPr>
        <w:t>synchronization  as</w:t>
      </w:r>
      <w:proofErr w:type="gramEnd"/>
      <w:r w:rsidR="00BE39E7">
        <w:rPr>
          <w:rFonts w:eastAsiaTheme="minorHAnsi"/>
          <w:bCs/>
          <w:sz w:val="22"/>
          <w:szCs w:val="22"/>
          <w:lang w:val="en-US"/>
        </w:rPr>
        <w:t xml:space="preserve">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proofErr w:type="spellStart"/>
      <w:r w:rsidR="00A979FA" w:rsidRPr="00A979FA">
        <w:rPr>
          <w:rFonts w:eastAsiaTheme="minorEastAsia"/>
          <w:lang w:eastAsia="zh-CN"/>
        </w:rPr>
        <w:t>InterDigital</w:t>
      </w:r>
      <w:proofErr w:type="spellEnd"/>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proofErr w:type="spellStart"/>
      <w:r w:rsidR="00A979FA" w:rsidRPr="00A979FA">
        <w:rPr>
          <w:rFonts w:eastAsiaTheme="minorEastAsia"/>
          <w:lang w:eastAsia="zh-CN"/>
        </w:rPr>
        <w:t>Spreadtrum</w:t>
      </w:r>
      <w:proofErr w:type="spellEnd"/>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Malgun Gothic" w:hint="eastAsia"/>
          <w:lang w:eastAsia="ko-KR"/>
        </w:rPr>
        <w:t>LG</w:t>
      </w:r>
      <w:r w:rsidR="00725144">
        <w:rPr>
          <w:rFonts w:eastAsia="Malgun Gothic"/>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w:t>
      </w:r>
      <w:proofErr w:type="gramStart"/>
      <w:r>
        <w:rPr>
          <w:rFonts w:eastAsiaTheme="minorHAnsi"/>
          <w:bCs/>
          <w:sz w:val="22"/>
          <w:szCs w:val="22"/>
          <w:lang w:val="en-US"/>
        </w:rPr>
        <w:t>be</w:t>
      </w:r>
      <w:r>
        <w:rPr>
          <w:lang w:val="en-US" w:eastAsia="ko-KR"/>
        </w:rPr>
        <w:t xml:space="preserve">  </w:t>
      </w:r>
      <w:r w:rsidRPr="00B575F1">
        <w:rPr>
          <w:lang w:val="en-US" w:eastAsia="ko-KR"/>
        </w:rPr>
        <w:t>merged</w:t>
      </w:r>
      <w:proofErr w:type="gramEnd"/>
      <w:r w:rsidRPr="00B575F1">
        <w:rPr>
          <w:lang w:val="en-US" w:eastAsia="ko-KR"/>
        </w:rPr>
        <w:t xml:space="preserve">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Heading3"/>
      </w:pPr>
      <w:bookmarkStart w:id="23" w:name="_Toc55490730"/>
      <w:r w:rsidRPr="00902581">
        <w:t>Issue #3</w:t>
      </w:r>
      <w:r w:rsidR="005E5946" w:rsidRPr="00902581">
        <w:t>-</w:t>
      </w:r>
      <w:r w:rsidR="007D1C45">
        <w:t>2</w:t>
      </w:r>
      <w:r w:rsidR="005E5946" w:rsidRPr="00902581">
        <w:t xml:space="preserve"> Common frequency offset pre-compensation and post-compensation at gNB side</w:t>
      </w:r>
      <w:bookmarkEnd w:id="23"/>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lastRenderedPageBreak/>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lastRenderedPageBreak/>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lastRenderedPageBreak/>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lastRenderedPageBreak/>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lastRenderedPageBreak/>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proofErr w:type="spellStart"/>
            <w:r>
              <w:t>i</w:t>
            </w:r>
            <w:proofErr w:type="spellEnd"/>
            <w:r>
              <w:t>)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lastRenderedPageBreak/>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lastRenderedPageBreak/>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gramStart"/>
      <w:r w:rsidRPr="00902581">
        <w:rPr>
          <w:rFonts w:eastAsiaTheme="minorHAnsi"/>
          <w:b/>
          <w:bCs/>
          <w:sz w:val="22"/>
          <w:szCs w:val="22"/>
          <w:lang w:val="en-US"/>
        </w:rPr>
        <w:t>gNB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ListParagraph"/>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ListParagraph"/>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ListParagraph"/>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ListParagraph"/>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ListParagraph"/>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ListParagraph"/>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lastRenderedPageBreak/>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ListParagraph"/>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ListParagraph"/>
              <w:numPr>
                <w:ilvl w:val="0"/>
                <w:numId w:val="49"/>
              </w:numPr>
              <w:rPr>
                <w:rFonts w:eastAsia="Times New Roman"/>
              </w:rPr>
            </w:pPr>
            <w:r>
              <w:t>D or B</w:t>
            </w:r>
          </w:p>
          <w:p w14:paraId="3A51E3B2" w14:textId="77777777" w:rsidR="008E3CD7" w:rsidRPr="00902581" w:rsidRDefault="008E3CD7" w:rsidP="00346025">
            <w:pPr>
              <w:pStyle w:val="ListParagraph"/>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w:t>
      </w:r>
      <w:proofErr w:type="gramStart"/>
      <w:r w:rsidR="0065784E">
        <w:rPr>
          <w:rFonts w:eastAsiaTheme="minorHAnsi"/>
          <w:b/>
          <w:bCs/>
          <w:sz w:val="22"/>
          <w:szCs w:val="22"/>
          <w:lang w:val="en-US"/>
        </w:rPr>
        <w:t xml:space="preserve">of </w:t>
      </w:r>
      <w:r>
        <w:rPr>
          <w:rFonts w:eastAsiaTheme="minorHAnsi"/>
          <w:b/>
          <w:bCs/>
          <w:sz w:val="22"/>
          <w:szCs w:val="22"/>
          <w:lang w:val="en-US"/>
        </w:rPr>
        <w:t xml:space="preserve"> </w:t>
      </w:r>
      <w:r w:rsidR="00F33041" w:rsidRPr="007C5F96">
        <w:rPr>
          <w:rFonts w:eastAsiaTheme="minorHAnsi"/>
          <w:b/>
          <w:bCs/>
          <w:sz w:val="22"/>
          <w:szCs w:val="22"/>
          <w:lang w:val="en-US"/>
        </w:rPr>
        <w:t>NR</w:t>
      </w:r>
      <w:proofErr w:type="gramEnd"/>
      <w:r w:rsidR="00F33041" w:rsidRPr="007C5F96">
        <w:rPr>
          <w:rFonts w:eastAsiaTheme="minorHAnsi"/>
          <w:b/>
          <w:bCs/>
          <w:sz w:val="22"/>
          <w:szCs w:val="22"/>
          <w:lang w:val="en-US"/>
        </w:rPr>
        <w:t xml:space="preserve">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lastRenderedPageBreak/>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w:t>
            </w:r>
            <w:proofErr w:type="spellStart"/>
            <w:r>
              <w:rPr>
                <w:rFonts w:eastAsiaTheme="minorEastAsia"/>
                <w:lang w:eastAsia="zh-CN"/>
              </w:rPr>
              <w:t>cn</w:t>
            </w:r>
            <w:proofErr w:type="spellEnd"/>
            <w:r>
              <w:rPr>
                <w:rFonts w:eastAsiaTheme="minorEastAsia"/>
                <w:lang w:eastAsia="zh-CN"/>
              </w:rPr>
              <w:t xml:space="preserve"> be in higher bands (C band, Ka </w:t>
            </w:r>
            <w:proofErr w:type="gramStart"/>
            <w:r>
              <w:rPr>
                <w:rFonts w:eastAsiaTheme="minorEastAsia"/>
                <w:lang w:eastAsia="zh-CN"/>
              </w:rPr>
              <w:t>bands, ..</w:t>
            </w:r>
            <w:proofErr w:type="gramEnd"/>
            <w:r>
              <w:rPr>
                <w:rFonts w:eastAsiaTheme="minorEastAsia"/>
                <w:lang w:eastAsia="zh-CN"/>
              </w:rPr>
              <w:t xml:space="preserve">). In addition, the frequency error due to the transponder in the satellite could add x10s or x100s kHz offset during the frequency conversion from feeder link to access link band if not taken care of by the gNB.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gNB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gNB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Malgun Gothic"/>
                <w:lang w:eastAsia="ko-KR"/>
              </w:rPr>
            </w:pPr>
            <w:r>
              <w:rPr>
                <w:rFonts w:eastAsia="Malgun Gothic"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134550" w:rsidRPr="00902581" w14:paraId="70017ACF" w14:textId="77777777" w:rsidTr="00131678">
        <w:tc>
          <w:tcPr>
            <w:tcW w:w="932" w:type="pct"/>
          </w:tcPr>
          <w:p w14:paraId="0F6824D5" w14:textId="73E874E9"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9AAFD" w14:textId="37DA154B" w:rsidR="00134550" w:rsidRPr="00CF622A"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 RAN1 needs to further discuss how to capture it.</w:t>
            </w:r>
          </w:p>
        </w:tc>
      </w:tr>
      <w:tr w:rsidR="00134550" w:rsidRPr="00902581" w14:paraId="0B2B9F6B" w14:textId="77777777" w:rsidTr="00131678">
        <w:tc>
          <w:tcPr>
            <w:tcW w:w="932" w:type="pct"/>
          </w:tcPr>
          <w:p w14:paraId="126D1AC0" w14:textId="510A94B0" w:rsidR="00134550" w:rsidRPr="00CF622A" w:rsidRDefault="00AC1D9B" w:rsidP="00134550">
            <w:pPr>
              <w:rPr>
                <w:rFonts w:eastAsiaTheme="minorEastAsia"/>
                <w:lang w:eastAsia="zh-CN"/>
              </w:rPr>
            </w:pPr>
            <w:r>
              <w:rPr>
                <w:rFonts w:eastAsiaTheme="minorEastAsia"/>
                <w:lang w:eastAsia="zh-CN"/>
              </w:rPr>
              <w:t>ZTE</w:t>
            </w:r>
          </w:p>
        </w:tc>
        <w:tc>
          <w:tcPr>
            <w:tcW w:w="4068" w:type="pct"/>
          </w:tcPr>
          <w:p w14:paraId="7EA7EC92" w14:textId="0D27481D" w:rsidR="00134550" w:rsidRPr="00CF622A" w:rsidRDefault="00AC1D9B" w:rsidP="00134550">
            <w:pPr>
              <w:rPr>
                <w:rFonts w:eastAsiaTheme="minorEastAsia"/>
                <w:lang w:eastAsia="zh-CN"/>
              </w:rPr>
            </w:pPr>
            <w:r>
              <w:rPr>
                <w:rFonts w:eastAsiaTheme="minorEastAsia" w:hint="eastAsia"/>
                <w:lang w:eastAsia="zh-CN"/>
              </w:rPr>
              <w:t>N</w:t>
            </w:r>
            <w:r>
              <w:rPr>
                <w:rFonts w:eastAsiaTheme="minorEastAsia"/>
                <w:lang w:eastAsia="zh-CN"/>
              </w:rPr>
              <w:t>o need to capture it in spec. W.r.t the DL transmission, the UE only need to detect the Doppler based on the reception of DL RS regardless of the pre</w:t>
            </w:r>
            <w:r w:rsidR="007434EB">
              <w:rPr>
                <w:rFonts w:eastAsiaTheme="minorEastAsia"/>
                <w:lang w:eastAsia="zh-CN"/>
              </w:rPr>
              <w:t>-</w:t>
            </w:r>
            <w:r>
              <w:rPr>
                <w:rFonts w:eastAsiaTheme="minorEastAsia"/>
                <w:lang w:eastAsia="zh-CN"/>
              </w:rPr>
              <w:t xml:space="preserve">compensation is done w.r.t the beam </w:t>
            </w:r>
            <w:r w:rsidR="007434EB">
              <w:rPr>
                <w:rFonts w:eastAsiaTheme="minorEastAsia"/>
                <w:lang w:eastAsia="zh-CN"/>
              </w:rPr>
              <w:t>centre</w:t>
            </w:r>
            <w:r>
              <w:rPr>
                <w:rFonts w:eastAsiaTheme="minorEastAsia"/>
                <w:lang w:eastAsia="zh-CN"/>
              </w:rPr>
              <w:t xml:space="preserve"> or only feeder link. For the UL, it’s clear that the UE can pre-calculate the Doppler based the received to information, e.g., satellite PVT and UE location. How to ensure the same understanding is </w:t>
            </w:r>
            <w:proofErr w:type="spellStart"/>
            <w:r>
              <w:rPr>
                <w:rFonts w:eastAsiaTheme="minorEastAsia"/>
                <w:lang w:eastAsia="zh-CN"/>
              </w:rPr>
              <w:t>gNB’s</w:t>
            </w:r>
            <w:proofErr w:type="spellEnd"/>
            <w:r>
              <w:rPr>
                <w:rFonts w:eastAsiaTheme="minorEastAsia"/>
                <w:lang w:eastAsia="zh-CN"/>
              </w:rPr>
              <w:t xml:space="preserve"> issue.</w:t>
            </w: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7DC27856" w14:textId="723825AF" w:rsidR="00AF346B" w:rsidRPr="00AF346B" w:rsidRDefault="00AF346B" w:rsidP="00131678">
            <w:pPr>
              <w:rPr>
                <w:rFonts w:eastAsia="Malgun Gothic"/>
                <w:lang w:eastAsia="ko-KR"/>
              </w:rPr>
            </w:pPr>
            <w:r>
              <w:rPr>
                <w:rFonts w:eastAsia="Malgun Gothic" w:hint="eastAsia"/>
                <w:lang w:eastAsia="ko-KR"/>
              </w:rPr>
              <w:t xml:space="preserve">We need to revised the proposal to be agreed, by adding </w:t>
            </w:r>
            <w:r>
              <w:rPr>
                <w:rFonts w:eastAsia="Malgun Gothic"/>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t>LG</w:t>
            </w:r>
          </w:p>
        </w:tc>
        <w:tc>
          <w:tcPr>
            <w:tcW w:w="4068" w:type="pct"/>
          </w:tcPr>
          <w:p w14:paraId="4C7B6AB2" w14:textId="77777777" w:rsidR="00BB4614" w:rsidRDefault="00BB4614" w:rsidP="00BB4614">
            <w:pPr>
              <w:rPr>
                <w:rFonts w:eastAsia="Malgun Gothic"/>
                <w:lang w:eastAsia="ko-KR"/>
              </w:rPr>
            </w:pPr>
            <w:r>
              <w:rPr>
                <w:rFonts w:eastAsia="Malgun Gothic" w:hint="eastAsia"/>
                <w:lang w:eastAsia="ko-KR"/>
              </w:rPr>
              <w:t xml:space="preserve">In </w:t>
            </w:r>
            <w:r>
              <w:rPr>
                <w:rFonts w:eastAsia="Malgun Gothic"/>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Malgun Gothic"/>
                <w:lang w:eastAsia="ko-KR"/>
              </w:rPr>
              <w:t>Also, we agree to CATT and CMCC. Th</w:t>
            </w:r>
            <w:r>
              <w:rPr>
                <w:rFonts w:eastAsiaTheme="minorEastAsia" w:hint="eastAsia"/>
                <w:lang w:eastAsia="zh-CN"/>
              </w:rPr>
              <w:t>e DL frequency compensation can be transparent to the UE.</w:t>
            </w:r>
          </w:p>
        </w:tc>
      </w:tr>
      <w:tr w:rsidR="00134550" w:rsidRPr="00902581" w14:paraId="37983E39" w14:textId="77777777" w:rsidTr="00131678">
        <w:tc>
          <w:tcPr>
            <w:tcW w:w="932" w:type="pct"/>
          </w:tcPr>
          <w:p w14:paraId="2CB0B350" w14:textId="63124584"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1DBC81A" w14:textId="4F01B317" w:rsidR="00134550" w:rsidRPr="00CF622A"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312FD" w:rsidRPr="00902581" w14:paraId="0B5E462E" w14:textId="77777777" w:rsidTr="00131678">
        <w:tc>
          <w:tcPr>
            <w:tcW w:w="932" w:type="pct"/>
          </w:tcPr>
          <w:p w14:paraId="47AF1DF5" w14:textId="03759518" w:rsidR="009312FD" w:rsidRDefault="009312F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41D193F" w14:textId="21466043" w:rsidR="009312FD" w:rsidRDefault="009312FD" w:rsidP="00134550">
            <w:pPr>
              <w:rPr>
                <w:rFonts w:eastAsiaTheme="minorEastAsia"/>
                <w:lang w:eastAsia="zh-CN"/>
              </w:rPr>
            </w:pPr>
            <w:r>
              <w:rPr>
                <w:rFonts w:eastAsiaTheme="minorEastAsia"/>
                <w:lang w:eastAsia="zh-CN"/>
              </w:rPr>
              <w:t>Negative for this proposal. It’s not clear about the definition of parameter giving the frequency pre-compensation. Does it refer to the value of for feeder link part or pre-compensated value per beam. If it’s the first interpretation</w:t>
            </w:r>
            <w:r>
              <w:rPr>
                <w:rFonts w:eastAsiaTheme="minorEastAsia" w:hint="eastAsia"/>
                <w:lang w:eastAsia="zh-CN"/>
              </w:rPr>
              <w:t>,</w:t>
            </w:r>
            <w:r>
              <w:rPr>
                <w:rFonts w:eastAsiaTheme="minorEastAsia"/>
                <w:lang w:eastAsia="zh-CN"/>
              </w:rPr>
              <w:t xml:space="preserve"> indication for such value is not necessary since it’s transparent for all UEs. </w:t>
            </w:r>
            <w:r w:rsidR="00054808">
              <w:rPr>
                <w:rFonts w:eastAsiaTheme="minorEastAsia"/>
                <w:lang w:eastAsia="zh-CN"/>
              </w:rPr>
              <w:t>For the latter case, marginal gain can be foreseen but such indication may not be needed with consideration on the spec impact.</w:t>
            </w:r>
          </w:p>
        </w:tc>
      </w:tr>
    </w:tbl>
    <w:p w14:paraId="5DF16B34" w14:textId="77777777" w:rsidR="00A629D7" w:rsidRDefault="00A629D7" w:rsidP="00A629D7">
      <w:pPr>
        <w:tabs>
          <w:tab w:val="left" w:pos="1701"/>
        </w:tabs>
        <w:spacing w:after="160" w:line="259" w:lineRule="auto"/>
        <w:rPr>
          <w:rFonts w:eastAsiaTheme="minorHAnsi"/>
          <w:b/>
          <w:bCs/>
          <w:sz w:val="22"/>
          <w:szCs w:val="22"/>
          <w:highlight w:val="cyan"/>
          <w:lang w:val="en-US"/>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lastRenderedPageBreak/>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Heading3"/>
      </w:pPr>
      <w:bookmarkStart w:id="26" w:name="_Toc55490733"/>
      <w:r w:rsidRPr="00902581">
        <w:t>Companies views</w:t>
      </w:r>
      <w:bookmarkEnd w:id="26"/>
    </w:p>
    <w:p w14:paraId="4997CEDD" w14:textId="77777777" w:rsidR="0075777F" w:rsidRPr="00902581" w:rsidRDefault="0075777F" w:rsidP="00404A8B">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lastRenderedPageBreak/>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lastRenderedPageBreak/>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signaled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 xml:space="preserve">We prefer to avoid specifying such solution if UE pre-compensation can meet the requirements defined by RAN1. We </w:t>
            </w:r>
            <w:proofErr w:type="gramStart"/>
            <w:r>
              <w:rPr>
                <w:rFonts w:eastAsiaTheme="minorEastAsia"/>
                <w:lang w:eastAsia="zh-CN"/>
              </w:rPr>
              <w:t>fear  that</w:t>
            </w:r>
            <w:proofErr w:type="gramEnd"/>
            <w:r>
              <w:rPr>
                <w:rFonts w:eastAsiaTheme="minorEastAsia"/>
                <w:lang w:eastAsia="zh-CN"/>
              </w:rPr>
              <w:t xml:space="preserve">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Heading3"/>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lastRenderedPageBreak/>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5B6CFDA3" w14:textId="46F0C402" w:rsidR="009C16E2" w:rsidRPr="0061708B" w:rsidRDefault="0061708B" w:rsidP="00131678">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r>
              <w:rPr>
                <w:rFonts w:eastAsia="Malgun Gothic" w:hint="eastAsia"/>
                <w:lang w:eastAsia="ko-KR"/>
              </w:rPr>
              <w:t>LG</w:t>
            </w:r>
          </w:p>
        </w:tc>
        <w:tc>
          <w:tcPr>
            <w:tcW w:w="4068" w:type="pct"/>
          </w:tcPr>
          <w:p w14:paraId="5C5DDE03" w14:textId="1C58ABD9" w:rsidR="00BB4614" w:rsidRPr="0051463D" w:rsidRDefault="00BB4614" w:rsidP="00BB4614">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134550" w:rsidRPr="0051463D" w14:paraId="7DE92266" w14:textId="77777777" w:rsidTr="00131678">
        <w:tc>
          <w:tcPr>
            <w:tcW w:w="932" w:type="pct"/>
          </w:tcPr>
          <w:p w14:paraId="294727E4" w14:textId="6F20F75C"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D2252E" w14:textId="5EBE6647" w:rsidR="00134550" w:rsidRPr="0051463D" w:rsidRDefault="00134550" w:rsidP="00134550">
            <w:pPr>
              <w:rPr>
                <w:rFonts w:eastAsiaTheme="minorEastAsia"/>
                <w:lang w:eastAsia="zh-CN"/>
              </w:rPr>
            </w:pPr>
            <w:r>
              <w:rPr>
                <w:rFonts w:eastAsiaTheme="minorEastAsia" w:hint="eastAsia"/>
                <w:lang w:eastAsia="zh-CN"/>
              </w:rPr>
              <w:t>S</w:t>
            </w:r>
            <w:r>
              <w:rPr>
                <w:rFonts w:eastAsiaTheme="minorEastAsia"/>
                <w:lang w:eastAsia="zh-CN"/>
              </w:rPr>
              <w:t xml:space="preserve">upport the </w:t>
            </w:r>
            <w:r w:rsidRPr="00EA3431">
              <w:rPr>
                <w:rFonts w:eastAsiaTheme="minorEastAsia"/>
                <w:lang w:eastAsia="zh-CN"/>
              </w:rPr>
              <w:t>proposal</w:t>
            </w:r>
            <w:r>
              <w:rPr>
                <w:rFonts w:eastAsiaTheme="minorEastAsia"/>
                <w:lang w:eastAsia="zh-CN"/>
              </w:rPr>
              <w:t>.</w:t>
            </w:r>
          </w:p>
        </w:tc>
      </w:tr>
      <w:tr w:rsidR="00E5086D" w:rsidRPr="0051463D" w14:paraId="09666B52" w14:textId="77777777" w:rsidTr="00131678">
        <w:tc>
          <w:tcPr>
            <w:tcW w:w="932" w:type="pct"/>
          </w:tcPr>
          <w:p w14:paraId="1E9816DE" w14:textId="77CF4711" w:rsidR="00E5086D" w:rsidRDefault="00E5086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B211EC" w14:textId="429FF944" w:rsidR="00E5086D" w:rsidRDefault="00E5086D" w:rsidP="00134550">
            <w:pPr>
              <w:rPr>
                <w:rFonts w:eastAsiaTheme="minorEastAsia"/>
                <w:lang w:eastAsia="zh-CN"/>
              </w:rPr>
            </w:pPr>
            <w:r>
              <w:rPr>
                <w:rFonts w:eastAsiaTheme="minorEastAsia"/>
                <w:lang w:eastAsia="zh-CN"/>
              </w:rPr>
              <w:t>Agree</w:t>
            </w: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gNB.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The frequency offset in the transponder can be x10s or x100s kHz cannot be estimated by the UE. If the gNB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19467F0F" w14:textId="055230EA" w:rsidR="009C16E2" w:rsidRPr="0061708B" w:rsidRDefault="0061708B" w:rsidP="0061708B">
            <w:pPr>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 xml:space="preserve">think this is needed, especially if </w:t>
            </w:r>
            <w:r w:rsidRPr="0061708B">
              <w:rPr>
                <w:rFonts w:eastAsia="Malgun Gothic"/>
                <w:lang w:eastAsia="ko-KR"/>
              </w:rPr>
              <w:t>a UE can estimate frequency offset for service link based on GNSS</w:t>
            </w:r>
            <w:r>
              <w:rPr>
                <w:rFonts w:eastAsia="Malgun Gothic"/>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134550" w:rsidRPr="0051463D" w14:paraId="145CC520" w14:textId="77777777" w:rsidTr="00131678">
        <w:tc>
          <w:tcPr>
            <w:tcW w:w="932" w:type="pct"/>
          </w:tcPr>
          <w:p w14:paraId="5B5A31D8" w14:textId="7C7A1C09"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E372395" w14:textId="73929235" w:rsidR="00134550" w:rsidRPr="0051463D" w:rsidRDefault="00134550" w:rsidP="00134550">
            <w:pPr>
              <w:rPr>
                <w:rFonts w:eastAsiaTheme="minorEastAsia"/>
                <w:lang w:eastAsia="zh-CN"/>
              </w:rPr>
            </w:pPr>
            <w:r>
              <w:rPr>
                <w:rFonts w:eastAsiaTheme="minorEastAsia"/>
                <w:lang w:eastAsia="zh-CN"/>
              </w:rPr>
              <w:t xml:space="preserve">The necessary to do this is not </w:t>
            </w:r>
            <w:r w:rsidRPr="004D575B">
              <w:rPr>
                <w:rFonts w:eastAsiaTheme="minorEastAsia"/>
                <w:lang w:eastAsia="zh-CN"/>
              </w:rPr>
              <w:t>clear</w:t>
            </w:r>
            <w:r>
              <w:rPr>
                <w:rFonts w:eastAsiaTheme="minorEastAsia"/>
                <w:lang w:eastAsia="zh-CN"/>
              </w:rPr>
              <w:t xml:space="preserve">. </w:t>
            </w:r>
            <w:r w:rsidRPr="004D575B">
              <w:rPr>
                <w:rFonts w:eastAsiaTheme="minorEastAsia"/>
                <w:lang w:eastAsia="zh-CN"/>
              </w:rPr>
              <w:t>This proposal could be postponed.</w:t>
            </w:r>
          </w:p>
        </w:tc>
      </w:tr>
      <w:tr w:rsidR="00FB6042" w:rsidRPr="0051463D" w14:paraId="385A56FB" w14:textId="77777777" w:rsidTr="00131678">
        <w:tc>
          <w:tcPr>
            <w:tcW w:w="932" w:type="pct"/>
          </w:tcPr>
          <w:p w14:paraId="6F9008C7" w14:textId="3BA05CAC" w:rsidR="00FB6042" w:rsidRDefault="00FB604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3ADA9DE" w14:textId="6CDE4D36" w:rsidR="00FB6042" w:rsidRDefault="00FB6042" w:rsidP="00134550">
            <w:pPr>
              <w:rPr>
                <w:rFonts w:eastAsiaTheme="minorEastAsia"/>
                <w:lang w:eastAsia="zh-CN"/>
              </w:rPr>
            </w:pPr>
            <w:r>
              <w:rPr>
                <w:rFonts w:eastAsiaTheme="minorEastAsia"/>
                <w:lang w:eastAsia="zh-CN"/>
              </w:rPr>
              <w:t>No needed.</w:t>
            </w: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8" w:name="_Toc55490735"/>
      <w:r w:rsidRPr="00902581">
        <w:rPr>
          <w:rFonts w:ascii="Times New Roman" w:hAnsi="Times New Roman"/>
        </w:rPr>
        <w:lastRenderedPageBreak/>
        <w:t>Serving satellite ephemeris</w:t>
      </w:r>
      <w:bookmarkEnd w:id="28"/>
    </w:p>
    <w:p w14:paraId="5BDA2413" w14:textId="77777777" w:rsidR="004E2835" w:rsidRPr="00902581" w:rsidRDefault="00CF499D" w:rsidP="00902581">
      <w:pPr>
        <w:pStyle w:val="Heading2"/>
      </w:pPr>
      <w:bookmarkStart w:id="29" w:name="_Toc55490736"/>
      <w:r w:rsidRPr="00902581">
        <w:t xml:space="preserve">Issue#5: </w:t>
      </w:r>
      <w:r w:rsidR="004E2835" w:rsidRPr="00902581">
        <w:t>Serving satellite ephemeris format</w:t>
      </w:r>
      <w:bookmarkEnd w:id="29"/>
    </w:p>
    <w:p w14:paraId="5AA6C517" w14:textId="77777777" w:rsidR="009F7567" w:rsidRPr="00902581" w:rsidRDefault="009F7567" w:rsidP="00902581">
      <w:pPr>
        <w:pStyle w:val="Heading3"/>
      </w:pPr>
      <w:bookmarkStart w:id="30" w:name="_Toc55490737"/>
      <w:r w:rsidRPr="00902581">
        <w:t>Background</w:t>
      </w:r>
      <w:bookmarkEnd w:id="30"/>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 xml:space="preserve">It is assumed that the satellite orbit determination is performed through a proprietary solution (e.g. based on on-board GNSS </w:t>
      </w:r>
      <w:proofErr w:type="gramStart"/>
      <w:r w:rsidRPr="00902581">
        <w:t>measurements)  at</w:t>
      </w:r>
      <w:proofErr w:type="gramEnd"/>
      <w:r w:rsidRPr="00902581">
        <w:t xml:space="preserve">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ListParagraph"/>
        <w:numPr>
          <w:ilvl w:val="0"/>
          <w:numId w:val="19"/>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346025">
      <w:pPr>
        <w:pStyle w:val="ListParagraph"/>
        <w:numPr>
          <w:ilvl w:val="0"/>
          <w:numId w:val="19"/>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lastRenderedPageBreak/>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lastRenderedPageBreak/>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31" w:name="_Toc55490738"/>
      <w:r w:rsidRPr="00902581">
        <w:t>Company views</w:t>
      </w:r>
      <w:bookmarkEnd w:id="31"/>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lastRenderedPageBreak/>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ListParagraph"/>
        <w:numPr>
          <w:ilvl w:val="0"/>
          <w:numId w:val="33"/>
        </w:numPr>
        <w:rPr>
          <w:b/>
          <w:lang w:val="en-US"/>
        </w:rPr>
      </w:pPr>
      <w:r w:rsidRPr="007C2F4F">
        <w:rPr>
          <w:b/>
          <w:lang w:val="en-US"/>
        </w:rPr>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EDB17F8" w:rsidR="009F7567" w:rsidRPr="007C2F4F" w:rsidRDefault="009F7567" w:rsidP="00346025">
      <w:pPr>
        <w:pStyle w:val="ListParagraph"/>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lastRenderedPageBreak/>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BodyText"/>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BodyText"/>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BodyText"/>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BodyText"/>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BodyText"/>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BodyText"/>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BodyText"/>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BodyText"/>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BodyText"/>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BodyText"/>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BodyText"/>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BodyText"/>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BodyText"/>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BodyText"/>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w:t>
            </w:r>
            <w:r>
              <w:lastRenderedPageBreak/>
              <w:t xml:space="preserve">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lastRenderedPageBreak/>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Heading3"/>
        <w:rPr>
          <w:lang w:val="en-US"/>
        </w:rPr>
      </w:pPr>
      <w:bookmarkStart w:id="32"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2"/>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ListParagraph"/>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ListParagraph"/>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lastRenderedPageBreak/>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TableGrid"/>
        <w:tblW w:w="5000" w:type="pct"/>
        <w:tblLook w:val="04A0" w:firstRow="1" w:lastRow="0" w:firstColumn="1" w:lastColumn="0" w:noHBand="0" w:noVBand="1"/>
      </w:tblPr>
      <w:tblGrid>
        <w:gridCol w:w="1795"/>
        <w:gridCol w:w="7834"/>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352A2A58" w14:textId="77777777" w:rsidR="0061708B" w:rsidRDefault="0061708B" w:rsidP="0061708B">
            <w:pPr>
              <w:rPr>
                <w:rFonts w:ascii="Malgun Gothic" w:eastAsia="Malgun Gothic" w:hAnsi="Malgun Gothic"/>
                <w:lang w:val="en-US"/>
              </w:rPr>
            </w:pPr>
            <w:r>
              <w:rPr>
                <w:rFonts w:eastAsia="Malgun Gothic"/>
                <w:lang w:eastAsia="zh-CN"/>
              </w:rPr>
              <w:t>We support the FL recommendation.</w:t>
            </w:r>
          </w:p>
          <w:p w14:paraId="270C7EA4" w14:textId="2DA73BED" w:rsidR="009C16E2" w:rsidRPr="003C736C" w:rsidRDefault="0061708B" w:rsidP="0061708B">
            <w:pPr>
              <w:rPr>
                <w:rFonts w:eastAsiaTheme="minorEastAsia"/>
                <w:lang w:eastAsia="zh-CN"/>
              </w:rPr>
            </w:pPr>
            <w:r>
              <w:rPr>
                <w:rFonts w:eastAsia="Malgun Gothic"/>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134550" w:rsidRPr="00902581" w14:paraId="7896BFEC" w14:textId="77777777" w:rsidTr="00131678">
        <w:tc>
          <w:tcPr>
            <w:tcW w:w="932" w:type="pct"/>
          </w:tcPr>
          <w:p w14:paraId="1AD6B101" w14:textId="5C643E44"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951221F" w14:textId="0CB5A8F9"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7924E7" w:rsidRPr="00902581" w14:paraId="67284F91" w14:textId="77777777" w:rsidTr="00131678">
        <w:tc>
          <w:tcPr>
            <w:tcW w:w="932" w:type="pct"/>
          </w:tcPr>
          <w:p w14:paraId="6F8B39FC" w14:textId="70C3D023" w:rsidR="007924E7" w:rsidRDefault="007924E7"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3C662B" w14:textId="1ED37AD5" w:rsidR="007924E7" w:rsidRDefault="007924E7"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48A3CCDE" w14:textId="77777777" w:rsidTr="00131678">
        <w:tc>
          <w:tcPr>
            <w:tcW w:w="932" w:type="pct"/>
          </w:tcPr>
          <w:p w14:paraId="372D4415" w14:textId="7949F0CC" w:rsidR="00B70968" w:rsidRDefault="00B70968" w:rsidP="00134550">
            <w:pPr>
              <w:rPr>
                <w:rFonts w:eastAsiaTheme="minorEastAsia" w:hint="eastAsia"/>
                <w:lang w:eastAsia="zh-CN"/>
              </w:rPr>
            </w:pPr>
            <w:r>
              <w:rPr>
                <w:rFonts w:eastAsiaTheme="minorEastAsia"/>
                <w:lang w:eastAsia="zh-CN"/>
              </w:rPr>
              <w:t>Apple</w:t>
            </w:r>
          </w:p>
        </w:tc>
        <w:tc>
          <w:tcPr>
            <w:tcW w:w="4068" w:type="pct"/>
          </w:tcPr>
          <w:p w14:paraId="5E99AD8C" w14:textId="7F229D1C" w:rsidR="00B70968" w:rsidRDefault="00B70968" w:rsidP="00134550">
            <w:pPr>
              <w:rPr>
                <w:rFonts w:eastAsiaTheme="minorEastAsia" w:hint="eastAsia"/>
                <w:lang w:eastAsia="zh-CN"/>
              </w:rPr>
            </w:pPr>
            <w:r>
              <w:rPr>
                <w:rFonts w:eastAsiaTheme="minorEastAsia"/>
                <w:lang w:eastAsia="zh-CN"/>
              </w:rPr>
              <w:t>Support</w:t>
            </w: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33"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3"/>
    </w:p>
    <w:p w14:paraId="6D76B9A4" w14:textId="77777777" w:rsidR="00226667" w:rsidRPr="00902581" w:rsidRDefault="00565D46" w:rsidP="00226667">
      <w:pPr>
        <w:pStyle w:val="Heading2"/>
      </w:pPr>
      <w:bookmarkStart w:id="34" w:name="_Ref55135364"/>
      <w:bookmarkStart w:id="35"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7EBCC8DA" w14:textId="77777777" w:rsidR="0027474B" w:rsidRPr="00902581" w:rsidRDefault="00226667" w:rsidP="0027474B">
      <w:pPr>
        <w:pStyle w:val="Heading3"/>
      </w:pPr>
      <w:bookmarkStart w:id="36" w:name="_Toc55490742"/>
      <w:r w:rsidRPr="00902581">
        <w:t>Background</w:t>
      </w:r>
      <w:bookmarkEnd w:id="36"/>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lastRenderedPageBreak/>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1532E6"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1532E6"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1532E6"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1532E6"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1532E6"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lastRenderedPageBreak/>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7" w:name="_Toc55490743"/>
      <w:r w:rsidRPr="00902581">
        <w:t>Company views</w:t>
      </w:r>
      <w:bookmarkEnd w:id="37"/>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lastRenderedPageBreak/>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proofErr w:type="spellStart"/>
            <w:r>
              <w:t>CEWiT</w:t>
            </w:r>
            <w:proofErr w:type="spellEnd"/>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Heading3"/>
        <w:rPr>
          <w:lang w:val="en-US"/>
        </w:rPr>
      </w:pPr>
      <w:bookmarkStart w:id="38"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8"/>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t>Some companies [MediaTek,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0E889244" w14:textId="230F21CD" w:rsidR="009C16E2" w:rsidRPr="0061708B" w:rsidRDefault="0061708B" w:rsidP="00131678">
            <w:pPr>
              <w:rPr>
                <w:rFonts w:eastAsia="Malgun Gothic"/>
                <w:lang w:eastAsia="ko-KR"/>
              </w:rPr>
            </w:pPr>
            <w:r>
              <w:rPr>
                <w:rFonts w:eastAsia="Malgun Gothic" w:hint="eastAsia"/>
                <w:lang w:eastAsia="ko-KR"/>
              </w:rPr>
              <w:t>Agree</w:t>
            </w:r>
          </w:p>
        </w:tc>
      </w:tr>
      <w:tr w:rsidR="00134550" w:rsidRPr="00902581" w14:paraId="2367FA23" w14:textId="77777777" w:rsidTr="00131678">
        <w:tc>
          <w:tcPr>
            <w:tcW w:w="932" w:type="pct"/>
          </w:tcPr>
          <w:p w14:paraId="6D7137D3" w14:textId="2C93C431"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B77864D" w14:textId="3BDA5335"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134550" w:rsidRPr="00902581" w14:paraId="1EEE9C22" w14:textId="77777777" w:rsidTr="00131678">
        <w:tc>
          <w:tcPr>
            <w:tcW w:w="932" w:type="pct"/>
          </w:tcPr>
          <w:p w14:paraId="315D1497" w14:textId="453525A8" w:rsidR="00134550" w:rsidRPr="00C16652" w:rsidRDefault="00B72F56"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AEBB0E8" w14:textId="158C3B8E" w:rsidR="00134550" w:rsidRPr="003C736C" w:rsidRDefault="00B72F56"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B70968" w:rsidRPr="00902581" w14:paraId="0B5C0B15" w14:textId="77777777" w:rsidTr="00131678">
        <w:tc>
          <w:tcPr>
            <w:tcW w:w="932" w:type="pct"/>
          </w:tcPr>
          <w:p w14:paraId="5029D01F" w14:textId="6ED39B32" w:rsidR="00B70968" w:rsidRPr="00C16652" w:rsidRDefault="00B70968" w:rsidP="00B70968">
            <w:pPr>
              <w:rPr>
                <w:rFonts w:eastAsiaTheme="minorEastAsia"/>
                <w:lang w:eastAsia="zh-CN"/>
              </w:rPr>
            </w:pPr>
            <w:r>
              <w:rPr>
                <w:rFonts w:eastAsiaTheme="minorEastAsia"/>
                <w:lang w:eastAsia="zh-CN"/>
              </w:rPr>
              <w:t>Apple</w:t>
            </w:r>
          </w:p>
        </w:tc>
        <w:tc>
          <w:tcPr>
            <w:tcW w:w="4068" w:type="pct"/>
          </w:tcPr>
          <w:p w14:paraId="6F222115" w14:textId="025D9D94" w:rsidR="00B70968" w:rsidRPr="003C736C" w:rsidRDefault="00B70968" w:rsidP="00B70968">
            <w:pPr>
              <w:rPr>
                <w:rFonts w:eastAsiaTheme="minorEastAsia"/>
                <w:lang w:eastAsia="zh-CN"/>
              </w:rPr>
            </w:pPr>
            <w:r>
              <w:rPr>
                <w:rFonts w:eastAsiaTheme="minorEastAsia"/>
                <w:lang w:eastAsia="zh-CN"/>
              </w:rPr>
              <w:t>Agree</w:t>
            </w: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lastRenderedPageBreak/>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4791CEA0" w14:textId="0C91DA21"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134550" w:rsidRPr="00902581" w14:paraId="567DD5DB" w14:textId="77777777" w:rsidTr="00131678">
        <w:tc>
          <w:tcPr>
            <w:tcW w:w="932" w:type="pct"/>
          </w:tcPr>
          <w:p w14:paraId="07642813" w14:textId="7DB00FE6"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86219A0" w14:textId="665EE85B"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FF2304" w:rsidRPr="00902581" w14:paraId="18CF9404" w14:textId="77777777" w:rsidTr="00131678">
        <w:tc>
          <w:tcPr>
            <w:tcW w:w="932" w:type="pct"/>
          </w:tcPr>
          <w:p w14:paraId="0C55311C" w14:textId="6DBCB412" w:rsidR="00FF2304" w:rsidRDefault="00FF2304" w:rsidP="00134550">
            <w:pPr>
              <w:rPr>
                <w:rFonts w:eastAsiaTheme="minorEastAsia"/>
                <w:lang w:eastAsia="zh-CN"/>
              </w:rPr>
            </w:pPr>
            <w:r>
              <w:rPr>
                <w:rFonts w:eastAsiaTheme="minorEastAsia"/>
                <w:lang w:eastAsia="zh-CN"/>
              </w:rPr>
              <w:t>ZTE</w:t>
            </w:r>
          </w:p>
        </w:tc>
        <w:tc>
          <w:tcPr>
            <w:tcW w:w="4068" w:type="pct"/>
          </w:tcPr>
          <w:p w14:paraId="3B49C9CD" w14:textId="6CCF3E4D" w:rsidR="00FF2304" w:rsidRDefault="00FF2304" w:rsidP="00134550">
            <w:pPr>
              <w:rPr>
                <w:rFonts w:eastAsiaTheme="minorEastAsia"/>
                <w:lang w:eastAsia="zh-CN"/>
              </w:rPr>
            </w:pPr>
            <w:r>
              <w:rPr>
                <w:rFonts w:eastAsiaTheme="minorEastAsia"/>
                <w:lang w:eastAsia="zh-CN"/>
              </w:rPr>
              <w:t>Agree.</w:t>
            </w:r>
          </w:p>
        </w:tc>
      </w:tr>
      <w:tr w:rsidR="00B70968" w:rsidRPr="00902581" w14:paraId="46230F91" w14:textId="77777777" w:rsidTr="00131678">
        <w:tc>
          <w:tcPr>
            <w:tcW w:w="932" w:type="pct"/>
          </w:tcPr>
          <w:p w14:paraId="27D8136E" w14:textId="118143B0" w:rsidR="00B70968" w:rsidRDefault="00B70968" w:rsidP="00134550">
            <w:pPr>
              <w:rPr>
                <w:rFonts w:eastAsiaTheme="minorEastAsia"/>
                <w:lang w:eastAsia="zh-CN"/>
              </w:rPr>
            </w:pPr>
            <w:r>
              <w:rPr>
                <w:rFonts w:eastAsiaTheme="minorEastAsia"/>
                <w:lang w:eastAsia="zh-CN"/>
              </w:rPr>
              <w:t>Apple</w:t>
            </w:r>
          </w:p>
        </w:tc>
        <w:tc>
          <w:tcPr>
            <w:tcW w:w="4068" w:type="pct"/>
          </w:tcPr>
          <w:p w14:paraId="276E1B89" w14:textId="6167BADA" w:rsidR="00B70968" w:rsidRDefault="00B70968" w:rsidP="00134550">
            <w:pPr>
              <w:rPr>
                <w:rFonts w:eastAsiaTheme="minorEastAsia"/>
                <w:lang w:eastAsia="zh-CN"/>
              </w:rPr>
            </w:pPr>
            <w:r>
              <w:rPr>
                <w:rFonts w:eastAsiaTheme="minorEastAsia"/>
                <w:lang w:eastAsia="zh-CN"/>
              </w:rPr>
              <w:t>Agree</w:t>
            </w: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Malgun Gothic"/>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134550" w:rsidRPr="00902581" w14:paraId="2D321150" w14:textId="77777777" w:rsidTr="00131678">
        <w:tc>
          <w:tcPr>
            <w:tcW w:w="932" w:type="pct"/>
          </w:tcPr>
          <w:p w14:paraId="6B9E20FE" w14:textId="0517EC72"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C64AC48" w14:textId="01D68498"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12524D" w:rsidRPr="00902581" w14:paraId="3D5FFD2D" w14:textId="77777777" w:rsidTr="00131678">
        <w:tc>
          <w:tcPr>
            <w:tcW w:w="932" w:type="pct"/>
          </w:tcPr>
          <w:p w14:paraId="63EBB1EF" w14:textId="29954533" w:rsidR="0012524D" w:rsidRDefault="0012524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60F90" w14:textId="35BAE1DC" w:rsidR="0012524D" w:rsidRDefault="0012524D"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6677B50D" w14:textId="77777777" w:rsidTr="00131678">
        <w:tc>
          <w:tcPr>
            <w:tcW w:w="932" w:type="pct"/>
          </w:tcPr>
          <w:p w14:paraId="609B3C3B" w14:textId="718F8DF0" w:rsidR="00B70968" w:rsidRDefault="00B70968" w:rsidP="00134550">
            <w:pPr>
              <w:rPr>
                <w:rFonts w:eastAsiaTheme="minorEastAsia" w:hint="eastAsia"/>
                <w:lang w:eastAsia="zh-CN"/>
              </w:rPr>
            </w:pPr>
            <w:r>
              <w:rPr>
                <w:rFonts w:eastAsiaTheme="minorEastAsia"/>
                <w:lang w:eastAsia="zh-CN"/>
              </w:rPr>
              <w:t>Apple</w:t>
            </w:r>
          </w:p>
        </w:tc>
        <w:tc>
          <w:tcPr>
            <w:tcW w:w="4068" w:type="pct"/>
          </w:tcPr>
          <w:p w14:paraId="3E629194" w14:textId="69C314F7" w:rsidR="00B70968" w:rsidRDefault="00B70968" w:rsidP="00134550">
            <w:pPr>
              <w:rPr>
                <w:rFonts w:eastAsiaTheme="minorEastAsia" w:hint="eastAsia"/>
                <w:lang w:eastAsia="zh-CN"/>
              </w:rPr>
            </w:pPr>
            <w:r>
              <w:rPr>
                <w:rFonts w:eastAsiaTheme="minorEastAsia"/>
                <w:lang w:eastAsia="zh-CN"/>
              </w:rPr>
              <w:t>Support</w:t>
            </w: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Heading2"/>
      </w:pPr>
      <w:bookmarkStart w:id="39" w:name="_Ref54965867"/>
      <w:bookmarkStart w:id="40" w:name="_Toc55490745"/>
      <w:r w:rsidRPr="00902581">
        <w:lastRenderedPageBreak/>
        <w:t>Issue#7</w:t>
      </w:r>
      <w:r w:rsidR="008074DE" w:rsidRPr="00902581">
        <w:t xml:space="preserve">: </w:t>
      </w:r>
      <w:r w:rsidR="00320571" w:rsidRPr="00902581">
        <w:t>UL Time synchronization requirements</w:t>
      </w:r>
      <w:bookmarkEnd w:id="39"/>
      <w:bookmarkEnd w:id="40"/>
      <w:r w:rsidR="00320571" w:rsidRPr="00902581">
        <w:t xml:space="preserve"> </w:t>
      </w:r>
    </w:p>
    <w:p w14:paraId="1ACC4785" w14:textId="77777777" w:rsidR="00320571" w:rsidRPr="00902581" w:rsidRDefault="00320571" w:rsidP="00320571">
      <w:pPr>
        <w:pStyle w:val="Heading3"/>
      </w:pPr>
      <w:bookmarkStart w:id="41" w:name="_Toc55490746"/>
      <w:r w:rsidRPr="00902581">
        <w:t>Background</w:t>
      </w:r>
      <w:bookmarkEnd w:id="41"/>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lastRenderedPageBreak/>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42" w:name="_Toc55490747"/>
      <w:r w:rsidRPr="00902581">
        <w:t>Company views</w:t>
      </w:r>
      <w:bookmarkEnd w:id="42"/>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ListParagraph"/>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ListParagraph"/>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ListParagraph"/>
              <w:numPr>
                <w:ilvl w:val="0"/>
                <w:numId w:val="27"/>
              </w:numPr>
            </w:pPr>
            <w:r>
              <w:t>Initial access</w:t>
            </w:r>
          </w:p>
          <w:p w14:paraId="306A3B71" w14:textId="77777777" w:rsidR="00E754B9" w:rsidRDefault="00E754B9" w:rsidP="00346025">
            <w:pPr>
              <w:pStyle w:val="ListParagraph"/>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Heading3"/>
        <w:rPr>
          <w:lang w:val="en-US"/>
        </w:rPr>
      </w:pPr>
      <w:bookmarkStart w:id="43" w:name="_Ref55490160"/>
      <w:bookmarkStart w:id="44" w:name="_Toc5549074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3"/>
      <w:bookmarkEnd w:id="44"/>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lastRenderedPageBreak/>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gNB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gNB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Malgun Gothic"/>
                <w:lang w:eastAsia="ko-KR"/>
              </w:rPr>
            </w:pPr>
            <w:r>
              <w:rPr>
                <w:rFonts w:eastAsia="Malgun Gothic" w:hint="eastAsia"/>
                <w:lang w:eastAsia="ko-KR"/>
              </w:rPr>
              <w:lastRenderedPageBreak/>
              <w:t>Samsung</w:t>
            </w:r>
          </w:p>
        </w:tc>
        <w:tc>
          <w:tcPr>
            <w:tcW w:w="4068" w:type="pct"/>
          </w:tcPr>
          <w:p w14:paraId="59369565" w14:textId="77777777" w:rsidR="0061708B" w:rsidRDefault="0061708B" w:rsidP="0061708B">
            <w:pPr>
              <w:rPr>
                <w:rFonts w:ascii="Malgun Gothic" w:eastAsia="Malgun Gothic" w:hAnsi="Malgun Gothic"/>
                <w:lang w:val="en-US"/>
              </w:rPr>
            </w:pPr>
            <w:r>
              <w:rPr>
                <w:rFonts w:eastAsia="Malgun Gothic"/>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Malgun Gothic"/>
                <w:lang w:eastAsia="zh-CN"/>
              </w:rPr>
              <w:t>It is not clear how to coordinate. </w:t>
            </w:r>
          </w:p>
        </w:tc>
      </w:tr>
      <w:tr w:rsidR="00134550" w:rsidRPr="00902581" w14:paraId="30AE2B34" w14:textId="77777777" w:rsidTr="00131678">
        <w:tc>
          <w:tcPr>
            <w:tcW w:w="932" w:type="pct"/>
          </w:tcPr>
          <w:p w14:paraId="564B4D71" w14:textId="6CECF18A" w:rsidR="00134550" w:rsidRPr="003C736C"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1E6DCB7" w14:textId="58FB29F3" w:rsidR="00134550" w:rsidRPr="000B295F" w:rsidRDefault="00134550" w:rsidP="00134550">
            <w:pPr>
              <w:rPr>
                <w:rFonts w:eastAsiaTheme="minorEastAsia"/>
                <w:lang w:eastAsia="zh-CN"/>
              </w:rPr>
            </w:pPr>
            <w:r>
              <w:rPr>
                <w:rFonts w:eastAsiaTheme="minorEastAsia"/>
                <w:lang w:eastAsia="zh-CN"/>
              </w:rPr>
              <w:t>Support p</w:t>
            </w:r>
            <w:r w:rsidRPr="00541B6E">
              <w:rPr>
                <w:rFonts w:eastAsiaTheme="minorEastAsia"/>
                <w:lang w:eastAsia="zh-CN"/>
              </w:rPr>
              <w:t>otential Proposal 7-1</w:t>
            </w:r>
          </w:p>
        </w:tc>
      </w:tr>
      <w:tr w:rsidR="00134550" w:rsidRPr="00902581" w14:paraId="035DEED0" w14:textId="77777777" w:rsidTr="00131678">
        <w:tc>
          <w:tcPr>
            <w:tcW w:w="932" w:type="pct"/>
          </w:tcPr>
          <w:p w14:paraId="792883F0" w14:textId="169E09B1" w:rsidR="00134550" w:rsidRPr="003C736C" w:rsidRDefault="003424E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25A7597" w14:textId="7F95F349" w:rsidR="00134550" w:rsidRPr="000B295F" w:rsidRDefault="003424E2" w:rsidP="00134550">
            <w:pPr>
              <w:rPr>
                <w:rFonts w:eastAsiaTheme="minorEastAsia"/>
                <w:lang w:eastAsia="zh-CN"/>
              </w:rPr>
            </w:pPr>
            <w:r>
              <w:rPr>
                <w:rFonts w:eastAsiaTheme="minorEastAsia" w:hint="eastAsia"/>
                <w:lang w:eastAsia="zh-CN"/>
              </w:rPr>
              <w:t>Not</w:t>
            </w:r>
            <w:r>
              <w:rPr>
                <w:rFonts w:eastAsiaTheme="minorEastAsia"/>
                <w:lang w:eastAsia="zh-CN"/>
              </w:rPr>
              <w:t xml:space="preserve"> clear about the intention and further works in RAN1 with proposal 7-1. Maybe we can stick to FL recommendation and try to identify some key consideration. Then following up coordination between WGs can be done via LS.</w:t>
            </w: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Heading2"/>
      </w:pPr>
      <w:bookmarkStart w:id="45" w:name="_Toc55490749"/>
      <w:r w:rsidRPr="00902581">
        <w:t>Issue#</w:t>
      </w:r>
      <w:r w:rsidR="00AF5378" w:rsidRPr="00902581">
        <w:t>8</w:t>
      </w:r>
      <w:r w:rsidR="00277408" w:rsidRPr="00902581">
        <w:t>: UL frequency synchronization requirements</w:t>
      </w:r>
      <w:bookmarkEnd w:id="45"/>
    </w:p>
    <w:p w14:paraId="7EEB920C" w14:textId="77777777" w:rsidR="00277408" w:rsidRPr="00902581" w:rsidRDefault="00277408" w:rsidP="00277408">
      <w:pPr>
        <w:pStyle w:val="Heading3"/>
      </w:pPr>
      <w:bookmarkStart w:id="46" w:name="_Toc55490750"/>
      <w:r w:rsidRPr="00902581">
        <w:t>Background</w:t>
      </w:r>
      <w:bookmarkEnd w:id="46"/>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1532E6"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lastRenderedPageBreak/>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BodyText"/>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BodyText"/>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2663AA" w:rsidRPr="00902581">
              <w:rPr>
                <w:noProof/>
              </w:rPr>
              <w:object w:dxaOrig="220" w:dyaOrig="280" w14:anchorId="0D8BCC88">
                <v:shape id="_x0000_i1031" type="#_x0000_t75" alt="" style="width:10.4pt;height:11.55pt;mso-width-percent:0;mso-height-percent:0;mso-width-percent:0;mso-height-percent:0" o:ole="">
                  <v:imagedata r:id="rId36" o:title=""/>
                </v:shape>
                <o:OLEObject Type="Embed" ProgID="Equation.3" ShapeID="_x0000_i1031" DrawAspect="Content" ObjectID="_1666373899" r:id="rId37"/>
              </w:object>
            </w:r>
            <w:r w:rsidRPr="00902581">
              <w:t>, the elevation angle difference is upper bounded by</w:t>
            </w:r>
          </w:p>
          <w:p w14:paraId="5B729B7B"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24"/>
              </w:rPr>
              <w:object w:dxaOrig="1240" w:dyaOrig="630" w14:anchorId="17162876">
                <v:shape id="_x0000_i1030" type="#_x0000_t75" alt="" style="width:62.35pt;height:32.35pt;mso-width-percent:0;mso-height-percent:0;mso-width-percent:0;mso-height-percent:0" o:ole="">
                  <v:imagedata r:id="rId38" o:title=""/>
                </v:shape>
                <o:OLEObject Type="Embed" ProgID="Equation.3" ShapeID="_x0000_i1030" DrawAspect="Content" ObjectID="_1666373900"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2663AA" w:rsidRPr="00902581">
              <w:rPr>
                <w:noProof/>
              </w:rPr>
              <w:object w:dxaOrig="185" w:dyaOrig="259" w14:anchorId="6EF2B22A">
                <v:shape id="_x0000_i1029" type="#_x0000_t75" alt="" style="width:9.25pt;height:11.95pt;mso-width-percent:0;mso-height-percent:0;mso-width-percent:0;mso-height-percent:0" o:ole="">
                  <v:imagedata r:id="rId40" o:title=""/>
                </v:shape>
                <o:OLEObject Type="Embed" ProgID="Equation.3" ShapeID="_x0000_i1029" DrawAspect="Content" ObjectID="_1666373901" r:id="rId41"/>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2663AA" w:rsidRPr="00902581">
              <w:rPr>
                <w:noProof/>
              </w:rPr>
              <w:object w:dxaOrig="613" w:dyaOrig="345" w14:anchorId="1AA914B5">
                <v:shape id="_x0000_i1028" type="#_x0000_t75" alt="" style="width:31.95pt;height:19.25pt;mso-width-percent:0;mso-height-percent:0;mso-width-percent:0;mso-height-percent:0" o:ole="">
                  <v:imagedata r:id="rId42" o:title=""/>
                </v:shape>
                <o:OLEObject Type="Embed" ProgID="Equation.3" ShapeID="_x0000_i1028" DrawAspect="Content" ObjectID="_1666373902" r:id="rId43"/>
              </w:object>
            </w:r>
            <w:r w:rsidRPr="00902581">
              <w:t>, the location error should be smaller than</w:t>
            </w:r>
          </w:p>
          <w:p w14:paraId="2D4D2B2A"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30"/>
              </w:rPr>
              <w:object w:dxaOrig="3530" w:dyaOrig="690" w14:anchorId="71FC92A7">
                <v:shape id="_x0000_i1027" type="#_x0000_t75" alt="" style="width:176.35pt;height:35.05pt;mso-width-percent:0;mso-height-percent:0;mso-width-percent:0;mso-height-percent:0" o:ole="">
                  <v:imagedata r:id="rId44" o:title=""/>
                </v:shape>
                <o:OLEObject Type="Embed" ProgID="Equation.3" ShapeID="_x0000_i1027" DrawAspect="Content" ObjectID="_1666373903" r:id="rId45"/>
              </w:object>
            </w:r>
            <w:r w:rsidR="00277408" w:rsidRPr="00902581">
              <w:rPr>
                <w:rFonts w:eastAsia="SimSun"/>
              </w:rPr>
              <w:t>,</w:t>
            </w:r>
          </w:p>
          <w:p w14:paraId="047DC347" w14:textId="77777777" w:rsidR="00277408" w:rsidRPr="00902581" w:rsidRDefault="00277408" w:rsidP="008853FA">
            <w:pPr>
              <w:jc w:val="both"/>
            </w:pPr>
            <w:r w:rsidRPr="00902581">
              <w:lastRenderedPageBreak/>
              <w:t xml:space="preserve">where </w:t>
            </w:r>
            <w:r w:rsidR="002663AA" w:rsidRPr="00902581">
              <w:rPr>
                <w:noProof/>
              </w:rPr>
              <w:object w:dxaOrig="227" w:dyaOrig="315" w14:anchorId="416C3CAC">
                <v:shape id="_x0000_i1026" type="#_x0000_t75" alt="" style="width:9.65pt;height:15.8pt;mso-width-percent:0;mso-height-percent:0;mso-width-percent:0;mso-height-percent:0" o:ole="">
                  <v:imagedata r:id="rId46" o:title=""/>
                </v:shape>
                <o:OLEObject Type="Embed" ProgID="Equation.3" ShapeID="_x0000_i1026" DrawAspect="Content" ObjectID="_1666373904" r:id="rId47"/>
              </w:object>
            </w:r>
            <w:r w:rsidRPr="00902581">
              <w:t xml:space="preserve"> is the carrier frequency and </w:t>
            </w:r>
            <w:r w:rsidR="002663AA" w:rsidRPr="00902581">
              <w:rPr>
                <w:noProof/>
              </w:rPr>
              <w:object w:dxaOrig="155" w:dyaOrig="190" w14:anchorId="21E62690">
                <v:shape id="_x0000_i1025" type="#_x0000_t75" alt="" style="width:8.45pt;height:9.25pt;mso-width-percent:0;mso-height-percent:0;mso-width-percent:0;mso-height-percent:0" o:ole="">
                  <v:imagedata r:id="rId48" o:title=""/>
                </v:shape>
                <o:OLEObject Type="Embed" ProgID="Equation.3" ShapeID="_x0000_i1025" DrawAspect="Content" ObjectID="_1666373905" r:id="rId49"/>
              </w:object>
            </w:r>
            <w:r w:rsidRPr="00902581">
              <w:t xml:space="preserve"> is the speed of air-/space-borne </w:t>
            </w:r>
            <w:proofErr w:type="gramStart"/>
            <w:r w:rsidRPr="00902581">
              <w:t>platform.</w:t>
            </w:r>
            <w:proofErr w:type="gramEnd"/>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47" w:name="_Toc55490751"/>
      <w:r w:rsidRPr="00902581">
        <w:lastRenderedPageBreak/>
        <w:t>Companies views</w:t>
      </w:r>
      <w:bookmarkEnd w:id="47"/>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lastRenderedPageBreak/>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Heading3"/>
        <w:rPr>
          <w:lang w:val="en-US"/>
        </w:rPr>
      </w:pPr>
      <w:bookmarkStart w:id="48" w:name="_Toc55490752"/>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8"/>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49" w:name="_Toc55490753"/>
      <w:r w:rsidRPr="00902581">
        <w:rPr>
          <w:rFonts w:ascii="Times New Roman" w:hAnsi="Times New Roman"/>
        </w:rPr>
        <w:t>Other issues</w:t>
      </w:r>
      <w:bookmarkEnd w:id="49"/>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0"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50"/>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lastRenderedPageBreak/>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A8AD6" w14:textId="77777777" w:rsidR="002663AA" w:rsidRDefault="002663AA">
      <w:r>
        <w:separator/>
      </w:r>
    </w:p>
  </w:endnote>
  <w:endnote w:type="continuationSeparator" w:id="0">
    <w:p w14:paraId="2FA2AD07" w14:textId="77777777" w:rsidR="002663AA" w:rsidRDefault="0026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panose1 w:val="020B0604020202020204"/>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0DCA1" w14:textId="492984DF" w:rsidR="001532E6" w:rsidRDefault="001532E6"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79218" w14:textId="77777777" w:rsidR="002663AA" w:rsidRDefault="002663AA">
      <w:r>
        <w:separator/>
      </w:r>
    </w:p>
  </w:footnote>
  <w:footnote w:type="continuationSeparator" w:id="0">
    <w:p w14:paraId="2F7FAF0F" w14:textId="77777777" w:rsidR="002663AA" w:rsidRDefault="0026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85186" w14:textId="77777777" w:rsidR="001532E6" w:rsidRDefault="001532E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D86"/>
    <w:rsid w:val="00106FAA"/>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550"/>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2E6"/>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3AA"/>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4E2"/>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40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4EB"/>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3B5"/>
    <w:rsid w:val="008A69F1"/>
    <w:rsid w:val="008A7A03"/>
    <w:rsid w:val="008B04F8"/>
    <w:rsid w:val="008B0F4D"/>
    <w:rsid w:val="008B1BA9"/>
    <w:rsid w:val="008B1D70"/>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CAB"/>
    <w:rsid w:val="00927E2C"/>
    <w:rsid w:val="009304BE"/>
    <w:rsid w:val="00930751"/>
    <w:rsid w:val="00930796"/>
    <w:rsid w:val="009312FD"/>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9B"/>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0968"/>
    <w:rsid w:val="00B7138C"/>
    <w:rsid w:val="00B71AD3"/>
    <w:rsid w:val="00B72741"/>
    <w:rsid w:val="00B72F56"/>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58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A77EB"/>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816"/>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86D"/>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A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0F41"/>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042"/>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304"/>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31E8C8D-D6F0-4E43-A435-704B0668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1.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1D4D9-E7D5-41E4-949D-AED7517D5057}">
  <ds:schemaRefs>
    <ds:schemaRef ds:uri="http://schemas.openxmlformats.org/officeDocument/2006/bibliography"/>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23</TotalTime>
  <Pages>82</Pages>
  <Words>31257</Words>
  <Characters>178170</Characters>
  <Application>Microsoft Office Word</Application>
  <DocSecurity>0</DocSecurity>
  <Lines>1484</Lines>
  <Paragraphs>418</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209009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Chunxuan Ye</cp:lastModifiedBy>
  <cp:revision>3</cp:revision>
  <cp:lastPrinted>2017-11-03T16:53:00Z</cp:lastPrinted>
  <dcterms:created xsi:type="dcterms:W3CDTF">2020-11-09T04:23:00Z</dcterms:created>
  <dcterms:modified xsi:type="dcterms:W3CDTF">2020-11-09T04:50:00Z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