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EE7574">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EE7574">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EE7574">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EE7574">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EE7574">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EE7574">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EE7574">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EE7574">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EE7574">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EE7574">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EE7574">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EE7574">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EE7574">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EE7574">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EE7574">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EE7574">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EE7574">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EE7574">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EE7574">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EE7574">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EE7574">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EE7574">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EE7574">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EE7574">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EE7574">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EE7574">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EE7574">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EE7574">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EE7574">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EE7574">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EE7574">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EE7574">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EE7574">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EE7574">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EE7574">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EE7574">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pt;height:185.95pt;mso-width-percent:0;mso-height-percent:0;mso-width-percent:0;mso-height-percent:0" o:ole="">
            <v:imagedata r:id="rId14" o:title=""/>
          </v:shape>
          <o:OLEObject Type="Embed" ProgID="Visio.Drawing.11" ShapeID="_x0000_i1025" DrawAspect="Content" ObjectID="_1665997450"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DD19FE">
            <w:pPr>
              <w:pStyle w:val="ListParagraph"/>
              <w:numPr>
                <w:ilvl w:val="0"/>
                <w:numId w:val="45"/>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DD19FE">
            <w:pPr>
              <w:pStyle w:val="ListParagraph"/>
              <w:numPr>
                <w:ilvl w:val="0"/>
                <w:numId w:val="45"/>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 xml:space="preserve">However, RAN1 should define solutions with forward compatibility for UEs without GNSS and/or </w:t>
            </w:r>
            <w:r w:rsidRPr="008062E9">
              <w:rPr>
                <w:rFonts w:asciiTheme="minorHAnsi" w:hAnsiTheme="minorHAnsi" w:cstheme="minorHAnsi"/>
              </w:rPr>
              <w:lastRenderedPageBreak/>
              <w:t>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 xml:space="preserve">Proposal 1: At least the full TA compensation at UE side to ensure the DL/UL frame boundary </w:t>
            </w:r>
            <w:r w:rsidRPr="00902581">
              <w:lastRenderedPageBreak/>
              <w:t>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lastRenderedPageBreak/>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lastRenderedPageBreak/>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We support to have RP at gNB. We believe that with RP in gNB, UE specific TA will be estimated wrt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N_slot^(subframe.μ)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lastRenderedPageBreak/>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lastRenderedPageBreak/>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7F5EDE">
            <w:pPr>
              <w:numPr>
                <w:ilvl w:val="0"/>
                <w:numId w:val="51"/>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7F5EDE">
            <w:pPr>
              <w:numPr>
                <w:ilvl w:val="0"/>
                <w:numId w:val="51"/>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54FEF057" w14:textId="77777777" w:rsidR="004110E0" w:rsidRDefault="004110E0" w:rsidP="004110E0">
      <w:pPr>
        <w:pStyle w:val="Heading4"/>
        <w:numPr>
          <w:ilvl w:val="0"/>
          <w:numId w:val="0"/>
        </w:numPr>
        <w:ind w:left="864"/>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 xml:space="preserve">In NTN, indication of Common TA is not required, as the satellite is considered as </w:t>
            </w:r>
            <w:r w:rsidRPr="00902581">
              <w:lastRenderedPageBreak/>
              <w:t>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lastRenderedPageBreak/>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 xml:space="preserve">Proposal 3: A gNB signals residual common TA value to UEs such that UEs can derive common TA by adding to minimum common TA value, which can be obtained by UE from the satellite </w:t>
            </w:r>
            <w:r w:rsidRPr="00902581">
              <w:rPr>
                <w:bCs/>
              </w:rPr>
              <w:lastRenderedPageBreak/>
              <w:t>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lastRenderedPageBreak/>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lastRenderedPageBreak/>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w:t>
            </w:r>
            <w:r w:rsidR="008A0F7E">
              <w:lastRenderedPageBreak/>
              <w:t xml:space="preserve">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We are overall supportive of the proposal, we can still discuss whether the first subbullet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lastRenderedPageBreak/>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 xml:space="preserve">Solution 1-2-1/1-2-2, if RP is </w:t>
            </w:r>
            <w:r>
              <w:lastRenderedPageBreak/>
              <w:t>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r>
              <w:rPr>
                <w:rFonts w:eastAsiaTheme="minorEastAsia"/>
                <w:lang w:val="en-US" w:eastAsia="zh-CN"/>
              </w:rPr>
              <w:t>iaomi</w:t>
            </w:r>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lastRenderedPageBreak/>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As a starting point, using the referenceTimeInfo,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lastRenderedPageBreak/>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5.05pt;height:15.05pt;mso-width-percent:0;mso-height-percent:0;mso-width-percent:0;mso-height-percent:0" o:ole="">
                  <v:imagedata r:id="rId18" o:title=""/>
                </v:shape>
                <o:OLEObject Type="Embed" ProgID="Equation.3" ShapeID="_x0000_i1026" DrawAspect="Content" ObjectID="_1665997451" r:id="rId19"/>
              </w:object>
            </w:r>
            <w:r w:rsidRPr="00902581">
              <w:rPr>
                <w:i/>
              </w:rPr>
              <w:t xml:space="preserve">, for a TAG indicates </w:t>
            </w:r>
            <w:r w:rsidR="00DA2DF8" w:rsidRPr="00902581">
              <w:rPr>
                <w:i/>
                <w:noProof/>
                <w:position w:val="-10"/>
              </w:rPr>
              <w:object w:dxaOrig="400" w:dyaOrig="300" w14:anchorId="016BED05">
                <v:shape id="_x0000_i1027" type="#_x0000_t75" alt="" style="width:20.95pt;height:15.05pt;mso-width-percent:0;mso-height-percent:0;mso-width-percent:0;mso-height-percent:0" o:ole="">
                  <v:imagedata r:id="rId20" o:title=""/>
                </v:shape>
                <o:OLEObject Type="Embed" ProgID="Equation.3" ShapeID="_x0000_i1027" DrawAspect="Content" ObjectID="_1665997452"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5.05pt;height:15.05pt;mso-width-percent:0;mso-height-percent:0;mso-width-percent:0;mso-height-percent:0" o:ole="">
                  <v:imagedata r:id="rId22" o:title=""/>
                </v:shape>
                <o:OLEObject Type="Embed" ProgID="Equation.3" ShapeID="_x0000_i1028" DrawAspect="Content" ObjectID="_1665997453"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7pt;height:15.05pt;mso-width-percent:0;mso-height-percent:0;mso-width-percent:0;mso-height-percent:0" o:ole="">
                  <v:imagedata r:id="rId24" o:title=""/>
                </v:shape>
                <o:OLEObject Type="Embed" ProgID="Equation.3" ShapeID="_x0000_i1029" DrawAspect="Content" ObjectID="_1665997454" r:id="rId25"/>
              </w:object>
            </w:r>
            <w:r w:rsidRPr="00902581">
              <w:rPr>
                <w:i/>
              </w:rPr>
              <w:t xml:space="preserve"> kHz is </w:t>
            </w:r>
            <w:r w:rsidR="00DA2DF8" w:rsidRPr="00902581">
              <w:rPr>
                <w:i/>
                <w:noProof/>
                <w:position w:val="-10"/>
              </w:rPr>
              <w:object w:dxaOrig="1719" w:dyaOrig="340" w14:anchorId="0CD77FF6">
                <v:shape id="_x0000_i1030" type="#_x0000_t75" alt="" style="width:85.45pt;height:15.8pt;mso-width-percent:0;mso-height-percent:0;mso-width-percent:0;mso-height-percent:0" o:ole="">
                  <v:imagedata r:id="rId26" o:title=""/>
                </v:shape>
                <o:OLEObject Type="Embed" ProgID="Equation.3" ShapeID="_x0000_i1030" DrawAspect="Content" ObjectID="_1665997455" r:id="rId27"/>
              </w:object>
            </w:r>
            <w:r w:rsidRPr="00902581">
              <w:rPr>
                <w:i/>
              </w:rPr>
              <w:t xml:space="preserve">. </w:t>
            </w:r>
            <w:r w:rsidR="00DA2DF8" w:rsidRPr="00902581">
              <w:rPr>
                <w:i/>
                <w:noProof/>
                <w:position w:val="-10"/>
              </w:rPr>
              <w:object w:dxaOrig="400" w:dyaOrig="300" w14:anchorId="4254B694">
                <v:shape id="_x0000_i1031" type="#_x0000_t75" alt="" style="width:20.95pt;height:15.05pt;mso-width-percent:0;mso-height-percent:0;mso-width-percent:0;mso-height-percent:0" o:ole="">
                  <v:imagedata r:id="rId20" o:title=""/>
                </v:shape>
                <o:OLEObject Type="Embed" ProgID="Equation.3" ShapeID="_x0000_i1031" DrawAspect="Content" ObjectID="_1665997456"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lastRenderedPageBreak/>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 xml:space="preserve">It can be taken later. But in general, it will be better to ensure the accuracy for pre-compensation with less spec impact </w:t>
            </w:r>
            <w:r w:rsidR="00145281">
              <w:lastRenderedPageBreak/>
              <w:t>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lastRenderedPageBreak/>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lastRenderedPageBreak/>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EE7574"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EE7574"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lastRenderedPageBreak/>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EE7574"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w:t>
            </w:r>
            <w:r w:rsidRPr="00902581">
              <w:lastRenderedPageBreak/>
              <w:t>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lastRenderedPageBreak/>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lastRenderedPageBreak/>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Combined open and closed loop #2-2 can be considered, if TA has been initially calculated based on GNSS and in RRC connected mode is beeing updated. FFS on how to avoid misalignment and discuntinuity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lastRenderedPageBreak/>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lastRenderedPageBreak/>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r w:rsidRPr="00054C98">
              <w:rPr>
                <w:rFonts w:eastAsia="Malgun Gothic"/>
                <w:lang w:eastAsia="ko-KR"/>
              </w:rPr>
              <w:t>RRC_Idle/Inactive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 xml:space="preserve">This Proposal does not reflect the existing Agreement from RAN1 #102e, as it does not support at all frequency pre-compensation for UEs without GNSS location capability. In order to comply with the existing Agreement, the alternatives must be considered for deriving a frequency </w:t>
            </w:r>
            <w:r>
              <w:lastRenderedPageBreak/>
              <w:t>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DD19FE">
            <w:pPr>
              <w:pStyle w:val="ListParagraph"/>
              <w:numPr>
                <w:ilvl w:val="0"/>
                <w:numId w:val="46"/>
              </w:numPr>
              <w:rPr>
                <w:rFonts w:eastAsia="Times New Roman"/>
              </w:rPr>
            </w:pPr>
            <w:r>
              <w:t>GNSS acquired frequency reference to align the UE carrier frequency (local oscillator).</w:t>
            </w:r>
          </w:p>
          <w:p w14:paraId="05CBC1D3" w14:textId="77777777" w:rsidR="008E3CD7" w:rsidRPr="00902581" w:rsidRDefault="008E3CD7" w:rsidP="00DD19FE">
            <w:pPr>
              <w:pStyle w:val="ListParagraph"/>
              <w:numPr>
                <w:ilvl w:val="0"/>
                <w:numId w:val="46"/>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EE7574" w:rsidRPr="00902581" w14:paraId="4AB58EC1" w14:textId="77777777" w:rsidTr="00926BC5">
        <w:tc>
          <w:tcPr>
            <w:tcW w:w="932" w:type="pct"/>
          </w:tcPr>
          <w:p w14:paraId="0DC46288" w14:textId="3C126B60" w:rsidR="00EE7574" w:rsidRDefault="00EE7574" w:rsidP="007F5EDE">
            <w:r>
              <w:t>Intelsat</w:t>
            </w:r>
          </w:p>
        </w:tc>
        <w:tc>
          <w:tcPr>
            <w:tcW w:w="4068" w:type="pct"/>
          </w:tcPr>
          <w:p w14:paraId="4204BC38" w14:textId="0F9763E5" w:rsidR="00EE7574" w:rsidRDefault="00EE7574"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DD19FE">
            <w:pPr>
              <w:pStyle w:val="ListParagraph"/>
              <w:numPr>
                <w:ilvl w:val="0"/>
                <w:numId w:val="43"/>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DD19FE">
            <w:pPr>
              <w:pStyle w:val="ListParagraph"/>
              <w:numPr>
                <w:ilvl w:val="0"/>
                <w:numId w:val="43"/>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DD19FE">
            <w:pPr>
              <w:pStyle w:val="ListParagraph"/>
              <w:numPr>
                <w:ilvl w:val="0"/>
                <w:numId w:val="49"/>
              </w:numPr>
              <w:rPr>
                <w:rFonts w:eastAsia="Times New Roman"/>
              </w:rPr>
            </w:pPr>
            <w:r w:rsidRPr="00D76715">
              <w:t>System is agnostic to UE’s location</w:t>
            </w:r>
          </w:p>
          <w:p w14:paraId="654B764F" w14:textId="77777777" w:rsidR="008E3CD7" w:rsidRPr="00D76715" w:rsidRDefault="008E3CD7" w:rsidP="00DD19FE">
            <w:pPr>
              <w:pStyle w:val="ListParagraph"/>
              <w:numPr>
                <w:ilvl w:val="0"/>
                <w:numId w:val="49"/>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DD19FE">
            <w:pPr>
              <w:pStyle w:val="ListParagraph"/>
              <w:numPr>
                <w:ilvl w:val="1"/>
                <w:numId w:val="47"/>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DD19FE">
            <w:pPr>
              <w:pStyle w:val="ListParagraph"/>
              <w:numPr>
                <w:ilvl w:val="1"/>
                <w:numId w:val="47"/>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DD19FE">
            <w:pPr>
              <w:pStyle w:val="ListParagraph"/>
              <w:numPr>
                <w:ilvl w:val="0"/>
                <w:numId w:val="48"/>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Heading3"/>
      </w:pPr>
      <w:r w:rsidRPr="00902581">
        <w:lastRenderedPageBreak/>
        <w:t>Issue #3</w:t>
      </w:r>
      <w:r w:rsidR="005E5946" w:rsidRPr="00902581">
        <w:t>-1 Reference point for UL frequency synchronization</w:t>
      </w:r>
      <w:bookmarkEnd w:id="20"/>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lastRenderedPageBreak/>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8E3CD7">
            <w:pPr>
              <w:pStyle w:val="ListParagraph"/>
              <w:numPr>
                <w:ilvl w:val="0"/>
                <w:numId w:val="29"/>
              </w:numPr>
              <w:rPr>
                <w:rFonts w:eastAsiaTheme="minorEastAsia"/>
                <w:lang w:eastAsia="zh-CN"/>
              </w:rPr>
            </w:pPr>
            <w:r>
              <w:rPr>
                <w:rFonts w:eastAsiaTheme="minorEastAsia" w:hint="eastAsia"/>
                <w:lang w:eastAsia="zh-CN"/>
              </w:rPr>
              <w:lastRenderedPageBreak/>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8E3CD7">
            <w:pPr>
              <w:pStyle w:val="ListParagraph"/>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EE7574" w:rsidRPr="00902581" w14:paraId="22755EDB" w14:textId="77777777" w:rsidTr="004110E0">
        <w:tc>
          <w:tcPr>
            <w:tcW w:w="932" w:type="pct"/>
          </w:tcPr>
          <w:p w14:paraId="0930D897" w14:textId="191F0B6A" w:rsidR="00EE7574" w:rsidRDefault="00EE7574" w:rsidP="004110E0">
            <w:pPr>
              <w:rPr>
                <w:rFonts w:eastAsia="Malgun Gothic"/>
                <w:lang w:eastAsia="ko-KR"/>
              </w:rPr>
            </w:pPr>
            <w:r>
              <w:rPr>
                <w:rFonts w:eastAsia="Malgun Gothic"/>
                <w:lang w:eastAsia="ko-KR"/>
              </w:rPr>
              <w:t>Intelsat</w:t>
            </w:r>
          </w:p>
        </w:tc>
        <w:tc>
          <w:tcPr>
            <w:tcW w:w="4068" w:type="pct"/>
          </w:tcPr>
          <w:p w14:paraId="31F1C092" w14:textId="53147C70" w:rsidR="00EE7574" w:rsidRDefault="00EE7574"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lastRenderedPageBreak/>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8E3CD7">
            <w:pPr>
              <w:pStyle w:val="ListParagraph"/>
              <w:numPr>
                <w:ilvl w:val="0"/>
                <w:numId w:val="28"/>
              </w:numPr>
            </w:pPr>
            <w:r w:rsidRPr="00B539BA">
              <w:t>During the RACH procedure, the network may provide the DL frequency value to the UE, in order to assist the UE in calculating the frequency shift to apply in PRACH.It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EE7574" w:rsidRPr="00902581" w14:paraId="5F03A2CE" w14:textId="77777777" w:rsidTr="008A5516">
        <w:tc>
          <w:tcPr>
            <w:tcW w:w="932" w:type="pct"/>
          </w:tcPr>
          <w:p w14:paraId="6A4F14EA" w14:textId="49E7A136" w:rsidR="00EE7574" w:rsidRDefault="00EE7574" w:rsidP="008E3CD7">
            <w:r>
              <w:t>Intelsat</w:t>
            </w:r>
          </w:p>
        </w:tc>
        <w:tc>
          <w:tcPr>
            <w:tcW w:w="4068" w:type="pct"/>
          </w:tcPr>
          <w:p w14:paraId="76E23477" w14:textId="5D6CFC98" w:rsidR="00EE7574" w:rsidRDefault="00EE7574" w:rsidP="00B132F8">
            <w:r>
              <w:t>We support the proposal</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lastRenderedPageBreak/>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w:t>
            </w:r>
            <w:r w:rsidRPr="00902581">
              <w:lastRenderedPageBreak/>
              <w:t xml:space="preserve">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 xml:space="preserve">Observation 13: For earth-fixed cells the common frequency offset depends on the satellite </w:t>
            </w:r>
            <w:r w:rsidRPr="00902581">
              <w:lastRenderedPageBreak/>
              <w:t>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lastRenderedPageBreak/>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 xml:space="preserve">i) cover both earth-moving and earth-ficed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4D6C15CA" w:rsidR="004110E0" w:rsidRDefault="00EE7574" w:rsidP="008E3CD7">
            <w:r>
              <w:t>Intelsat</w:t>
            </w:r>
          </w:p>
        </w:tc>
        <w:tc>
          <w:tcPr>
            <w:tcW w:w="4068" w:type="pct"/>
          </w:tcPr>
          <w:p w14:paraId="23017362" w14:textId="5C490CA9" w:rsidR="004110E0" w:rsidRDefault="00EE7574" w:rsidP="008E3CD7">
            <w:r>
              <w:t>Support</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DD19FE">
            <w:pPr>
              <w:pStyle w:val="ListParagraph"/>
              <w:numPr>
                <w:ilvl w:val="0"/>
                <w:numId w:val="42"/>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DD19FE">
            <w:pPr>
              <w:pStyle w:val="ListParagraph"/>
              <w:numPr>
                <w:ilvl w:val="0"/>
                <w:numId w:val="42"/>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DD19FE">
            <w:pPr>
              <w:pStyle w:val="ListParagraph"/>
              <w:numPr>
                <w:ilvl w:val="0"/>
                <w:numId w:val="42"/>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DD19FE">
            <w:pPr>
              <w:pStyle w:val="ListParagraph"/>
              <w:numPr>
                <w:ilvl w:val="0"/>
                <w:numId w:val="44"/>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lastRenderedPageBreak/>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DD19FE">
            <w:pPr>
              <w:pStyle w:val="ListParagraph"/>
              <w:numPr>
                <w:ilvl w:val="0"/>
                <w:numId w:val="50"/>
              </w:numPr>
              <w:rPr>
                <w:rFonts w:eastAsia="Times New Roman"/>
              </w:rPr>
            </w:pPr>
            <w:r>
              <w:t>D or B</w:t>
            </w:r>
          </w:p>
          <w:p w14:paraId="3A51E3B2" w14:textId="77777777" w:rsidR="008E3CD7" w:rsidRPr="00902581" w:rsidRDefault="008E3CD7" w:rsidP="00DD19FE">
            <w:pPr>
              <w:pStyle w:val="ListParagraph"/>
              <w:numPr>
                <w:ilvl w:val="0"/>
                <w:numId w:val="50"/>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lastRenderedPageBreak/>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In RRC_connected,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EE7574" w:rsidRPr="00902581" w14:paraId="08C2C3E4" w14:textId="77777777" w:rsidTr="008A5516">
        <w:tc>
          <w:tcPr>
            <w:tcW w:w="932" w:type="pct"/>
          </w:tcPr>
          <w:p w14:paraId="15E29DB6" w14:textId="7CEF800A" w:rsidR="00EE7574" w:rsidRDefault="00EE7574" w:rsidP="008E3CD7">
            <w:r>
              <w:lastRenderedPageBreak/>
              <w:t>Intelsat</w:t>
            </w:r>
          </w:p>
        </w:tc>
        <w:tc>
          <w:tcPr>
            <w:tcW w:w="4068" w:type="pct"/>
          </w:tcPr>
          <w:p w14:paraId="31C90B49" w14:textId="11EF4ADD" w:rsidR="00EE7574" w:rsidRDefault="00EE7574"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Proposal 6: The gNB can jointly signal common TA drift rate and Doppler shift such as the UE derives Doppler shift from common TA drift rate signaled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lastRenderedPageBreak/>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EE7574" w:rsidRPr="00902581" w14:paraId="65C8E859" w14:textId="77777777" w:rsidTr="004110E0">
        <w:tc>
          <w:tcPr>
            <w:tcW w:w="932" w:type="pct"/>
          </w:tcPr>
          <w:p w14:paraId="30D4B011" w14:textId="13D47F7C" w:rsidR="00EE7574" w:rsidRDefault="00EE7574" w:rsidP="004110E0">
            <w:pPr>
              <w:rPr>
                <w:rFonts w:eastAsiaTheme="minorEastAsia"/>
                <w:lang w:eastAsia="zh-CN"/>
              </w:rPr>
            </w:pPr>
            <w:r>
              <w:rPr>
                <w:rFonts w:eastAsiaTheme="minorEastAsia"/>
                <w:lang w:eastAsia="zh-CN"/>
              </w:rPr>
              <w:t>Intelsat</w:t>
            </w:r>
          </w:p>
        </w:tc>
        <w:tc>
          <w:tcPr>
            <w:tcW w:w="4068" w:type="pct"/>
          </w:tcPr>
          <w:p w14:paraId="6A735676" w14:textId="3EAA52C1" w:rsidR="00EE7574" w:rsidRDefault="00EE7574" w:rsidP="004110E0">
            <w:pPr>
              <w:rPr>
                <w:rFonts w:cs="Arial"/>
              </w:rPr>
            </w:pPr>
            <w:r>
              <w:rPr>
                <w:rFonts w:cs="Arial"/>
              </w:rPr>
              <w:t>Support the proposal</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Heading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i, M0) </w:t>
      </w:r>
    </w:p>
    <w:p w14:paraId="1A9A40B0" w14:textId="77777777" w:rsidR="009F7567" w:rsidRPr="00902581" w:rsidRDefault="009F7567" w:rsidP="007C62B5">
      <w:pPr>
        <w:pStyle w:val="ListParagraph"/>
        <w:numPr>
          <w:ilvl w:val="0"/>
          <w:numId w:val="20"/>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lastRenderedPageBreak/>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lastRenderedPageBreak/>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i, M0) </w:t>
      </w:r>
    </w:p>
    <w:p w14:paraId="50CEF606" w14:textId="77777777" w:rsidR="009F7567" w:rsidRPr="007C2F4F" w:rsidRDefault="009F7567" w:rsidP="007C62B5">
      <w:pPr>
        <w:pStyle w:val="ListParagraph"/>
        <w:numPr>
          <w:ilvl w:val="0"/>
          <w:numId w:val="34"/>
        </w:numPr>
        <w:rPr>
          <w:b/>
          <w:lang w:val="en-US"/>
        </w:rPr>
      </w:pPr>
      <w:r w:rsidRPr="007C2F4F">
        <w:rPr>
          <w:b/>
          <w:lang w:val="en-US"/>
        </w:rPr>
        <w:t>Option (2): Instant state vector with implicit time: e.g., instance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 xml:space="preserve">requires </w:t>
            </w:r>
            <w:r w:rsidRPr="00280576">
              <w:lastRenderedPageBreak/>
              <w:t>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r w:rsidR="00EE7574" w:rsidRPr="00902581" w14:paraId="52783667" w14:textId="77777777" w:rsidTr="004110E0">
        <w:trPr>
          <w:trHeight w:val="419"/>
        </w:trPr>
        <w:tc>
          <w:tcPr>
            <w:tcW w:w="2331" w:type="dxa"/>
          </w:tcPr>
          <w:p w14:paraId="7B9A6A8D" w14:textId="1ADEFC48" w:rsidR="00EE7574" w:rsidRDefault="00EE7574" w:rsidP="004110E0">
            <w:pPr>
              <w:pStyle w:val="BodyText"/>
              <w:spacing w:line="256" w:lineRule="auto"/>
              <w:rPr>
                <w:rFonts w:eastAsia="Malgun Gothic"/>
                <w:lang w:eastAsia="ko-KR"/>
              </w:rPr>
            </w:pPr>
            <w:r>
              <w:rPr>
                <w:rFonts w:eastAsia="Malgun Gothic"/>
                <w:lang w:eastAsia="ko-KR"/>
              </w:rPr>
              <w:t>Intelsat</w:t>
            </w:r>
          </w:p>
        </w:tc>
        <w:tc>
          <w:tcPr>
            <w:tcW w:w="3763" w:type="dxa"/>
          </w:tcPr>
          <w:p w14:paraId="6DF6A36C" w14:textId="0BE09100" w:rsidR="00EE7574" w:rsidRDefault="00EE7574" w:rsidP="004110E0">
            <w:pPr>
              <w:pStyle w:val="BodyText"/>
              <w:spacing w:line="256" w:lineRule="auto"/>
              <w:rPr>
                <w:rFonts w:eastAsia="Malgun Gothic"/>
                <w:lang w:eastAsia="ko-KR"/>
              </w:rPr>
            </w:pPr>
            <w:r>
              <w:rPr>
                <w:rFonts w:eastAsia="Malgun Gothic"/>
                <w:lang w:eastAsia="ko-KR"/>
              </w:rPr>
              <w:t>Option 2</w:t>
            </w:r>
          </w:p>
        </w:tc>
        <w:tc>
          <w:tcPr>
            <w:tcW w:w="3642" w:type="dxa"/>
          </w:tcPr>
          <w:p w14:paraId="29E85E59" w14:textId="060DD463" w:rsidR="00EE7574" w:rsidRDefault="00EE7574" w:rsidP="004110E0">
            <w:pPr>
              <w:pStyle w:val="BodyText"/>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lastRenderedPageBreak/>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Heading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lastRenderedPageBreak/>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EE7574"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EE7574"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EE7574"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EE7574"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EE7574"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lastRenderedPageBreak/>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EE7574" w:rsidRPr="00902581" w14:paraId="33CA1255" w14:textId="77777777" w:rsidTr="004110E0">
        <w:tc>
          <w:tcPr>
            <w:tcW w:w="932" w:type="pct"/>
          </w:tcPr>
          <w:p w14:paraId="78A04D68" w14:textId="18DF27C8" w:rsidR="00EE7574" w:rsidRDefault="00EE7574" w:rsidP="004110E0">
            <w:pPr>
              <w:rPr>
                <w:rFonts w:eastAsiaTheme="minorEastAsia"/>
                <w:lang w:eastAsia="zh-CN"/>
              </w:rPr>
            </w:pPr>
            <w:r>
              <w:rPr>
                <w:rFonts w:eastAsiaTheme="minorEastAsia"/>
                <w:lang w:eastAsia="zh-CN"/>
              </w:rPr>
              <w:t>Intelsat</w:t>
            </w:r>
          </w:p>
        </w:tc>
        <w:tc>
          <w:tcPr>
            <w:tcW w:w="4068" w:type="pct"/>
          </w:tcPr>
          <w:p w14:paraId="38C68ADD" w14:textId="7C439E80" w:rsidR="00EE7574" w:rsidRDefault="00EE7574" w:rsidP="004110E0">
            <w:r>
              <w:t>Agree with the proposal</w:t>
            </w:r>
            <w:bookmarkStart w:id="33" w:name="_GoBack"/>
            <w:bookmarkEnd w:id="33"/>
          </w:p>
        </w:tc>
      </w:tr>
    </w:tbl>
    <w:p w14:paraId="16968514" w14:textId="77777777" w:rsidR="002A06C0" w:rsidRPr="004110E0" w:rsidRDefault="002A06C0" w:rsidP="002A06C0">
      <w:pPr>
        <w:rPr>
          <w:b/>
          <w:lang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Heading3"/>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7" w:name="_Toc55233924"/>
      <w:r w:rsidRPr="00902581">
        <w:lastRenderedPageBreak/>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access. Frequency </w:t>
            </w:r>
            <w:r>
              <w:lastRenderedPageBreak/>
              <w:t>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8E3CD7">
            <w:pPr>
              <w:pStyle w:val="ListParagraph"/>
              <w:numPr>
                <w:ilvl w:val="0"/>
                <w:numId w:val="28"/>
              </w:numPr>
            </w:pPr>
            <w:r>
              <w:t>Initial access</w:t>
            </w:r>
          </w:p>
          <w:p w14:paraId="306A3B71" w14:textId="77777777" w:rsidR="00E754B9" w:rsidRDefault="00E754B9" w:rsidP="008E3CD7">
            <w:pPr>
              <w:pStyle w:val="ListParagraph"/>
              <w:numPr>
                <w:ilvl w:val="0"/>
                <w:numId w:val="28"/>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8" w:name="_Toc55233925"/>
      <w:r w:rsidRPr="00902581">
        <w:lastRenderedPageBreak/>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Heading3"/>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EE7574"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lastRenderedPageBreak/>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pt;height:11.85pt;mso-width-percent:0;mso-height-percent:0;mso-width-percent:0;mso-height-percent:0" o:ole="">
                  <v:imagedata r:id="rId36" o:title=""/>
                </v:shape>
                <o:OLEObject Type="Embed" ProgID="Equation.3" ShapeID="_x0000_i1032" DrawAspect="Content" ObjectID="_1665997457"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1pt;height:32.85pt;mso-width-percent:0;mso-height-percent:0;mso-width-percent:0;mso-height-percent:0" o:ole="">
                  <v:imagedata r:id="rId38" o:title=""/>
                </v:shape>
                <o:OLEObject Type="Embed" ProgID="Equation.3" ShapeID="_x0000_i1033" DrawAspect="Content" ObjectID="_1665997458"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1pt;height:11.85pt;mso-width-percent:0;mso-height-percent:0;mso-width-percent:0;mso-height-percent:0" o:ole="">
                  <v:imagedata r:id="rId40" o:title=""/>
                </v:shape>
                <o:OLEObject Type="Embed" ProgID="Equation.3" ShapeID="_x0000_i1034" DrawAspect="Content" ObjectID="_1665997459"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85pt;height:18.6pt;mso-width-percent:0;mso-height-percent:0;mso-width-percent:0;mso-height-percent:0" o:ole="">
                  <v:imagedata r:id="rId42" o:title=""/>
                </v:shape>
                <o:OLEObject Type="Embed" ProgID="Equation.3" ShapeID="_x0000_i1035" DrawAspect="Content" ObjectID="_1665997460"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85pt;height:35.2pt;mso-width-percent:0;mso-height-percent:0;mso-width-percent:0;mso-height-percent:0" o:ole="">
                  <v:imagedata r:id="rId44" o:title=""/>
                </v:shape>
                <o:OLEObject Type="Embed" ProgID="Equation.3" ShapeID="_x0000_i1036" DrawAspect="Content" ObjectID="_1665997461"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9.9pt;height:15.8pt;mso-width-percent:0;mso-height-percent:0;mso-width-percent:0;mso-height-percent:0" o:ole="">
                  <v:imagedata r:id="rId46" o:title=""/>
                </v:shape>
                <o:OLEObject Type="Embed" ProgID="Equation.3" ShapeID="_x0000_i1037" DrawAspect="Content" ObjectID="_1665997462" r:id="rId47"/>
              </w:object>
            </w:r>
            <w:r w:rsidRPr="00902581">
              <w:t xml:space="preserve"> is the carrier frequency and </w:t>
            </w:r>
            <w:r w:rsidR="00DA2DF8" w:rsidRPr="00902581">
              <w:rPr>
                <w:noProof/>
              </w:rPr>
              <w:object w:dxaOrig="155" w:dyaOrig="190" w14:anchorId="52E8E2F5">
                <v:shape id="_x0000_i1038" type="#_x0000_t75" alt="" style="width:8.3pt;height:9.1pt;mso-width-percent:0;mso-height-percent:0;mso-width-percent:0;mso-height-percent:0" o:ole="">
                  <v:imagedata r:id="rId48" o:title=""/>
                </v:shape>
                <o:OLEObject Type="Embed" ProgID="Equation.3" ShapeID="_x0000_i1038" DrawAspect="Content" ObjectID="_1665997463"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w:t>
            </w:r>
            <w:r w:rsidRPr="00902581">
              <w:lastRenderedPageBreak/>
              <w:t xml:space="preserve">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lastRenderedPageBreak/>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lastRenderedPageBreak/>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lastRenderedPageBreak/>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lastRenderedPageBreak/>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headerReference w:type="default" r:id="rId51"/>
      <w:footerReference w:type="even" r:id="rId52"/>
      <w:footerReference w:type="default" r:id="rId53"/>
      <w:headerReference w:type="first" r:id="rId54"/>
      <w:footerReference w:type="first" r:id="rId5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5A68B" w14:textId="77777777" w:rsidR="00BD2BD3" w:rsidRDefault="00BD2BD3">
      <w:r>
        <w:separator/>
      </w:r>
    </w:p>
  </w:endnote>
  <w:endnote w:type="continuationSeparator" w:id="0">
    <w:p w14:paraId="1A077CFB" w14:textId="77777777" w:rsidR="00BD2BD3" w:rsidRDefault="00BD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090E" w14:textId="77777777" w:rsidR="00EE7574" w:rsidRDefault="00EE7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44FFF6B4" w:rsidR="00D01E0B" w:rsidRDefault="00D01E0B"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55A26">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5A26">
      <w:rPr>
        <w:rStyle w:val="PageNumber"/>
      </w:rPr>
      <w:t>70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726F" w14:textId="77777777" w:rsidR="00EE7574" w:rsidRDefault="00EE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4F346" w14:textId="77777777" w:rsidR="00BD2BD3" w:rsidRDefault="00BD2BD3">
      <w:r>
        <w:separator/>
      </w:r>
    </w:p>
  </w:footnote>
  <w:footnote w:type="continuationSeparator" w:id="0">
    <w:p w14:paraId="10708331" w14:textId="77777777" w:rsidR="00BD2BD3" w:rsidRDefault="00BD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D01E0B" w:rsidRDefault="00D01E0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D6A9" w14:textId="77777777" w:rsidR="00EE7574" w:rsidRDefault="00EE7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C7EC" w14:textId="77777777" w:rsidR="00EE7574" w:rsidRDefault="00EE7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5"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6"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4"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49"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20"/>
  </w:num>
  <w:num w:numId="3">
    <w:abstractNumId w:val="32"/>
  </w:num>
  <w:num w:numId="4">
    <w:abstractNumId w:val="0"/>
  </w:num>
  <w:num w:numId="5">
    <w:abstractNumId w:val="37"/>
  </w:num>
  <w:num w:numId="6">
    <w:abstractNumId w:val="38"/>
  </w:num>
  <w:num w:numId="7">
    <w:abstractNumId w:val="15"/>
  </w:num>
  <w:num w:numId="8">
    <w:abstractNumId w:val="27"/>
  </w:num>
  <w:num w:numId="9">
    <w:abstractNumId w:val="10"/>
  </w:num>
  <w:num w:numId="10">
    <w:abstractNumId w:val="33"/>
  </w:num>
  <w:num w:numId="11">
    <w:abstractNumId w:val="34"/>
  </w:num>
  <w:num w:numId="12">
    <w:abstractNumId w:val="6"/>
  </w:num>
  <w:num w:numId="13">
    <w:abstractNumId w:val="11"/>
  </w:num>
  <w:num w:numId="14">
    <w:abstractNumId w:val="12"/>
  </w:num>
  <w:num w:numId="15">
    <w:abstractNumId w:val="35"/>
  </w:num>
  <w:num w:numId="16">
    <w:abstractNumId w:val="42"/>
  </w:num>
  <w:num w:numId="17">
    <w:abstractNumId w:val="41"/>
  </w:num>
  <w:num w:numId="18">
    <w:abstractNumId w:val="36"/>
  </w:num>
  <w:num w:numId="19">
    <w:abstractNumId w:val="8"/>
  </w:num>
  <w:num w:numId="20">
    <w:abstractNumId w:val="14"/>
  </w:num>
  <w:num w:numId="21">
    <w:abstractNumId w:val="9"/>
  </w:num>
  <w:num w:numId="22">
    <w:abstractNumId w:val="44"/>
  </w:num>
  <w:num w:numId="23">
    <w:abstractNumId w:val="40"/>
  </w:num>
  <w:num w:numId="24">
    <w:abstractNumId w:val="30"/>
  </w:num>
  <w:num w:numId="25">
    <w:abstractNumId w:val="7"/>
  </w:num>
  <w:num w:numId="26">
    <w:abstractNumId w:val="28"/>
  </w:num>
  <w:num w:numId="27">
    <w:abstractNumId w:val="46"/>
  </w:num>
  <w:num w:numId="28">
    <w:abstractNumId w:val="1"/>
  </w:num>
  <w:num w:numId="29">
    <w:abstractNumId w:val="4"/>
  </w:num>
  <w:num w:numId="30">
    <w:abstractNumId w:val="16"/>
  </w:num>
  <w:num w:numId="31">
    <w:abstractNumId w:val="5"/>
  </w:num>
  <w:num w:numId="32">
    <w:abstractNumId w:val="13"/>
  </w:num>
  <w:num w:numId="33">
    <w:abstractNumId w:val="18"/>
  </w:num>
  <w:num w:numId="34">
    <w:abstractNumId w:val="19"/>
  </w:num>
  <w:num w:numId="35">
    <w:abstractNumId w:val="29"/>
  </w:num>
  <w:num w:numId="36">
    <w:abstractNumId w:val="45"/>
  </w:num>
  <w:num w:numId="37">
    <w:abstractNumId w:val="21"/>
  </w:num>
  <w:num w:numId="38">
    <w:abstractNumId w:val="47"/>
  </w:num>
  <w:num w:numId="39">
    <w:abstractNumId w:val="17"/>
  </w:num>
  <w:num w:numId="40">
    <w:abstractNumId w:val="2"/>
  </w:num>
  <w:num w:numId="41">
    <w:abstractNumId w:val="50"/>
  </w:num>
  <w:num w:numId="42">
    <w:abstractNumId w:val="49"/>
  </w:num>
  <w:num w:numId="43">
    <w:abstractNumId w:val="22"/>
  </w:num>
  <w:num w:numId="44">
    <w:abstractNumId w:val="23"/>
  </w:num>
  <w:num w:numId="45">
    <w:abstractNumId w:val="26"/>
  </w:num>
  <w:num w:numId="46">
    <w:abstractNumId w:val="25"/>
  </w:num>
  <w:num w:numId="47">
    <w:abstractNumId w:val="24"/>
  </w:num>
  <w:num w:numId="48">
    <w:abstractNumId w:val="43"/>
  </w:num>
  <w:num w:numId="49">
    <w:abstractNumId w:val="3"/>
  </w:num>
  <w:num w:numId="50">
    <w:abstractNumId w:val="48"/>
  </w:num>
  <w:num w:numId="51">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0E0"/>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97D"/>
    <w:rsid w:val="00B06B6F"/>
    <w:rsid w:val="00B06E40"/>
    <w:rsid w:val="00B073DA"/>
    <w:rsid w:val="00B0775E"/>
    <w:rsid w:val="00B07FAB"/>
    <w:rsid w:val="00B1007D"/>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9F0"/>
    <w:rsid w:val="00C47FB1"/>
    <w:rsid w:val="00C50725"/>
    <w:rsid w:val="00C50C32"/>
    <w:rsid w:val="00C50DB6"/>
    <w:rsid w:val="00C512A4"/>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574"/>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B33704"/>
  <w15:docId w15:val="{FCC8FAEA-D2CF-4803-B1D6-664F9BE7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9.bin"/><Relationship Id="rId21" Type="http://schemas.openxmlformats.org/officeDocument/2006/relationships/oleObject" Target="embeddings/oleObject3.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3.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10.bin"/><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8.bin"/><Relationship Id="rId40" Type="http://schemas.openxmlformats.org/officeDocument/2006/relationships/image" Target="media/image13.wmf"/><Relationship Id="rId45" Type="http://schemas.openxmlformats.org/officeDocument/2006/relationships/oleObject" Target="embeddings/oleObject12.bin"/><Relationship Id="rId53"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oleObject" Target="embeddings/oleObject14.bin"/><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1.bin"/><Relationship Id="rId48" Type="http://schemas.openxmlformats.org/officeDocument/2006/relationships/image" Target="media/image17.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BC0135114F6F4485E13E334F8798D3" ma:contentTypeVersion="12" ma:contentTypeDescription="Create a new document." ma:contentTypeScope="" ma:versionID="758a017a9a611a4bcb75d467abb6b30f">
  <xsd:schema xmlns:xsd="http://www.w3.org/2001/XMLSchema" xmlns:xs="http://www.w3.org/2001/XMLSchema" xmlns:p="http://schemas.microsoft.com/office/2006/metadata/properties" xmlns:ns3="42731f6c-07b5-4ac9-819a-0407a8d7bcf1" xmlns:ns4="ceaacd69-126d-4b93-a7ad-f7a0f293fd1a" targetNamespace="http://schemas.microsoft.com/office/2006/metadata/properties" ma:root="true" ma:fieldsID="4025dfc007b4ae73a043d9d442f2eb0a" ns3:_="" ns4:_="">
    <xsd:import namespace="42731f6c-07b5-4ac9-819a-0407a8d7bcf1"/>
    <xsd:import namespace="ceaacd69-126d-4b93-a7ad-f7a0f293fd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31f6c-07b5-4ac9-819a-0407a8d7b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acd69-126d-4b93-a7ad-f7a0f293f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CC7A3333-26C7-4FFE-958A-AF63BE2CD147}">
  <ds:schemaRefs>
    <ds:schemaRef ds:uri="http://schemas.openxmlformats.org/package/2006/metadata/core-properties"/>
    <ds:schemaRef ds:uri="42731f6c-07b5-4ac9-819a-0407a8d7bcf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eaacd69-126d-4b93-a7ad-f7a0f293fd1a"/>
    <ds:schemaRef ds:uri="http://www.w3.org/XML/1998/namespace"/>
    <ds:schemaRef ds:uri="http://purl.org/dc/dcmitype/"/>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A8CA15B0-E8CA-4887-8572-99E3D7211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31f6c-07b5-4ac9-819a-0407a8d7bcf1"/>
    <ds:schemaRef ds:uri="ceaacd69-126d-4b93-a7ad-f7a0f293f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3D6119-FCF2-4EA5-BE18-A15C7A08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70</Pages>
  <Words>27068</Words>
  <Characters>154289</Characters>
  <Application>Microsoft Office Word</Application>
  <DocSecurity>0</DocSecurity>
  <Lines>1285</Lines>
  <Paragraphs>361</Paragraphs>
  <ScaleCrop>false</ScaleCrop>
  <HeadingPairs>
    <vt:vector size="12" baseType="variant">
      <vt:variant>
        <vt:lpstr>Title</vt:lpstr>
      </vt:variant>
      <vt:variant>
        <vt:i4>1</vt:i4>
      </vt:variant>
      <vt:variant>
        <vt:lpstr>Titre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180996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Olesen, Robert</cp:lastModifiedBy>
  <cp:revision>2</cp:revision>
  <cp:lastPrinted>2017-11-03T16:53:00Z</cp:lastPrinted>
  <dcterms:created xsi:type="dcterms:W3CDTF">2020-11-04T17:17:00Z</dcterms:created>
  <dcterms:modified xsi:type="dcterms:W3CDTF">2020-11-04T17:17:00Z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0x01010037BC0135114F6F4485E13E334F8798D3</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