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C557AE">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C557AE">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C557AE">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C557AE">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C557AE">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C557AE">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C557AE">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C557AE">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C557AE">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C557AE">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C557AE">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C557AE">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C557AE">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C557AE">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C557AE">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C557AE">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C557AE">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C557AE">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C557AE">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C557AE">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C557AE">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C557AE">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C557AE">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C557AE">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C557AE">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C557AE">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C557AE">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C557AE">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C557AE">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C557AE">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C557AE">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C557AE">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C557AE">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C557AE">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C557AE">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C557AE">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5989275"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lastRenderedPageBreak/>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lastRenderedPageBreak/>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lastRenderedPageBreak/>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lastRenderedPageBreak/>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 xml:space="preserve">There is no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lastRenderedPageBreak/>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w:t>
            </w:r>
            <w:proofErr w:type="spellStart"/>
            <w:r>
              <w:t>gNB</w:t>
            </w:r>
            <w:proofErr w:type="spellEnd"/>
            <w:r>
              <w:t xml:space="preserve">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w:t>
            </w:r>
            <w:proofErr w:type="spellStart"/>
            <w:r>
              <w:t>gNB</w:t>
            </w:r>
            <w:proofErr w:type="spellEnd"/>
            <w:r>
              <w:t xml:space="preserve">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lastRenderedPageBreak/>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5989276"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4.4pt;mso-width-percent:0;mso-height-percent:0;mso-width-percent:0;mso-height-percent:0" o:ole="">
                  <v:imagedata r:id="rId20" o:title=""/>
                </v:shape>
                <o:OLEObject Type="Embed" ProgID="Equation.3" ShapeID="_x0000_i1027" DrawAspect="Content" ObjectID="_1665989277"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5989278"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6pt;height:14.4pt;mso-width-percent:0;mso-height-percent:0;mso-width-percent:0;mso-height-percent:0" o:ole="">
                  <v:imagedata r:id="rId24" o:title=""/>
                </v:shape>
                <o:OLEObject Type="Embed" ProgID="Equation.3" ShapeID="_x0000_i1029" DrawAspect="Content" ObjectID="_1665989279" r:id="rId25"/>
              </w:object>
            </w:r>
            <w:r w:rsidRPr="00902581">
              <w:rPr>
                <w:i/>
              </w:rPr>
              <w:t xml:space="preserve"> kHz is </w:t>
            </w:r>
            <w:r w:rsidR="00DA2DF8" w:rsidRPr="00902581">
              <w:rPr>
                <w:i/>
                <w:noProof/>
                <w:position w:val="-10"/>
              </w:rPr>
              <w:object w:dxaOrig="1719" w:dyaOrig="340" w14:anchorId="0CD77FF6">
                <v:shape id="_x0000_i1030" type="#_x0000_t75" alt="" style="width:86.4pt;height:15.6pt;mso-width-percent:0;mso-height-percent:0;mso-width-percent:0;mso-height-percent:0" o:ole="">
                  <v:imagedata r:id="rId26" o:title=""/>
                </v:shape>
                <o:OLEObject Type="Embed" ProgID="Equation.3" ShapeID="_x0000_i1030" DrawAspect="Content" ObjectID="_1665989280" r:id="rId27"/>
              </w:object>
            </w:r>
            <w:r w:rsidRPr="00902581">
              <w:rPr>
                <w:i/>
              </w:rPr>
              <w:t xml:space="preserve">. </w:t>
            </w:r>
            <w:r w:rsidR="00DA2DF8" w:rsidRPr="00902581">
              <w:rPr>
                <w:i/>
                <w:noProof/>
                <w:position w:val="-10"/>
              </w:rPr>
              <w:object w:dxaOrig="400" w:dyaOrig="300" w14:anchorId="4254B694">
                <v:shape id="_x0000_i1031" type="#_x0000_t75" alt="" style="width:21.6pt;height:14.4pt;mso-width-percent:0;mso-height-percent:0;mso-width-percent:0;mso-height-percent:0" o:ole="">
                  <v:imagedata r:id="rId20" o:title=""/>
                </v:shape>
                <o:OLEObject Type="Embed" ProgID="Equation.3" ShapeID="_x0000_i1031" DrawAspect="Content" ObjectID="_1665989281"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lastRenderedPageBreak/>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lastRenderedPageBreak/>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C557AE"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C557AE"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C557AE"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w:t>
      </w:r>
      <w:proofErr w:type="spellStart"/>
      <w:r w:rsidRPr="00902581">
        <w:rPr>
          <w:rFonts w:ascii="Times New Roman" w:hAnsi="Times New Roman" w:cs="Times New Roman"/>
          <w:iCs/>
          <w:sz w:val="20"/>
          <w:lang w:eastAsia="zh-CN"/>
        </w:rPr>
        <w:t>is</w:t>
      </w:r>
      <w:proofErr w:type="spellEnd"/>
      <w:r w:rsidRPr="00902581">
        <w:rPr>
          <w:rFonts w:ascii="Times New Roman" w:hAnsi="Times New Roman" w:cs="Times New Roman"/>
          <w:iCs/>
          <w:sz w:val="20"/>
          <w:lang w:eastAsia="zh-CN"/>
        </w:rPr>
        <w:t xml:space="preserve"> </w:t>
      </w:r>
      <w:proofErr w:type="spellStart"/>
      <w:r w:rsidRPr="00902581">
        <w:rPr>
          <w:rFonts w:ascii="Times New Roman" w:hAnsi="Times New Roman" w:cs="Times New Roman"/>
          <w:iCs/>
          <w:sz w:val="20"/>
          <w:lang w:eastAsia="zh-CN"/>
        </w:rPr>
        <w:t>the</w:t>
      </w:r>
      <w:proofErr w:type="spellEnd"/>
      <w:r w:rsidRPr="00902581">
        <w:rPr>
          <w:rFonts w:ascii="Times New Roman" w:hAnsi="Times New Roman" w:cs="Times New Roman"/>
          <w:iCs/>
          <w:sz w:val="20"/>
          <w:lang w:eastAsia="zh-CN"/>
        </w:rPr>
        <w:t xml:space="preserv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lastRenderedPageBreak/>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xml:space="preserve">: the benefits of this solution is clear, it solve the issues of  accuracy and </w:t>
            </w:r>
            <w:r>
              <w:lastRenderedPageBreak/>
              <w:t>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lastRenderedPageBreak/>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lastRenderedPageBreak/>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lastRenderedPageBreak/>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lastRenderedPageBreak/>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 xml:space="preserve">UE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lastRenderedPageBreak/>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lastRenderedPageBreak/>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lastRenderedPageBreak/>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w:t>
            </w:r>
            <w:proofErr w:type="spellStart"/>
            <w:r>
              <w:rPr>
                <w:rFonts w:eastAsiaTheme="minorEastAsia"/>
                <w:lang w:eastAsia="zh-CN"/>
              </w:rPr>
              <w:t>gNB</w:t>
            </w:r>
            <w:proofErr w:type="spellEnd"/>
            <w:r>
              <w:rPr>
                <w:rFonts w:eastAsiaTheme="minorEastAsia"/>
                <w:lang w:eastAsia="zh-CN"/>
              </w:rPr>
              <w:t xml:space="preserve">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ListParagraph"/>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ListParagraph"/>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ListParagraph"/>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lastRenderedPageBreak/>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lastRenderedPageBreak/>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lastRenderedPageBreak/>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lastRenderedPageBreak/>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lastRenderedPageBreak/>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lastRenderedPageBreak/>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lastRenderedPageBreak/>
              <w:t>Option-1</w:t>
            </w:r>
          </w:p>
          <w:p w14:paraId="023DC47A" w14:textId="77777777" w:rsidR="00842DEB" w:rsidRPr="00902581" w:rsidRDefault="00842DEB" w:rsidP="009C7056">
            <w:pPr>
              <w:pStyle w:val="BodyText"/>
              <w:spacing w:line="256" w:lineRule="auto"/>
            </w:pPr>
            <w:r>
              <w:lastRenderedPageBreak/>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BodyText"/>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BodyText"/>
              <w:spacing w:line="256" w:lineRule="auto"/>
            </w:pPr>
          </w:p>
        </w:tc>
        <w:tc>
          <w:tcPr>
            <w:tcW w:w="3763" w:type="dxa"/>
          </w:tcPr>
          <w:p w14:paraId="0CC33E10" w14:textId="77777777" w:rsidR="002520AF" w:rsidRPr="00902581" w:rsidRDefault="002520AF" w:rsidP="002520AF">
            <w:pPr>
              <w:pStyle w:val="BodyText"/>
              <w:spacing w:line="256" w:lineRule="auto"/>
            </w:pPr>
          </w:p>
        </w:tc>
        <w:tc>
          <w:tcPr>
            <w:tcW w:w="3642" w:type="dxa"/>
          </w:tcPr>
          <w:p w14:paraId="39309D91" w14:textId="77777777" w:rsidR="002520AF" w:rsidRPr="00902581" w:rsidRDefault="002520AF" w:rsidP="002520AF">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lastRenderedPageBreak/>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lastRenderedPageBreak/>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C557AE"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C557AE"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C557AE"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C557AE"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C557AE"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lastRenderedPageBreak/>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lastRenderedPageBreak/>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lastRenderedPageBreak/>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Heading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lastRenderedPageBreak/>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lastRenderedPageBreak/>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lastRenderedPageBreak/>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Heading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C557AE"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3.2pt;mso-width-percent:0;mso-height-percent:0;mso-width-percent:0;mso-height-percent:0" o:ole="">
                  <v:imagedata r:id="rId36" o:title=""/>
                </v:shape>
                <o:OLEObject Type="Embed" ProgID="Equation.3" ShapeID="_x0000_i1032" DrawAspect="Content" ObjectID="_1665989282"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pt;height:33pt;mso-width-percent:0;mso-height-percent:0;mso-width-percent:0;mso-height-percent:0" o:ole="">
                  <v:imagedata r:id="rId38" o:title=""/>
                </v:shape>
                <o:OLEObject Type="Embed" ProgID="Equation.3" ShapeID="_x0000_i1033" DrawAspect="Content" ObjectID="_1665989283" r:id="rId39"/>
              </w:object>
            </w:r>
            <w:r w:rsidR="00277408" w:rsidRPr="00902581">
              <w:rPr>
                <w:rFonts w:eastAsia="SimSun"/>
              </w:rPr>
              <w:t>,</w:t>
            </w:r>
          </w:p>
          <w:p w14:paraId="56C3B6EB" w14:textId="77777777" w:rsidR="00277408" w:rsidRPr="00902581" w:rsidRDefault="00277408" w:rsidP="008853FA">
            <w:pPr>
              <w:jc w:val="both"/>
            </w:pPr>
            <w:r w:rsidRPr="00902581">
              <w:lastRenderedPageBreak/>
              <w:t xml:space="preserve">where </w:t>
            </w:r>
            <w:r w:rsidR="00DA2DF8" w:rsidRPr="00902581">
              <w:rPr>
                <w:noProof/>
              </w:rPr>
              <w:object w:dxaOrig="185" w:dyaOrig="259" w14:anchorId="22E3C629">
                <v:shape id="_x0000_i1034" type="#_x0000_t75" alt="" style="width:9.6pt;height:12pt;mso-width-percent:0;mso-height-percent:0;mso-width-percent:0;mso-height-percent:0" o:ole="">
                  <v:imagedata r:id="rId40" o:title=""/>
                </v:shape>
                <o:OLEObject Type="Embed" ProgID="Equation.3" ShapeID="_x0000_i1034" DrawAspect="Content" ObjectID="_1665989284"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4pt;height:18.6pt;mso-width-percent:0;mso-height-percent:0;mso-width-percent:0;mso-height-percent:0" o:ole="">
                  <v:imagedata r:id="rId42" o:title=""/>
                </v:shape>
                <o:OLEObject Type="Embed" ProgID="Equation.3" ShapeID="_x0000_i1035" DrawAspect="Content" ObjectID="_1665989285"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4pt;mso-width-percent:0;mso-height-percent:0;mso-width-percent:0;mso-height-percent:0" o:ole="">
                  <v:imagedata r:id="rId44" o:title=""/>
                </v:shape>
                <o:OLEObject Type="Embed" ProgID="Equation.3" ShapeID="_x0000_i1036" DrawAspect="Content" ObjectID="_1665989286"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pt;mso-width-percent:0;mso-height-percent:0;mso-width-percent:0;mso-height-percent:0" o:ole="">
                  <v:imagedata r:id="rId46" o:title=""/>
                </v:shape>
                <o:OLEObject Type="Embed" ProgID="Equation.3" ShapeID="_x0000_i1037" DrawAspect="Content" ObjectID="_1665989287" r:id="rId47"/>
              </w:object>
            </w:r>
            <w:r w:rsidRPr="00902581">
              <w:t xml:space="preserve"> is the carrier frequency and </w:t>
            </w:r>
            <w:r w:rsidR="00DA2DF8" w:rsidRPr="00902581">
              <w:rPr>
                <w:noProof/>
              </w:rPr>
              <w:object w:dxaOrig="155" w:dyaOrig="190" w14:anchorId="52E8E2F5">
                <v:shape id="_x0000_i1038" type="#_x0000_t75" alt="" style="width:8.4pt;height:9.6pt;mso-width-percent:0;mso-height-percent:0;mso-width-percent:0;mso-height-percent:0" o:ole="">
                  <v:imagedata r:id="rId48" o:title=""/>
                </v:shape>
                <o:OLEObject Type="Embed" ProgID="Equation.3" ShapeID="_x0000_i1038" DrawAspect="Content" ObjectID="_1665989288"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lastRenderedPageBreak/>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0" w:name="_Toc55233928"/>
      <w:r w:rsidRPr="00902581">
        <w:rPr>
          <w:rFonts w:ascii="Times New Roman" w:hAnsi="Times New Roman"/>
        </w:rPr>
        <w:lastRenderedPageBreak/>
        <w:t>Other issues</w:t>
      </w:r>
      <w:bookmarkEnd w:id="4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lastRenderedPageBreak/>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r>
          <w:bookmarkStart w:id="42" w:name="_GoBack"/>
          <w:r w:rsidRPr="00902581">
            <w:t>PANASONIC</w:t>
          </w:r>
          <w:bookmarkEnd w:id="42"/>
          <w:r w:rsidRPr="00902581">
            <w:t xml:space="preserve">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4520B" w14:textId="77777777" w:rsidR="007D512E" w:rsidRDefault="007D512E">
      <w:r>
        <w:separator/>
      </w:r>
    </w:p>
  </w:endnote>
  <w:endnote w:type="continuationSeparator" w:id="0">
    <w:p w14:paraId="12FAD94D" w14:textId="77777777" w:rsidR="007D512E" w:rsidRDefault="007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3F573A4C" w:rsidR="00C557AE" w:rsidRDefault="00C557AE"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BBBE" w14:textId="77777777" w:rsidR="007D512E" w:rsidRDefault="007D512E">
      <w:r>
        <w:separator/>
      </w:r>
    </w:p>
  </w:footnote>
  <w:footnote w:type="continuationSeparator" w:id="0">
    <w:p w14:paraId="1DFD9B55" w14:textId="77777777" w:rsidR="007D512E" w:rsidRDefault="007D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列表段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E4B0F363-3988-4592-82ED-0915C576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21396</Words>
  <Characters>134802</Characters>
  <Application>Microsoft Office Word</Application>
  <DocSecurity>0</DocSecurity>
  <Lines>1123</Lines>
  <Paragraphs>311</Paragraphs>
  <ScaleCrop>false</ScaleCrop>
  <HeadingPairs>
    <vt:vector size="12" baseType="variant">
      <vt:variant>
        <vt:lpstr>Title</vt:lpstr>
      </vt:variant>
      <vt:variant>
        <vt:i4>1</vt:i4>
      </vt:variant>
      <vt:variant>
        <vt:lpstr>제목</vt:lpstr>
      </vt:variant>
      <vt:variant>
        <vt:i4>1</vt:i4>
      </vt:variant>
      <vt:variant>
        <vt:lpstr>머리글</vt:lpstr>
      </vt:variant>
      <vt:variant>
        <vt:i4>21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vector>
  </TitlesOfParts>
  <Company>Thales SPACE</Company>
  <LinksUpToDate>false</LinksUpToDate>
  <CharactersWithSpaces>155887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Peter Klenner</cp:lastModifiedBy>
  <cp:revision>6</cp:revision>
  <cp:lastPrinted>2017-11-03T16:53:00Z</cp:lastPrinted>
  <dcterms:created xsi:type="dcterms:W3CDTF">2020-11-04T08:33:00Z</dcterms:created>
  <dcterms:modified xsi:type="dcterms:W3CDTF">2020-11-04T09:00:00Z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