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54371" w14:textId="77777777" w:rsidR="00DB1848" w:rsidRPr="00902581" w:rsidRDefault="00CA3D26" w:rsidP="00520DF8">
      <w:pPr>
        <w:pStyle w:val="3GPPHeader"/>
        <w:tabs>
          <w:tab w:val="left" w:pos="2520"/>
        </w:tabs>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B34CEE">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B34CEE">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B34CEE">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B34CEE">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B34CEE">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B34CEE">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B34CEE">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B34CEE">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B34CEE">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B34CEE">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B34CEE">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B34CEE">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B34CEE">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B34CEE">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B34CEE">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B34CEE">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B34CEE">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B34CEE">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B34CEE">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B34CEE">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B34CEE">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B34CEE">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B34CEE">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B34CEE">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B34CEE">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B34CEE">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B34CEE">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B34CEE">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B34CEE">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B34CEE">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B34CEE">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B34CEE">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B34CEE">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B34CEE">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B34CEE">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B34CEE">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r w:rsidR="00585D33" w:rsidRPr="00902581">
        <w:rPr>
          <w:vertAlign w:val="subscript"/>
        </w:rPr>
        <w:t>TAoffset</w:t>
      </w:r>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7pt;height:186pt;mso-width-percent:0;mso-height-percent:0;mso-width-percent:0;mso-height-percent:0" o:ole="">
            <v:imagedata r:id="rId14" o:title=""/>
          </v:shape>
          <o:OLEObject Type="Embed" ProgID="Visio.Drawing.11" ShapeID="_x0000_i1025" DrawAspect="Content" ObjectID="_1665931513"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pPr>
              <w:rPr>
                <w:rFonts w:hint="eastAsia"/>
              </w:rPr>
            </w:pPr>
            <w:r>
              <w:t>Support the proposal</w:t>
            </w:r>
          </w:p>
        </w:tc>
      </w:tr>
    </w:tbl>
    <w:p w14:paraId="4391D673" w14:textId="77777777" w:rsidR="0005644C" w:rsidRPr="00902581" w:rsidRDefault="0005644C" w:rsidP="002C6CD1"/>
    <w:p w14:paraId="4CDCDB69" w14:textId="77777777"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ListParagraph"/>
        <w:numPr>
          <w:ilvl w:val="0"/>
          <w:numId w:val="17"/>
        </w:numPr>
      </w:pPr>
      <w:r w:rsidRPr="00902581">
        <w:lastRenderedPageBreak/>
        <w:t xml:space="preserve">Issue#1-3: </w:t>
      </w:r>
      <w:r w:rsidR="00AE62B6" w:rsidRPr="00902581">
        <w:t>The need and indication of  TA margin</w:t>
      </w:r>
    </w:p>
    <w:p w14:paraId="0E23148D" w14:textId="77777777" w:rsidR="00006617" w:rsidRPr="00902581" w:rsidRDefault="00006617" w:rsidP="007C62B5">
      <w:pPr>
        <w:pStyle w:val="ListParagraph"/>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Heading3"/>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lastRenderedPageBreak/>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r>
              <w:rPr>
                <w:bCs/>
              </w:rPr>
              <w:t>Mediatek</w:t>
            </w:r>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hint="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bl>
    <w:p w14:paraId="69155AF7" w14:textId="77777777" w:rsidR="00601CE8" w:rsidRPr="00902581" w:rsidRDefault="00601CE8" w:rsidP="00601CE8">
      <w:pPr>
        <w:rPr>
          <w:b/>
          <w:lang w:val="en-US" w:eastAsia="zh-CN"/>
        </w:rPr>
      </w:pPr>
    </w:p>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lastRenderedPageBreak/>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lastRenderedPageBreak/>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(N_TA+N_(TA,offset)+N_(TA,common) )×T_c, where N_TA is UE’s estimate of the service link RTT, N_(TA,offset) depends on band and LTE/NR coexistence, and N_(TA,common)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lastRenderedPageBreak/>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lastRenderedPageBreak/>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lastRenderedPageBreak/>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rFonts w:hint="eastAsia"/>
                <w:bCs/>
              </w:rPr>
            </w:pPr>
            <w:r>
              <w:rPr>
                <w:bCs/>
              </w:rPr>
              <w:t>InterDigital</w:t>
            </w:r>
          </w:p>
        </w:tc>
        <w:tc>
          <w:tcPr>
            <w:tcW w:w="4068" w:type="pct"/>
          </w:tcPr>
          <w:p w14:paraId="2571B7BE" w14:textId="0B8A34B9" w:rsidR="00916A85" w:rsidRDefault="00916A85" w:rsidP="001A2B0C">
            <w:r>
              <w:t>Support the proposal</w:t>
            </w:r>
          </w:p>
        </w:tc>
      </w:tr>
    </w:tbl>
    <w:p w14:paraId="42479A51" w14:textId="77777777" w:rsidR="002E445D" w:rsidRPr="00902581" w:rsidRDefault="002E445D" w:rsidP="002E445D">
      <w:pPr>
        <w:rPr>
          <w:b/>
          <w:lang w:val="en-US" w:eastAsia="zh-CN"/>
        </w:rPr>
      </w:pPr>
    </w:p>
    <w:p w14:paraId="4FF7F436" w14:textId="77777777" w:rsidR="00B513C3" w:rsidRPr="00902581" w:rsidRDefault="00B513C3" w:rsidP="00B513C3"/>
    <w:p w14:paraId="76608CD6" w14:textId="77777777" w:rsidR="002961DB" w:rsidRPr="00902581" w:rsidRDefault="00C84EBA" w:rsidP="00AD1692">
      <w:pPr>
        <w:pStyle w:val="Heading3"/>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lastRenderedPageBreak/>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ListParagraph"/>
        <w:numPr>
          <w:ilvl w:val="0"/>
          <w:numId w:val="22"/>
        </w:numPr>
        <w:rPr>
          <w:lang w:val="en-US"/>
        </w:rPr>
      </w:pPr>
      <w:r w:rsidRPr="00902581">
        <w:rPr>
          <w:b/>
          <w:lang w:val="en-US"/>
        </w:rPr>
        <w:lastRenderedPageBreak/>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ListParagraph"/>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lastRenderedPageBreak/>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lastRenderedPageBreak/>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w:t>
            </w:r>
            <w:r>
              <w:lastRenderedPageBreak/>
              <w:t xml:space="preserve">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lastRenderedPageBreak/>
              <w:t>Solution#1-2-4</w:t>
            </w:r>
            <w:r w:rsidR="005A1013">
              <w:t xml:space="preserve">  (As mentioned for Initial proposal 1-3, it’s also beneficial for </w:t>
            </w:r>
            <w:r w:rsidR="005A1013">
              <w:lastRenderedPageBreak/>
              <w:t>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lastRenderedPageBreak/>
              <w:t>Solution#1-2-3</w:t>
            </w:r>
            <w:r w:rsidR="000C655B">
              <w:t xml:space="preserve"> (Firstly, the inaccuracy pre-compensation should be avoided in case of </w:t>
            </w:r>
            <w:r w:rsidR="000C655B">
              <w:lastRenderedPageBreak/>
              <w:t>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lastRenderedPageBreak/>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bl>
    <w:p w14:paraId="2512CAF2" w14:textId="77777777" w:rsidR="002961DB" w:rsidRPr="00902581" w:rsidRDefault="002961DB" w:rsidP="002961DB">
      <w:pPr>
        <w:rPr>
          <w:b/>
          <w:lang w:val="en-US" w:eastAsia="zh-CN"/>
        </w:rPr>
      </w:pPr>
    </w:p>
    <w:p w14:paraId="5D007D34" w14:textId="77777777" w:rsidR="00DB1848" w:rsidRPr="00902581" w:rsidRDefault="00C84EBA" w:rsidP="00F9597F">
      <w:pPr>
        <w:pStyle w:val="Heading3"/>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ListParagraph"/>
        <w:numPr>
          <w:ilvl w:val="0"/>
          <w:numId w:val="33"/>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lastRenderedPageBreak/>
        <w:t xml:space="preserve">W.r.t the TAC in RAR in NTN, there are essentially two issues that need to be discussed: </w:t>
      </w:r>
    </w:p>
    <w:p w14:paraId="7E81DCC8" w14:textId="77777777" w:rsidR="00623E80" w:rsidRPr="00902581" w:rsidRDefault="00623E80" w:rsidP="007C62B5">
      <w:pPr>
        <w:pStyle w:val="ListParagraph"/>
        <w:numPr>
          <w:ilvl w:val="0"/>
          <w:numId w:val="23"/>
        </w:numPr>
      </w:pPr>
      <w:r w:rsidRPr="00902581">
        <w:t>Is there a necessity to extend the range of TAC in RAR?</w:t>
      </w:r>
    </w:p>
    <w:p w14:paraId="56FFEB27" w14:textId="77777777"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15pt;height:14.15pt;mso-width-percent:0;mso-height-percent:0;mso-width-percent:0;mso-height-percent:0" o:ole="">
                  <v:imagedata r:id="rId18" o:title=""/>
                </v:shape>
                <o:OLEObject Type="Embed" ProgID="Equation.3" ShapeID="_x0000_i1026" DrawAspect="Content" ObjectID="_1665931514" r:id="rId19"/>
              </w:object>
            </w:r>
            <w:r w:rsidRPr="00902581">
              <w:rPr>
                <w:i/>
              </w:rPr>
              <w:t xml:space="preserve">, for a TAG indicates </w:t>
            </w:r>
            <w:r w:rsidR="00DA2DF8" w:rsidRPr="00902581">
              <w:rPr>
                <w:i/>
                <w:noProof/>
                <w:position w:val="-10"/>
              </w:rPr>
              <w:object w:dxaOrig="400" w:dyaOrig="300" w14:anchorId="016BED05">
                <v:shape id="_x0000_i1027" type="#_x0000_t75" alt="" style="width:21.85pt;height:14.15pt;mso-width-percent:0;mso-height-percent:0;mso-width-percent:0;mso-height-percent:0" o:ole="">
                  <v:imagedata r:id="rId20" o:title=""/>
                </v:shape>
                <o:OLEObject Type="Embed" ProgID="Equation.3" ShapeID="_x0000_i1027" DrawAspect="Content" ObjectID="_1665931515"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15pt;height:14.15pt;mso-width-percent:0;mso-height-percent:0;mso-width-percent:0;mso-height-percent:0" o:ole="">
                  <v:imagedata r:id="rId22" o:title=""/>
                </v:shape>
                <o:OLEObject Type="Embed" ProgID="Equation.3" ShapeID="_x0000_i1028" DrawAspect="Content" ObjectID="_1665931516"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85pt;height:14.15pt;mso-width-percent:0;mso-height-percent:0;mso-width-percent:0;mso-height-percent:0" o:ole="">
                  <v:imagedata r:id="rId24" o:title=""/>
                </v:shape>
                <o:OLEObject Type="Embed" ProgID="Equation.3" ShapeID="_x0000_i1029" DrawAspect="Content" ObjectID="_1665931517" r:id="rId25"/>
              </w:object>
            </w:r>
            <w:r w:rsidRPr="00902581">
              <w:rPr>
                <w:i/>
              </w:rPr>
              <w:t xml:space="preserve"> kHz is </w:t>
            </w:r>
            <w:r w:rsidR="00DA2DF8" w:rsidRPr="00902581">
              <w:rPr>
                <w:i/>
                <w:noProof/>
                <w:position w:val="-10"/>
              </w:rPr>
              <w:object w:dxaOrig="1719" w:dyaOrig="340" w14:anchorId="0CD77FF6">
                <v:shape id="_x0000_i1030" type="#_x0000_t75" alt="" style="width:86.15pt;height:15.85pt;mso-width-percent:0;mso-height-percent:0;mso-width-percent:0;mso-height-percent:0" o:ole="">
                  <v:imagedata r:id="rId26" o:title=""/>
                </v:shape>
                <o:OLEObject Type="Embed" ProgID="Equation.3" ShapeID="_x0000_i1030" DrawAspect="Content" ObjectID="_1665931518" r:id="rId27"/>
              </w:object>
            </w:r>
            <w:r w:rsidRPr="00902581">
              <w:rPr>
                <w:i/>
              </w:rPr>
              <w:t xml:space="preserve">. </w:t>
            </w:r>
            <w:r w:rsidR="00DA2DF8" w:rsidRPr="00902581">
              <w:rPr>
                <w:i/>
                <w:noProof/>
                <w:position w:val="-10"/>
              </w:rPr>
              <w:object w:dxaOrig="400" w:dyaOrig="300" w14:anchorId="4254B694">
                <v:shape id="_x0000_i1031" type="#_x0000_t75" alt="" style="width:21.85pt;height:14.15pt;mso-width-percent:0;mso-height-percent:0;mso-width-percent:0;mso-height-percent:0" o:ole="">
                  <v:imagedata r:id="rId20" o:title=""/>
                </v:shape>
                <o:OLEObject Type="Embed" ProgID="Equation.3" ShapeID="_x0000_i1031" DrawAspect="Content" ObjectID="_1665931519"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lastRenderedPageBreak/>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lastRenderedPageBreak/>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rFonts w:hint="eastAsia"/>
                <w:bCs/>
              </w:rPr>
            </w:pPr>
            <w:r>
              <w:rPr>
                <w:bCs/>
              </w:rPr>
              <w:t>InterDigital</w:t>
            </w:r>
          </w:p>
        </w:tc>
        <w:tc>
          <w:tcPr>
            <w:tcW w:w="4068" w:type="pct"/>
          </w:tcPr>
          <w:p w14:paraId="54264F09" w14:textId="46B0495C" w:rsidR="00ED37A2" w:rsidRDefault="00ED37A2" w:rsidP="001A2B0C">
            <w:r>
              <w:t>Support the proposal</w:t>
            </w:r>
          </w:p>
        </w:tc>
      </w:tr>
    </w:tbl>
    <w:p w14:paraId="168232D1" w14:textId="77777777" w:rsidR="002E445D" w:rsidRPr="00902581" w:rsidRDefault="002E445D" w:rsidP="002E445D">
      <w:pPr>
        <w:rPr>
          <w:b/>
          <w:lang w:val="en-US" w:eastAsia="zh-CN"/>
        </w:rPr>
      </w:pPr>
    </w:p>
    <w:p w14:paraId="1BE439F8" w14:textId="77777777" w:rsidR="006F6278" w:rsidRPr="00902581" w:rsidRDefault="006F6278" w:rsidP="006F6278"/>
    <w:p w14:paraId="1D90A1DB" w14:textId="77777777" w:rsidR="00F9597F" w:rsidRPr="00902581" w:rsidRDefault="00F9597F" w:rsidP="00F9597F">
      <w:pPr>
        <w:pStyle w:val="Heading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Heading3"/>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 xml:space="preserve">n complementary to the open loop TA adjustment, the </w:t>
      </w:r>
      <w:r w:rsidR="00A970E5" w:rsidRPr="00902581">
        <w:rPr>
          <w:rFonts w:ascii="Times New Roman" w:hAnsi="Times New Roman" w:cs="Times New Roman"/>
          <w:sz w:val="20"/>
          <w:lang w:val="en-US" w:eastAsia="en-US"/>
        </w:rPr>
        <w:lastRenderedPageBreak/>
        <w:t>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B34CEE"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B34CEE"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B34CEE"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DriftRate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lastRenderedPageBreak/>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lastRenderedPageBreak/>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lastRenderedPageBreak/>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lastRenderedPageBreak/>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TAold to the UE for TA ajustment.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lastRenderedPageBreak/>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hint="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BodyText"/>
              <w:spacing w:line="256" w:lineRule="auto"/>
              <w:rPr>
                <w:rFonts w:eastAsiaTheme="minorEastAsia" w:hint="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bl>
    <w:p w14:paraId="0187A659" w14:textId="77777777" w:rsidR="00EF565D" w:rsidRPr="00902581" w:rsidRDefault="00EF565D" w:rsidP="00EF565D">
      <w:pPr>
        <w:rPr>
          <w:b/>
          <w:lang w:val="en-US" w:eastAsia="zh-CN"/>
        </w:rPr>
      </w:pPr>
    </w:p>
    <w:p w14:paraId="4C055483" w14:textId="77777777" w:rsidR="00F9597F" w:rsidRPr="00902581" w:rsidRDefault="00F9597F" w:rsidP="00F9597F">
      <w:pPr>
        <w:spacing w:after="200" w:line="276" w:lineRule="auto"/>
        <w:contextualSpacing/>
        <w:rPr>
          <w:b/>
          <w:highlight w:val="green"/>
          <w:lang w:val="en-US"/>
        </w:rPr>
      </w:pPr>
    </w:p>
    <w:p w14:paraId="0387F791" w14:textId="77777777" w:rsidR="00DB1848" w:rsidRPr="00902581" w:rsidRDefault="00DB1848" w:rsidP="00DB1848">
      <w:pPr>
        <w:pStyle w:val="Heading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lastRenderedPageBreak/>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lastRenderedPageBreak/>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r w:rsidRPr="00902581">
              <w:t>FgNB,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Observation 3: There could be an UL frequency bias between U</w:t>
            </w:r>
            <w:r w:rsidR="00A40BD6" w:rsidRPr="00902581">
              <w:t>e</w:t>
            </w:r>
            <w:r w:rsidRPr="00902581">
              <w:t>s that are frequency synchronized with GNSS and U</w:t>
            </w:r>
            <w:r w:rsidR="00A40BD6" w:rsidRPr="00902581">
              <w:t>e</w:t>
            </w:r>
            <w:r w:rsidRPr="00902581">
              <w:t>s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precompensate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t>nitial</w:t>
            </w:r>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lastRenderedPageBreak/>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hint="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hint="eastAsia"/>
                <w:lang w:eastAsia="zh-CN"/>
              </w:rPr>
            </w:pPr>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TableGrid"/>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ListParagraph"/>
              <w:numPr>
                <w:ilvl w:val="0"/>
                <w:numId w:val="40"/>
              </w:numPr>
            </w:pPr>
            <w:r>
              <w:lastRenderedPageBreak/>
              <w:t xml:space="preserve">It requires the UE to read the SIB several times per second, which increases power consumption. </w:t>
            </w:r>
          </w:p>
          <w:p w14:paraId="0FA4E70F" w14:textId="77777777"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ListParagraph"/>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lastRenderedPageBreak/>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bl>
    <w:p w14:paraId="00BDAF42" w14:textId="77777777" w:rsidR="005E5946" w:rsidRPr="00902581" w:rsidRDefault="00CB3C2D" w:rsidP="0056124C">
      <w:pPr>
        <w:pStyle w:val="Heading3"/>
      </w:pPr>
      <w:bookmarkStart w:id="20" w:name="_Toc55233910"/>
      <w:r w:rsidRPr="00902581">
        <w:t>Issue #3</w:t>
      </w:r>
      <w:r w:rsidR="005E5946" w:rsidRPr="00902581">
        <w:t>-1 Reference point for UL frequency synchronization</w:t>
      </w:r>
      <w:bookmarkEnd w:id="20"/>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r w:rsidRPr="00902581">
              <w:t>Mediatek</w:t>
            </w:r>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 xml:space="preserve">If the satellite is time and frequency reference point, then UL signals will be time and frequency aligned and received at nominal UL frequency at satellite RX. Then all time slots </w:t>
            </w:r>
            <w:r w:rsidRPr="00902581">
              <w:lastRenderedPageBreak/>
              <w:t>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w:t>
      </w:r>
      <w:r w:rsidRPr="00902581">
        <w:lastRenderedPageBreak/>
        <w:t>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lastRenderedPageBreak/>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Pr>
              <w:rPr>
                <w:rFonts w:hint="eastAsia"/>
              </w:rPr>
            </w:pPr>
            <w:r>
              <w:t>InterDigital</w:t>
            </w:r>
          </w:p>
        </w:tc>
        <w:tc>
          <w:tcPr>
            <w:tcW w:w="4068" w:type="pct"/>
          </w:tcPr>
          <w:p w14:paraId="1E2CD9E8" w14:textId="1E1D8976" w:rsidR="007B3DB0" w:rsidRDefault="007B3DB0" w:rsidP="001A2B0C">
            <w:pPr>
              <w:rPr>
                <w:rFonts w:hint="eastAsia"/>
              </w:rPr>
            </w:pPr>
            <w:r>
              <w:t>Support Option 1.</w:t>
            </w:r>
          </w:p>
        </w:tc>
      </w:tr>
    </w:tbl>
    <w:p w14:paraId="13466CA2" w14:textId="77777777" w:rsidR="005E5946" w:rsidRDefault="005E5946" w:rsidP="005E5946">
      <w:pPr>
        <w:rPr>
          <w:rFonts w:eastAsiaTheme="minorHAnsi"/>
          <w:b/>
          <w:bCs/>
          <w:sz w:val="22"/>
          <w:szCs w:val="22"/>
          <w:lang w:val="en-US"/>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Pr>
              <w:rPr>
                <w:rFonts w:hint="eastAsia"/>
              </w:rPr>
            </w:pPr>
            <w:r>
              <w:t>InterDigital</w:t>
            </w:r>
          </w:p>
        </w:tc>
        <w:tc>
          <w:tcPr>
            <w:tcW w:w="4068" w:type="pct"/>
          </w:tcPr>
          <w:p w14:paraId="7A6091D0" w14:textId="40AF0924" w:rsidR="00411BDD" w:rsidRDefault="00411BDD" w:rsidP="001A2B0C">
            <w:r>
              <w:t>Support the proposal</w:t>
            </w:r>
          </w:p>
        </w:tc>
      </w:tr>
    </w:tbl>
    <w:p w14:paraId="0B21F13D" w14:textId="77777777" w:rsidR="0024038F" w:rsidRPr="00902581" w:rsidRDefault="0024038F" w:rsidP="005E5946">
      <w:pPr>
        <w:rPr>
          <w:rFonts w:eastAsiaTheme="minorHAnsi"/>
          <w:b/>
          <w:bCs/>
          <w:sz w:val="22"/>
          <w:szCs w:val="22"/>
          <w:lang w:val="en-US"/>
        </w:rPr>
      </w:pPr>
    </w:p>
    <w:p w14:paraId="3030775F" w14:textId="77777777" w:rsidR="005E5946" w:rsidRPr="00902581" w:rsidRDefault="005E5946" w:rsidP="005E5946"/>
    <w:p w14:paraId="4E60328E" w14:textId="77777777" w:rsidR="005E5946" w:rsidRPr="00902581" w:rsidRDefault="00CB3C2D" w:rsidP="0056124C">
      <w:pPr>
        <w:pStyle w:val="Heading3"/>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lastRenderedPageBreak/>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w:t>
            </w:r>
            <w:r w:rsidRPr="00902581">
              <w:lastRenderedPageBreak/>
              <w:t xml:space="preserve">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lastRenderedPageBreak/>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hint="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bl>
    <w:p w14:paraId="48418579" w14:textId="77777777" w:rsidR="005E5946" w:rsidRPr="00902581" w:rsidRDefault="005E5946" w:rsidP="005E5946">
      <w:pPr>
        <w:rPr>
          <w:lang w:val="en-US"/>
        </w:rPr>
      </w:pPr>
    </w:p>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lastRenderedPageBreak/>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hint="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hint="eastAsia"/>
                <w:lang w:eastAsia="zh-CN"/>
              </w:rPr>
            </w:pPr>
            <w:r>
              <w:rPr>
                <w:rFonts w:eastAsiaTheme="minorEastAsia"/>
                <w:lang w:eastAsia="zh-CN"/>
              </w:rPr>
              <w:t>Agree</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lastRenderedPageBreak/>
              <w:t>Ericsson</w:t>
            </w:r>
          </w:p>
        </w:tc>
        <w:tc>
          <w:tcPr>
            <w:tcW w:w="4068" w:type="pct"/>
          </w:tcPr>
          <w:p w14:paraId="6F62B2C5" w14:textId="77777777" w:rsidR="00F0617A" w:rsidRDefault="00F0617A" w:rsidP="00F0617A">
            <w:pPr>
              <w:pStyle w:val="ListParagraph"/>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ListParagraph"/>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bl>
    <w:p w14:paraId="61C068C8" w14:textId="77777777" w:rsidR="005E5946" w:rsidRPr="00902581" w:rsidRDefault="005E5946" w:rsidP="005E5946">
      <w:pPr>
        <w:rPr>
          <w:b/>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lastRenderedPageBreak/>
              <w:t>Proposal 9: The UE-specific frequency offset can be tracked using DL reference signals and should be precompensated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lastRenderedPageBreak/>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8853FA">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bl>
    <w:p w14:paraId="2BEDF989" w14:textId="77777777" w:rsidR="00A27A6C" w:rsidRPr="00902581" w:rsidRDefault="00A27A6C" w:rsidP="005E5946"/>
    <w:p w14:paraId="638AB8A3" w14:textId="77777777" w:rsidR="009F7567" w:rsidRPr="00902581" w:rsidRDefault="009F7567" w:rsidP="009F7567">
      <w:pPr>
        <w:pStyle w:val="Heading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Heading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Heading3"/>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lastRenderedPageBreak/>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ListParagraph"/>
        <w:numPr>
          <w:ilvl w:val="0"/>
          <w:numId w:val="20"/>
        </w:numPr>
      </w:pPr>
      <w:r w:rsidRPr="00902581">
        <w:t xml:space="preserve">Orbital elements: e.g., (a, e, ω, Ω, i, M0) </w:t>
      </w:r>
    </w:p>
    <w:p w14:paraId="1A9A40B0" w14:textId="77777777" w:rsidR="009F7567" w:rsidRPr="00902581" w:rsidRDefault="009F7567" w:rsidP="007C62B5">
      <w:pPr>
        <w:pStyle w:val="ListParagraph"/>
        <w:numPr>
          <w:ilvl w:val="0"/>
          <w:numId w:val="20"/>
        </w:numPr>
      </w:pPr>
      <w:r w:rsidRPr="00902581">
        <w:t>Or instant state vector: e.g., instance position and instance velocity (x, y, z, vx, vy, vz)</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lastRenderedPageBreak/>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27" w:name="_Toc55233917"/>
      <w:r w:rsidRPr="00902581">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i, M0) </w:t>
      </w:r>
    </w:p>
    <w:p w14:paraId="50CEF606" w14:textId="77777777" w:rsidR="009F7567" w:rsidRPr="007C2F4F" w:rsidRDefault="009F7567" w:rsidP="007C62B5">
      <w:pPr>
        <w:pStyle w:val="ListParagraph"/>
        <w:numPr>
          <w:ilvl w:val="0"/>
          <w:numId w:val="34"/>
        </w:numPr>
        <w:rPr>
          <w:b/>
          <w:lang w:val="en-US"/>
        </w:rPr>
      </w:pPr>
      <w:r w:rsidRPr="007C2F4F">
        <w:rPr>
          <w:b/>
          <w:lang w:val="en-US"/>
        </w:rPr>
        <w:lastRenderedPageBreak/>
        <w:t>Option (2): Instant state vector with implicit time: e.g., instance position and instance velocity (x, y, z, vx, vy, vz)</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F33083" w:rsidRPr="00902581" w14:paraId="3B88A640" w14:textId="77777777" w:rsidTr="009C7056">
        <w:trPr>
          <w:trHeight w:val="408"/>
        </w:trPr>
        <w:tc>
          <w:tcPr>
            <w:tcW w:w="2331" w:type="dxa"/>
          </w:tcPr>
          <w:p w14:paraId="5AF84806" w14:textId="77777777" w:rsidR="00F33083" w:rsidRPr="00902581" w:rsidRDefault="00F33083" w:rsidP="00F33083">
            <w:pPr>
              <w:pStyle w:val="BodyText"/>
              <w:spacing w:line="256" w:lineRule="auto"/>
            </w:pPr>
          </w:p>
        </w:tc>
        <w:tc>
          <w:tcPr>
            <w:tcW w:w="3763" w:type="dxa"/>
          </w:tcPr>
          <w:p w14:paraId="01EFFAE8" w14:textId="77777777" w:rsidR="00F33083" w:rsidRPr="00902581" w:rsidRDefault="00F33083" w:rsidP="00F33083">
            <w:pPr>
              <w:pStyle w:val="BodyText"/>
              <w:spacing w:line="256" w:lineRule="auto"/>
            </w:pPr>
          </w:p>
        </w:tc>
        <w:tc>
          <w:tcPr>
            <w:tcW w:w="3642" w:type="dxa"/>
          </w:tcPr>
          <w:p w14:paraId="6E7938E5" w14:textId="77777777" w:rsidR="00F33083" w:rsidRPr="00902581" w:rsidRDefault="00F33083" w:rsidP="00F33083">
            <w:pPr>
              <w:pStyle w:val="BodyText"/>
              <w:spacing w:line="256" w:lineRule="auto"/>
            </w:pPr>
          </w:p>
        </w:tc>
      </w:tr>
      <w:tr w:rsidR="00F33083" w:rsidRPr="00902581" w14:paraId="6C4F15E7" w14:textId="77777777" w:rsidTr="009C7056">
        <w:trPr>
          <w:trHeight w:val="419"/>
        </w:trPr>
        <w:tc>
          <w:tcPr>
            <w:tcW w:w="2331" w:type="dxa"/>
          </w:tcPr>
          <w:p w14:paraId="045EB5CD" w14:textId="77777777" w:rsidR="00F33083" w:rsidRPr="00902581" w:rsidRDefault="00F33083" w:rsidP="00F33083">
            <w:pPr>
              <w:pStyle w:val="BodyText"/>
              <w:spacing w:line="256" w:lineRule="auto"/>
            </w:pPr>
          </w:p>
        </w:tc>
        <w:tc>
          <w:tcPr>
            <w:tcW w:w="3763" w:type="dxa"/>
          </w:tcPr>
          <w:p w14:paraId="40713710" w14:textId="77777777" w:rsidR="00F33083" w:rsidRPr="00902581" w:rsidRDefault="00F33083" w:rsidP="00F33083">
            <w:pPr>
              <w:pStyle w:val="BodyText"/>
              <w:spacing w:line="256" w:lineRule="auto"/>
            </w:pPr>
          </w:p>
        </w:tc>
        <w:tc>
          <w:tcPr>
            <w:tcW w:w="3642" w:type="dxa"/>
          </w:tcPr>
          <w:p w14:paraId="525A467D" w14:textId="77777777" w:rsidR="00F33083" w:rsidRPr="00902581" w:rsidRDefault="00F33083" w:rsidP="00F33083">
            <w:pPr>
              <w:pStyle w:val="BodyText"/>
              <w:spacing w:line="256" w:lineRule="auto"/>
            </w:pPr>
          </w:p>
        </w:tc>
      </w:tr>
      <w:tr w:rsidR="00F33083" w:rsidRPr="00902581" w14:paraId="3FDC9AB8" w14:textId="77777777" w:rsidTr="009C7056">
        <w:trPr>
          <w:trHeight w:val="419"/>
        </w:trPr>
        <w:tc>
          <w:tcPr>
            <w:tcW w:w="2331" w:type="dxa"/>
          </w:tcPr>
          <w:p w14:paraId="31083FB9" w14:textId="77777777" w:rsidR="00F33083" w:rsidRPr="00902581" w:rsidRDefault="00F33083" w:rsidP="00F33083">
            <w:pPr>
              <w:pStyle w:val="BodyText"/>
              <w:spacing w:line="256" w:lineRule="auto"/>
            </w:pPr>
          </w:p>
        </w:tc>
        <w:tc>
          <w:tcPr>
            <w:tcW w:w="3763" w:type="dxa"/>
          </w:tcPr>
          <w:p w14:paraId="248158FA" w14:textId="77777777" w:rsidR="00F33083" w:rsidRPr="00902581" w:rsidRDefault="00F33083" w:rsidP="00F33083">
            <w:pPr>
              <w:pStyle w:val="BodyText"/>
              <w:spacing w:line="256" w:lineRule="auto"/>
            </w:pPr>
          </w:p>
        </w:tc>
        <w:tc>
          <w:tcPr>
            <w:tcW w:w="3642" w:type="dxa"/>
          </w:tcPr>
          <w:p w14:paraId="113F2E36" w14:textId="77777777" w:rsidR="00F33083" w:rsidRPr="00902581" w:rsidRDefault="00F33083" w:rsidP="00F33083">
            <w:pPr>
              <w:pStyle w:val="BodyText"/>
              <w:spacing w:line="256" w:lineRule="auto"/>
            </w:pPr>
          </w:p>
        </w:tc>
      </w:tr>
      <w:tr w:rsidR="00F33083" w:rsidRPr="00902581" w14:paraId="452A137D" w14:textId="77777777" w:rsidTr="009C7056">
        <w:trPr>
          <w:trHeight w:val="419"/>
        </w:trPr>
        <w:tc>
          <w:tcPr>
            <w:tcW w:w="2331" w:type="dxa"/>
          </w:tcPr>
          <w:p w14:paraId="0D285B2A" w14:textId="77777777" w:rsidR="00F33083" w:rsidRPr="00902581" w:rsidRDefault="00F33083" w:rsidP="00F33083">
            <w:pPr>
              <w:pStyle w:val="BodyText"/>
              <w:spacing w:line="256" w:lineRule="auto"/>
            </w:pPr>
          </w:p>
        </w:tc>
        <w:tc>
          <w:tcPr>
            <w:tcW w:w="3763" w:type="dxa"/>
          </w:tcPr>
          <w:p w14:paraId="603E1753" w14:textId="77777777" w:rsidR="00F33083" w:rsidRPr="00902581" w:rsidRDefault="00F33083" w:rsidP="00F33083">
            <w:pPr>
              <w:pStyle w:val="BodyText"/>
              <w:spacing w:line="256" w:lineRule="auto"/>
            </w:pPr>
          </w:p>
        </w:tc>
        <w:tc>
          <w:tcPr>
            <w:tcW w:w="3642" w:type="dxa"/>
          </w:tcPr>
          <w:p w14:paraId="4911A66A" w14:textId="77777777" w:rsidR="00F33083" w:rsidRPr="00902581" w:rsidRDefault="00F33083" w:rsidP="00F33083">
            <w:pPr>
              <w:pStyle w:val="BodyText"/>
              <w:spacing w:line="256" w:lineRule="auto"/>
            </w:pPr>
          </w:p>
        </w:tc>
      </w:tr>
      <w:tr w:rsidR="00F33083" w:rsidRPr="00902581" w14:paraId="7A1A133E" w14:textId="77777777" w:rsidTr="009C7056">
        <w:trPr>
          <w:trHeight w:val="419"/>
        </w:trPr>
        <w:tc>
          <w:tcPr>
            <w:tcW w:w="2331" w:type="dxa"/>
          </w:tcPr>
          <w:p w14:paraId="7A3A7A39" w14:textId="77777777" w:rsidR="00F33083" w:rsidRPr="00902581" w:rsidRDefault="00F33083" w:rsidP="00F33083">
            <w:pPr>
              <w:pStyle w:val="BodyText"/>
              <w:spacing w:line="256" w:lineRule="auto"/>
            </w:pPr>
          </w:p>
        </w:tc>
        <w:tc>
          <w:tcPr>
            <w:tcW w:w="3763" w:type="dxa"/>
          </w:tcPr>
          <w:p w14:paraId="306FD86A" w14:textId="77777777" w:rsidR="00F33083" w:rsidRPr="00902581" w:rsidRDefault="00F33083" w:rsidP="00F33083">
            <w:pPr>
              <w:pStyle w:val="BodyText"/>
              <w:spacing w:line="256" w:lineRule="auto"/>
            </w:pPr>
          </w:p>
        </w:tc>
        <w:tc>
          <w:tcPr>
            <w:tcW w:w="3642" w:type="dxa"/>
          </w:tcPr>
          <w:p w14:paraId="4DCE3026" w14:textId="77777777" w:rsidR="00F33083" w:rsidRPr="00902581" w:rsidRDefault="00F33083" w:rsidP="00F33083">
            <w:pPr>
              <w:pStyle w:val="BodyText"/>
              <w:spacing w:line="256" w:lineRule="auto"/>
            </w:pPr>
          </w:p>
        </w:tc>
      </w:tr>
      <w:tr w:rsidR="00F33083" w:rsidRPr="00902581" w14:paraId="19198E88" w14:textId="77777777" w:rsidTr="009C7056">
        <w:trPr>
          <w:trHeight w:val="419"/>
        </w:trPr>
        <w:tc>
          <w:tcPr>
            <w:tcW w:w="2331" w:type="dxa"/>
          </w:tcPr>
          <w:p w14:paraId="556131E0" w14:textId="77777777" w:rsidR="00F33083" w:rsidRPr="00902581" w:rsidRDefault="00F33083" w:rsidP="00F33083">
            <w:pPr>
              <w:pStyle w:val="BodyText"/>
              <w:spacing w:line="256" w:lineRule="auto"/>
            </w:pPr>
          </w:p>
        </w:tc>
        <w:tc>
          <w:tcPr>
            <w:tcW w:w="3763" w:type="dxa"/>
          </w:tcPr>
          <w:p w14:paraId="0CC33E10" w14:textId="77777777" w:rsidR="00F33083" w:rsidRPr="00902581" w:rsidRDefault="00F33083" w:rsidP="00F33083">
            <w:pPr>
              <w:pStyle w:val="BodyText"/>
              <w:spacing w:line="256" w:lineRule="auto"/>
            </w:pPr>
          </w:p>
        </w:tc>
        <w:tc>
          <w:tcPr>
            <w:tcW w:w="3642" w:type="dxa"/>
          </w:tcPr>
          <w:p w14:paraId="39309D91" w14:textId="77777777" w:rsidR="00F33083" w:rsidRPr="00902581" w:rsidRDefault="00F33083" w:rsidP="00F33083">
            <w:pPr>
              <w:pStyle w:val="BodyText"/>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bl>
    <w:p w14:paraId="57F3A1F4" w14:textId="77777777" w:rsidR="009F7567" w:rsidRPr="00902581" w:rsidRDefault="009F7567"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Heading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14:paraId="7EBCC8DA" w14:textId="77777777" w:rsidR="0027474B" w:rsidRPr="00902581" w:rsidRDefault="00226667" w:rsidP="0027474B">
      <w:pPr>
        <w:pStyle w:val="Heading3"/>
      </w:pPr>
      <w:bookmarkStart w:id="31" w:name="_Toc55233920"/>
      <w:r w:rsidRPr="00902581">
        <w:t>Background</w:t>
      </w:r>
      <w:bookmarkEnd w:id="31"/>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(iono/tropospheric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B34CEE"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B34CEE"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B34CEE"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B34CEE"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B34CEE"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lastRenderedPageBreak/>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a Tdoc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2" w:name="_Toc55233921"/>
      <w:r w:rsidRPr="00902581">
        <w:t>Company views</w:t>
      </w:r>
      <w:bookmarkEnd w:id="32"/>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w:t>
      </w:r>
      <w:r w:rsidRPr="00902581">
        <w:lastRenderedPageBreak/>
        <w:t xml:space="preserve">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Heading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14:paraId="1ACC4785" w14:textId="77777777" w:rsidR="00320571" w:rsidRPr="00902581" w:rsidRDefault="00320571" w:rsidP="00320571">
      <w:pPr>
        <w:pStyle w:val="Heading3"/>
      </w:pPr>
      <w:bookmarkStart w:id="35" w:name="_Toc55233923"/>
      <w:r w:rsidRPr="00902581">
        <w:t>Background</w:t>
      </w:r>
      <w:bookmarkEnd w:id="35"/>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lastRenderedPageBreak/>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lastRenderedPageBreak/>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36" w:name="_Toc55233924"/>
      <w:r w:rsidRPr="00902581">
        <w:t>Company views</w:t>
      </w:r>
      <w:bookmarkEnd w:id="36"/>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lastRenderedPageBreak/>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lastRenderedPageBreak/>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77777777" w:rsidR="00CF04F1" w:rsidRPr="00902581" w:rsidRDefault="00CF04F1" w:rsidP="00CF04F1">
            <w:pPr>
              <w:rPr>
                <w:bCs/>
              </w:rPr>
            </w:pPr>
          </w:p>
        </w:tc>
        <w:tc>
          <w:tcPr>
            <w:tcW w:w="4068" w:type="pct"/>
          </w:tcPr>
          <w:p w14:paraId="673D6CF0" w14:textId="77777777" w:rsidR="00CF04F1" w:rsidRPr="00902581" w:rsidRDefault="00CF04F1" w:rsidP="00CF04F1"/>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Heading2"/>
      </w:pPr>
      <w:bookmarkStart w:id="37" w:name="_Toc55233925"/>
      <w:r w:rsidRPr="00902581">
        <w:t>Issue#</w:t>
      </w:r>
      <w:r w:rsidR="00AF5378" w:rsidRPr="00902581">
        <w:t>8</w:t>
      </w:r>
      <w:r w:rsidR="00277408" w:rsidRPr="00902581">
        <w:t>: UL frequency synchronization requirements</w:t>
      </w:r>
      <w:bookmarkEnd w:id="37"/>
    </w:p>
    <w:p w14:paraId="7EEB920C" w14:textId="77777777" w:rsidR="00277408" w:rsidRPr="00902581" w:rsidRDefault="00277408" w:rsidP="00277408">
      <w:pPr>
        <w:pStyle w:val="Heading3"/>
      </w:pPr>
      <w:bookmarkStart w:id="38" w:name="_Toc55233926"/>
      <w:r w:rsidRPr="00902581">
        <w:t>Background</w:t>
      </w:r>
      <w:bookmarkEnd w:id="38"/>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lastRenderedPageBreak/>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(i.e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lastRenderedPageBreak/>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B34CEE"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BodyText"/>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BodyText"/>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lastRenderedPageBreak/>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7pt;height:13.3pt;mso-width-percent:0;mso-height-percent:0;mso-width-percent:0;mso-height-percent:0" o:ole="">
                  <v:imagedata r:id="rId36" o:title=""/>
                </v:shape>
                <o:OLEObject Type="Embed" ProgID="Equation.3" ShapeID="_x0000_i1032" DrawAspect="Content" ObjectID="_1665931520"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1.7pt;height:33pt;mso-width-percent:0;mso-height-percent:0;mso-width-percent:0;mso-height-percent:0" o:ole="">
                  <v:imagedata r:id="rId38" o:title=""/>
                </v:shape>
                <o:OLEObject Type="Embed" ProgID="Equation.3" ShapeID="_x0000_i1033" DrawAspect="Content" ObjectID="_1665931521"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10.3pt;height:12pt;mso-width-percent:0;mso-height-percent:0;mso-width-percent:0;mso-height-percent:0" o:ole="">
                  <v:imagedata r:id="rId40" o:title=""/>
                </v:shape>
                <o:OLEObject Type="Embed" ProgID="Equation.3" ShapeID="_x0000_i1034" DrawAspect="Content" ObjectID="_1665931522"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15pt;height:18.45pt;mso-width-percent:0;mso-height-percent:0;mso-width-percent:0;mso-height-percent:0" o:ole="">
                  <v:imagedata r:id="rId42" o:title=""/>
                </v:shape>
                <o:OLEObject Type="Embed" ProgID="Equation.3" ShapeID="_x0000_i1035" DrawAspect="Content" ObjectID="_1665931523"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7pt;height:34.7pt;mso-width-percent:0;mso-height-percent:0;mso-width-percent:0;mso-height-percent:0" o:ole="">
                  <v:imagedata r:id="rId44" o:title=""/>
                </v:shape>
                <o:OLEObject Type="Embed" ProgID="Equation.3" ShapeID="_x0000_i1036" DrawAspect="Content" ObjectID="_1665931524"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7pt;height:15pt;mso-width-percent:0;mso-height-percent:0;mso-width-percent:0;mso-height-percent:0" o:ole="">
                  <v:imagedata r:id="rId46" o:title=""/>
                </v:shape>
                <o:OLEObject Type="Embed" ProgID="Equation.3" ShapeID="_x0000_i1037" DrawAspect="Content" ObjectID="_1665931525" r:id="rId47"/>
              </w:object>
            </w:r>
            <w:r w:rsidRPr="00902581">
              <w:t xml:space="preserve"> is the carrier frequency and </w:t>
            </w:r>
            <w:r w:rsidR="00DA2DF8" w:rsidRPr="00902581">
              <w:rPr>
                <w:noProof/>
              </w:rPr>
              <w:object w:dxaOrig="155" w:dyaOrig="190" w14:anchorId="52E8E2F5">
                <v:shape id="_x0000_i1038" type="#_x0000_t75" alt="" style="width:7.7pt;height:10.3pt;mso-width-percent:0;mso-height-percent:0;mso-width-percent:0;mso-height-percent:0" o:ole="">
                  <v:imagedata r:id="rId48" o:title=""/>
                </v:shape>
                <o:OLEObject Type="Embed" ProgID="Equation.3" ShapeID="_x0000_i1038" DrawAspect="Content" ObjectID="_1665931526"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lastRenderedPageBreak/>
              <w:t>The UL frequency error in ppm after UE autonomous compensation with option 1 can be found as</w:t>
            </w:r>
          </w:p>
          <w:p w14:paraId="6E642F9D" w14:textId="77777777" w:rsidR="00277408" w:rsidRPr="00902581" w:rsidRDefault="00277408" w:rsidP="008853FA">
            <w:r w:rsidRPr="00902581">
              <w:t>F_e=R+2∆D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∆D=v∆L/ch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39" w:name="_Toc55233927"/>
      <w:r w:rsidRPr="00902581">
        <w:t>Companies views</w:t>
      </w:r>
      <w:bookmarkEnd w:id="39"/>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lastRenderedPageBreak/>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777777" w:rsidR="008924B8" w:rsidRDefault="008924B8" w:rsidP="008924B8">
            <w:pPr>
              <w:rPr>
                <w:rFonts w:eastAsiaTheme="minorEastAsia"/>
                <w:lang w:eastAsia="zh-CN"/>
              </w:rPr>
            </w:pPr>
          </w:p>
        </w:tc>
        <w:tc>
          <w:tcPr>
            <w:tcW w:w="4068" w:type="pct"/>
          </w:tcPr>
          <w:p w14:paraId="7CD0F854"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p>
        </w:tc>
      </w:tr>
    </w:tbl>
    <w:p w14:paraId="0C72D6BC" w14:textId="77777777" w:rsidR="00277408" w:rsidRPr="00902581" w:rsidRDefault="00277408" w:rsidP="00277408">
      <w:pPr>
        <w:rPr>
          <w:rFonts w:eastAsiaTheme="minorHAnsi"/>
          <w:b/>
          <w:bCs/>
          <w:sz w:val="22"/>
          <w:szCs w:val="22"/>
          <w:lang w:val="en-US"/>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Same viw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bl>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40" w:name="_Toc55233928"/>
      <w:r w:rsidRPr="00902581">
        <w:rPr>
          <w:rFonts w:ascii="Times New Roman" w:hAnsi="Times New Roman"/>
        </w:rPr>
        <w:t>Other issues</w:t>
      </w:r>
      <w:bookmarkEnd w:id="4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lastRenderedPageBreak/>
              <w:t>InterDigital,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Proposal 4: UE should report the applied TA to the gNB for better control over UE behavior.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1"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1"/>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lastRenderedPageBreak/>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E6807" w14:textId="77777777" w:rsidR="00B34CEE" w:rsidRDefault="00B34CEE">
      <w:r>
        <w:separator/>
      </w:r>
    </w:p>
  </w:endnote>
  <w:endnote w:type="continuationSeparator" w:id="0">
    <w:p w14:paraId="2DC18B98" w14:textId="77777777" w:rsidR="00B34CEE" w:rsidRDefault="00B3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0DCA1" w14:textId="77777777" w:rsidR="00F33083" w:rsidRDefault="00F33083"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1A2B0C">
      <w:rPr>
        <w:rStyle w:val="PageNumber"/>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2B0C">
      <w:rPr>
        <w:rStyle w:val="PageNumber"/>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1E687" w14:textId="77777777" w:rsidR="00B34CEE" w:rsidRDefault="00B34CEE">
      <w:r>
        <w:separator/>
      </w:r>
    </w:p>
  </w:footnote>
  <w:footnote w:type="continuationSeparator" w:id="0">
    <w:p w14:paraId="15C0E6E4" w14:textId="77777777" w:rsidR="00B34CEE" w:rsidRDefault="00B3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85186" w14:textId="77777777" w:rsidR="00F33083" w:rsidRDefault="00F3308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5"/>
  </w:num>
  <w:num w:numId="2">
    <w:abstractNumId w:val="19"/>
  </w:num>
  <w:num w:numId="3">
    <w:abstractNumId w:val="26"/>
  </w:num>
  <w:num w:numId="4">
    <w:abstractNumId w:val="0"/>
  </w:num>
  <w:num w:numId="5">
    <w:abstractNumId w:val="31"/>
  </w:num>
  <w:num w:numId="6">
    <w:abstractNumId w:val="32"/>
  </w:num>
  <w:num w:numId="7">
    <w:abstractNumId w:val="14"/>
  </w:num>
  <w:num w:numId="8">
    <w:abstractNumId w:val="21"/>
  </w:num>
  <w:num w:numId="9">
    <w:abstractNumId w:val="9"/>
  </w:num>
  <w:num w:numId="10">
    <w:abstractNumId w:val="27"/>
  </w:num>
  <w:num w:numId="11">
    <w:abstractNumId w:val="28"/>
  </w:num>
  <w:num w:numId="12">
    <w:abstractNumId w:val="5"/>
  </w:num>
  <w:num w:numId="13">
    <w:abstractNumId w:val="10"/>
  </w:num>
  <w:num w:numId="14">
    <w:abstractNumId w:val="11"/>
  </w:num>
  <w:num w:numId="15">
    <w:abstractNumId w:val="29"/>
  </w:num>
  <w:num w:numId="16">
    <w:abstractNumId w:val="35"/>
  </w:num>
  <w:num w:numId="17">
    <w:abstractNumId w:val="34"/>
  </w:num>
  <w:num w:numId="18">
    <w:abstractNumId w:val="30"/>
  </w:num>
  <w:num w:numId="19">
    <w:abstractNumId w:val="7"/>
  </w:num>
  <w:num w:numId="20">
    <w:abstractNumId w:val="13"/>
  </w:num>
  <w:num w:numId="21">
    <w:abstractNumId w:val="8"/>
  </w:num>
  <w:num w:numId="22">
    <w:abstractNumId w:val="36"/>
  </w:num>
  <w:num w:numId="23">
    <w:abstractNumId w:val="33"/>
  </w:num>
  <w:num w:numId="24">
    <w:abstractNumId w:val="24"/>
  </w:num>
  <w:num w:numId="25">
    <w:abstractNumId w:val="6"/>
  </w:num>
  <w:num w:numId="26">
    <w:abstractNumId w:val="22"/>
  </w:num>
  <w:num w:numId="27">
    <w:abstractNumId w:val="38"/>
  </w:num>
  <w:num w:numId="28">
    <w:abstractNumId w:val="1"/>
  </w:num>
  <w:num w:numId="29">
    <w:abstractNumId w:val="3"/>
  </w:num>
  <w:num w:numId="30">
    <w:abstractNumId w:val="15"/>
  </w:num>
  <w:num w:numId="31">
    <w:abstractNumId w:val="4"/>
  </w:num>
  <w:num w:numId="32">
    <w:abstractNumId w:val="12"/>
  </w:num>
  <w:num w:numId="33">
    <w:abstractNumId w:val="17"/>
  </w:num>
  <w:num w:numId="34">
    <w:abstractNumId w:val="18"/>
  </w:num>
  <w:num w:numId="35">
    <w:abstractNumId w:val="23"/>
  </w:num>
  <w:num w:numId="36">
    <w:abstractNumId w:val="37"/>
  </w:num>
  <w:num w:numId="37">
    <w:abstractNumId w:val="20"/>
  </w:num>
  <w:num w:numId="38">
    <w:abstractNumId w:val="39"/>
  </w:num>
  <w:num w:numId="39">
    <w:abstractNumId w:val="16"/>
  </w:num>
  <w:num w:numId="40">
    <w:abstractNumId w:val="2"/>
  </w:num>
  <w:num w:numId="41">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3BDB"/>
    <w:rsid w:val="00053C5F"/>
    <w:rsid w:val="00053E0C"/>
    <w:rsid w:val="0005406F"/>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84E"/>
    <w:rsid w:val="0033088D"/>
    <w:rsid w:val="00330AB0"/>
    <w:rsid w:val="00331B14"/>
    <w:rsid w:val="00331F8D"/>
    <w:rsid w:val="00331F9B"/>
    <w:rsid w:val="00332569"/>
    <w:rsid w:val="00335B6D"/>
    <w:rsid w:val="00335D29"/>
    <w:rsid w:val="0033625A"/>
    <w:rsid w:val="0033631D"/>
    <w:rsid w:val="003366B3"/>
    <w:rsid w:val="00336AAA"/>
    <w:rsid w:val="003375AF"/>
    <w:rsid w:val="003379C2"/>
    <w:rsid w:val="00337CC2"/>
    <w:rsid w:val="00337E39"/>
    <w:rsid w:val="00340510"/>
    <w:rsid w:val="003411C2"/>
    <w:rsid w:val="00342018"/>
    <w:rsid w:val="0034277D"/>
    <w:rsid w:val="00342903"/>
    <w:rsid w:val="00342AAB"/>
    <w:rsid w:val="00343440"/>
    <w:rsid w:val="0034346D"/>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1623"/>
    <w:rsid w:val="003E18E7"/>
    <w:rsid w:val="003E29A4"/>
    <w:rsid w:val="003E2A39"/>
    <w:rsid w:val="003E2DB0"/>
    <w:rsid w:val="003E3434"/>
    <w:rsid w:val="003E345B"/>
    <w:rsid w:val="003E39EA"/>
    <w:rsid w:val="003E3D71"/>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D74"/>
    <w:rsid w:val="0041406D"/>
    <w:rsid w:val="0041407B"/>
    <w:rsid w:val="0041441E"/>
    <w:rsid w:val="004145EC"/>
    <w:rsid w:val="004151B2"/>
    <w:rsid w:val="004158C9"/>
    <w:rsid w:val="00415DFC"/>
    <w:rsid w:val="00415F70"/>
    <w:rsid w:val="004167EB"/>
    <w:rsid w:val="0041688B"/>
    <w:rsid w:val="004201C9"/>
    <w:rsid w:val="0042026E"/>
    <w:rsid w:val="00420F7B"/>
    <w:rsid w:val="00421E65"/>
    <w:rsid w:val="00421F3E"/>
    <w:rsid w:val="00422877"/>
    <w:rsid w:val="00422A70"/>
    <w:rsid w:val="00422F94"/>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E98"/>
    <w:rsid w:val="004A5FF1"/>
    <w:rsid w:val="004A6A03"/>
    <w:rsid w:val="004A6FC6"/>
    <w:rsid w:val="004A72D2"/>
    <w:rsid w:val="004B0C77"/>
    <w:rsid w:val="004B17B6"/>
    <w:rsid w:val="004B1ECD"/>
    <w:rsid w:val="004B24EB"/>
    <w:rsid w:val="004B253D"/>
    <w:rsid w:val="004B26E9"/>
    <w:rsid w:val="004B31E9"/>
    <w:rsid w:val="004B32EC"/>
    <w:rsid w:val="004B34BE"/>
    <w:rsid w:val="004B3C4D"/>
    <w:rsid w:val="004B4EF0"/>
    <w:rsid w:val="004B530C"/>
    <w:rsid w:val="004B5C7C"/>
    <w:rsid w:val="004B65B3"/>
    <w:rsid w:val="004B6C95"/>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AC5"/>
    <w:rsid w:val="005A023B"/>
    <w:rsid w:val="005A0F16"/>
    <w:rsid w:val="005A1013"/>
    <w:rsid w:val="005A17B1"/>
    <w:rsid w:val="005A17EC"/>
    <w:rsid w:val="005A2AE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5F5"/>
    <w:rsid w:val="005B0D51"/>
    <w:rsid w:val="005B193D"/>
    <w:rsid w:val="005B1DFB"/>
    <w:rsid w:val="005B1F15"/>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E80"/>
    <w:rsid w:val="00624011"/>
    <w:rsid w:val="006246EF"/>
    <w:rsid w:val="006258C4"/>
    <w:rsid w:val="00625BD1"/>
    <w:rsid w:val="00625E4C"/>
    <w:rsid w:val="00626038"/>
    <w:rsid w:val="00626CA1"/>
    <w:rsid w:val="0063019F"/>
    <w:rsid w:val="00630F44"/>
    <w:rsid w:val="0063179F"/>
    <w:rsid w:val="006320EF"/>
    <w:rsid w:val="00634377"/>
    <w:rsid w:val="00634586"/>
    <w:rsid w:val="00634D09"/>
    <w:rsid w:val="00634D72"/>
    <w:rsid w:val="00635737"/>
    <w:rsid w:val="00635D0C"/>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2002"/>
    <w:rsid w:val="00692087"/>
    <w:rsid w:val="00692E72"/>
    <w:rsid w:val="00693FFE"/>
    <w:rsid w:val="00695826"/>
    <w:rsid w:val="006959EE"/>
    <w:rsid w:val="00695AF3"/>
    <w:rsid w:val="00695D61"/>
    <w:rsid w:val="0069659A"/>
    <w:rsid w:val="00696C6C"/>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A9C"/>
    <w:rsid w:val="006C23F1"/>
    <w:rsid w:val="006C30E8"/>
    <w:rsid w:val="006C3E68"/>
    <w:rsid w:val="006C44EC"/>
    <w:rsid w:val="006C4FEB"/>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7B"/>
    <w:rsid w:val="00937794"/>
    <w:rsid w:val="00937B21"/>
    <w:rsid w:val="00937B57"/>
    <w:rsid w:val="00937FD5"/>
    <w:rsid w:val="0094004B"/>
    <w:rsid w:val="0094045C"/>
    <w:rsid w:val="009404DA"/>
    <w:rsid w:val="00940B4B"/>
    <w:rsid w:val="00940BAE"/>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F00"/>
    <w:rsid w:val="00992567"/>
    <w:rsid w:val="00992726"/>
    <w:rsid w:val="0099332C"/>
    <w:rsid w:val="009935B1"/>
    <w:rsid w:val="00993609"/>
    <w:rsid w:val="00994314"/>
    <w:rsid w:val="0099451D"/>
    <w:rsid w:val="00994F19"/>
    <w:rsid w:val="00997821"/>
    <w:rsid w:val="00997F68"/>
    <w:rsid w:val="009A019A"/>
    <w:rsid w:val="009A0205"/>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EEF"/>
    <w:rsid w:val="00AF4418"/>
    <w:rsid w:val="00AF4F1B"/>
    <w:rsid w:val="00AF5046"/>
    <w:rsid w:val="00AF52BB"/>
    <w:rsid w:val="00AF5378"/>
    <w:rsid w:val="00AF574E"/>
    <w:rsid w:val="00AF5B4A"/>
    <w:rsid w:val="00AF5C54"/>
    <w:rsid w:val="00AF5D4D"/>
    <w:rsid w:val="00AF60FD"/>
    <w:rsid w:val="00AF62E8"/>
    <w:rsid w:val="00AF6E62"/>
    <w:rsid w:val="00AF7262"/>
    <w:rsid w:val="00AF72A5"/>
    <w:rsid w:val="00B004A7"/>
    <w:rsid w:val="00B00D73"/>
    <w:rsid w:val="00B00D97"/>
    <w:rsid w:val="00B00D99"/>
    <w:rsid w:val="00B011D5"/>
    <w:rsid w:val="00B018D9"/>
    <w:rsid w:val="00B01D3D"/>
    <w:rsid w:val="00B01D75"/>
    <w:rsid w:val="00B02F96"/>
    <w:rsid w:val="00B0343A"/>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549"/>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968"/>
    <w:rsid w:val="00DC4AAC"/>
    <w:rsid w:val="00DC606E"/>
    <w:rsid w:val="00DC6579"/>
    <w:rsid w:val="00DC6DE3"/>
    <w:rsid w:val="00DC7159"/>
    <w:rsid w:val="00DC74A5"/>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C4C"/>
    <w:rsid w:val="00FE4330"/>
    <w:rsid w:val="00FE44C2"/>
    <w:rsid w:val="00FE44EE"/>
    <w:rsid w:val="00FE6978"/>
    <w:rsid w:val="00FE6AC8"/>
    <w:rsid w:val="00FE6C93"/>
    <w:rsid w:val="00FE7001"/>
    <w:rsid w:val="00FE709C"/>
    <w:rsid w:val="00FE76DD"/>
    <w:rsid w:val="00FE7ADC"/>
    <w:rsid w:val="00FF0ABC"/>
    <w:rsid w:val="00FF0C15"/>
    <w:rsid w:val="00FF1114"/>
    <w:rsid w:val="00FF1822"/>
    <w:rsid w:val="00FF201A"/>
    <w:rsid w:val="00FF2020"/>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64667D78-B6C3-42E8-BE91-4C1962F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락,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락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F42F107C-A38A-453F-9B7B-87A71C865270}">
  <ds:schemaRefs>
    <ds:schemaRef ds:uri="http://schemas.openxmlformats.org/officeDocument/2006/bibliography"/>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51</Pages>
  <Words>20372</Words>
  <Characters>116122</Characters>
  <Application>Microsoft Office Word</Application>
  <DocSecurity>0</DocSecurity>
  <Lines>967</Lines>
  <Paragraphs>272</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136222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MoonIl Lee</cp:lastModifiedBy>
  <cp:revision>13</cp:revision>
  <cp:lastPrinted>2017-11-03T16:53:00Z</cp:lastPrinted>
  <dcterms:created xsi:type="dcterms:W3CDTF">2020-11-03T22:40:00Z</dcterms:created>
  <dcterms:modified xsi:type="dcterms:W3CDTF">2020-11-03T22:54:00Z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