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01EFE042"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D7570D">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6CDDDAE4"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981BDD">
        <w:rPr>
          <w:rFonts w:ascii="Times New Roman" w:hAnsi="Times New Roman"/>
          <w:szCs w:val="20"/>
          <w:lang w:eastAsia="zh-CN"/>
        </w:rPr>
        <w:t>are</w:t>
      </w:r>
      <w:r>
        <w:rPr>
          <w:rFonts w:ascii="Times New Roman" w:hAnsi="Times New Roman"/>
          <w:szCs w:val="20"/>
          <w:lang w:eastAsia="zh-CN"/>
        </w:rPr>
        <w:t xml:space="preserve"> reference when derive the observations.</w:t>
      </w:r>
    </w:p>
    <w:p w14:paraId="43902EAF" w14:textId="04EFB726"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the same performance for </w:t>
      </w:r>
      <w:r w:rsidR="00036D9B">
        <w:t xml:space="preserve">both SCS in </w:t>
      </w:r>
      <w:r>
        <w:t xml:space="preserve">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w:t>
      </w:r>
      <w:proofErr w:type="gramStart"/>
      <w:r w:rsidR="006A4617">
        <w:rPr>
          <w:rFonts w:ascii="Times New Roman" w:hAnsi="Times New Roman"/>
          <w:szCs w:val="20"/>
          <w:lang w:eastAsia="zh-CN"/>
        </w:rPr>
        <w:t>other</w:t>
      </w:r>
      <w:proofErr w:type="gramEnd"/>
      <w:r w:rsidR="006A4617">
        <w:rPr>
          <w:rFonts w:ascii="Times New Roman" w:hAnsi="Times New Roman"/>
          <w:szCs w:val="20"/>
          <w:lang w:eastAsia="zh-CN"/>
        </w:rPr>
        <w:t xml:space="preserve">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w:t>
      </w:r>
      <w:proofErr w:type="spellStart"/>
      <w:r>
        <w:t>InterDigital</w:t>
      </w:r>
      <w:proofErr w:type="spellEnd"/>
      <w:r>
        <w:t xml:space="preserve">])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77777777"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 xml:space="preserve">[56, vivo], [60, ZTE], [21, Apple], [18, Samsung], [7, </w:t>
      </w:r>
      <w:proofErr w:type="spellStart"/>
      <w:r>
        <w:t>InterDigital</w:t>
      </w:r>
      <w:proofErr w:type="spellEnd"/>
      <w:r>
        <w:t>]</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w:t>
      </w:r>
      <w:proofErr w:type="gramStart"/>
      <w:r w:rsidR="009126EF">
        <w:rPr>
          <w:rFonts w:ascii="Times New Roman" w:hAnsi="Times New Roman"/>
          <w:szCs w:val="20"/>
          <w:lang w:eastAsia="zh-CN"/>
        </w:rPr>
        <w:t>other</w:t>
      </w:r>
      <w:proofErr w:type="gramEnd"/>
      <w:r w:rsidR="009126EF">
        <w:rPr>
          <w:rFonts w:ascii="Times New Roman" w:hAnsi="Times New Roman"/>
          <w:szCs w:val="20"/>
          <w:lang w:eastAsia="zh-CN"/>
        </w:rPr>
        <w:t xml:space="preserve">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w:t>
      </w:r>
      <w:proofErr w:type="spellStart"/>
      <w:r w:rsidR="007D432A">
        <w:t>InterDigital</w:t>
      </w:r>
      <w:proofErr w:type="spellEnd"/>
      <w:r w:rsidR="007D432A">
        <w:t xml:space="preserve">])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xml:space="preserve">. In all comparison, the difference is greater than 1 </w:t>
      </w:r>
      <w:proofErr w:type="spellStart"/>
      <w:r w:rsidR="004249A7">
        <w:t>dB.</w:t>
      </w:r>
      <w:proofErr w:type="spellEnd"/>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6BA1B7F8"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bl>
    <w:p w14:paraId="385A4730" w14:textId="3BF24AA1"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lastRenderedPageBreak/>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0D3A5AA0" w14:textId="7777777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2B35F9B" w14:textId="2698FAC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sidR="00300CCC">
        <w:rPr>
          <w:rFonts w:ascii="Times New Roman" w:hAnsi="Times New Roman"/>
          <w:szCs w:val="20"/>
          <w:lang w:eastAsia="zh-CN"/>
        </w:rPr>
        <w:t>kHz for 10% BLER target</w:t>
      </w:r>
    </w:p>
    <w:p w14:paraId="0667689F" w14:textId="0841A68C"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Pr>
          <w:rFonts w:ascii="Times New Roman" w:hAnsi="Times New Roman"/>
          <w:szCs w:val="20"/>
          <w:lang w:eastAsia="zh-CN"/>
        </w:rPr>
        <w:t xml:space="preserve">1-tap </w:t>
      </w:r>
      <w:r w:rsidRPr="0044379B">
        <w:rPr>
          <w:rFonts w:ascii="Times New Roman" w:hAnsi="Times New Roman"/>
          <w:szCs w:val="20"/>
          <w:lang w:eastAsia="zh-CN"/>
        </w:rPr>
        <w:t>ICI filter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77777777"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407C516D" w14:textId="599EF870"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lang w:eastAsia="zh-CN"/>
        </w:rPr>
        <w:t>H</w:t>
      </w:r>
      <w:r w:rsidRPr="00CD7F4B">
        <w:rPr>
          <w:lang w:eastAsia="zh-CN"/>
        </w:rPr>
        <w:t>owever, the effective throughput is compromised due to larger overhead of extended CP</w:t>
      </w:r>
      <w:r>
        <w:rPr>
          <w:lang w:eastAsia="zh-CN"/>
        </w:rPr>
        <w:t>.</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3C47610" w14:textId="5616C136" w:rsidR="00D462B3" w:rsidRPr="004B03E5" w:rsidRDefault="00D462B3" w:rsidP="00CD63F4">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lastRenderedPageBreak/>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lastRenderedPageBreak/>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lastRenderedPageBreak/>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w:t>
      </w:r>
      <w:proofErr w:type="gramStart"/>
      <w:r w:rsidR="00F539C1">
        <w:rPr>
          <w:rFonts w:ascii="Times New Roman" w:hAnsi="Times New Roman"/>
          <w:szCs w:val="20"/>
          <w:lang w:eastAsia="zh-CN"/>
        </w:rPr>
        <w:t>sufficient number of</w:t>
      </w:r>
      <w:proofErr w:type="gramEnd"/>
      <w:r w:rsidR="00F539C1">
        <w:rPr>
          <w:rFonts w:ascii="Times New Roman" w:hAnsi="Times New Roman"/>
          <w:szCs w:val="20"/>
          <w:lang w:eastAsia="zh-CN"/>
        </w:rPr>
        <w:t xml:space="preserve"> PTRS in the frequency domain </w:t>
      </w:r>
      <w:r>
        <w:rPr>
          <w:rFonts w:ascii="Times New Roman" w:hAnsi="Times New Roman"/>
          <w:szCs w:val="20"/>
          <w:lang w:eastAsia="zh-CN"/>
        </w:rPr>
        <w:t>for 120, 240 and 480 kHz SCS.</w:t>
      </w:r>
    </w:p>
    <w:p w14:paraId="66CA2B46" w14:textId="50EE653A"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8C3F8C">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3A484143" w:rsidR="000C6613" w:rsidRDefault="000C6613" w:rsidP="000C6613">
      <w:pPr>
        <w:pStyle w:val="ListParagraph"/>
        <w:numPr>
          <w:ilvl w:val="1"/>
          <w:numId w:val="21"/>
        </w:numPr>
        <w:rPr>
          <w:rFonts w:ascii="Times New Roman" w:eastAsia="SimSun" w:hAnsi="Times New Roman"/>
          <w:sz w:val="20"/>
          <w:szCs w:val="20"/>
        </w:rPr>
      </w:pPr>
      <w:r w:rsidRPr="000C6613">
        <w:rPr>
          <w:rFonts w:ascii="Times New Roman" w:eastAsia="SimSun" w:hAnsi="Times New Roman"/>
          <w:sz w:val="20"/>
          <w:szCs w:val="20"/>
        </w:rPr>
        <w:t>One source ([10, Nokia]) d</w:t>
      </w:r>
      <w:r>
        <w:rPr>
          <w:rFonts w:ascii="Times New Roman" w:eastAsia="SimSun" w:hAnsi="Times New Roman"/>
          <w:sz w:val="20"/>
          <w:szCs w:val="20"/>
        </w:rPr>
        <w:t>id</w:t>
      </w:r>
      <w:r w:rsidRPr="000C6613">
        <w:rPr>
          <w:rFonts w:ascii="Times New Roman" w:eastAsia="SimSun" w:hAnsi="Times New Roman"/>
          <w:sz w:val="20"/>
          <w:szCs w:val="20"/>
        </w:rPr>
        <w:t xml:space="preserve"> not report numerical SINR results in table but provided figures showing performance </w:t>
      </w:r>
      <w:r>
        <w:rPr>
          <w:rFonts w:ascii="Times New Roman" w:eastAsia="SimSun" w:hAnsi="Times New Roman"/>
          <w:sz w:val="20"/>
          <w:szCs w:val="20"/>
        </w:rPr>
        <w:t>gain of ICI compensation of all SCS</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lastRenderedPageBreak/>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1-tap ICI filter 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Pr>
          <w:rFonts w:ascii="Times New Roman" w:hAnsi="Times New Roman"/>
          <w:szCs w:val="20"/>
          <w:lang w:eastAsia="zh-CN"/>
        </w:rPr>
        <w:t>KHz</w:t>
      </w:r>
      <w:proofErr w:type="spellEnd"/>
      <w:r w:rsidR="000C6613">
        <w:rPr>
          <w:rFonts w:ascii="Times New Roman" w:hAnsi="Times New Roman"/>
          <w:szCs w:val="20"/>
          <w:lang w:eastAsia="zh-CN"/>
        </w:rPr>
        <w:t xml:space="preserve"> SCS. It is observed that the de-ICI method do not work when there isn’t </w:t>
      </w:r>
      <w:proofErr w:type="gramStart"/>
      <w:r w:rsidR="000C6613">
        <w:rPr>
          <w:rFonts w:ascii="Times New Roman" w:hAnsi="Times New Roman"/>
          <w:szCs w:val="20"/>
          <w:lang w:eastAsia="zh-CN"/>
        </w:rPr>
        <w:t>sufficient number of</w:t>
      </w:r>
      <w:proofErr w:type="gramEnd"/>
      <w:r w:rsidR="000C6613">
        <w:rPr>
          <w:rFonts w:ascii="Times New Roman" w:hAnsi="Times New Roman"/>
          <w:szCs w:val="20"/>
          <w:lang w:eastAsia="zh-CN"/>
        </w:rPr>
        <w:t xml:space="preserve"> PTRS tones in the frequency domain.</w:t>
      </w:r>
    </w:p>
    <w:p w14:paraId="05FC8BBE" w14:textId="0F983A91"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and 480 kHz SCS to achieve comparable performance to </w:t>
      </w:r>
      <w:r w:rsidR="00C57A4D">
        <w:t>that</w:t>
      </w:r>
      <w:r w:rsidR="00592632">
        <w:t xml:space="preserve"> of 960 kHz SCS with CPE-only compensation</w:t>
      </w:r>
      <w:r w:rsidR="00C16F31">
        <w:t xml:space="preserve"> </w:t>
      </w:r>
      <w:r w:rsidR="00592632">
        <w:t xml:space="preserve"> </w:t>
      </w:r>
    </w:p>
    <w:p w14:paraId="17730E0E" w14:textId="6EF2360A"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0C6613">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7D923F70" w14:textId="6F359BF5"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07CB6FF" w14:textId="71AE5D2F"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sidR="00C836E9">
        <w:rPr>
          <w:rFonts w:ascii="Times New Roman" w:hAnsi="Times New Roman"/>
          <w:szCs w:val="20"/>
          <w:lang w:eastAsia="zh-CN"/>
        </w:rPr>
        <w:t>[64, OPPO]</w:t>
      </w:r>
      <w:r>
        <w:rPr>
          <w:rFonts w:ascii="Times New Roman" w:hAnsi="Times New Roman"/>
          <w:szCs w:val="20"/>
          <w:lang w:eastAsia="zh-CN"/>
        </w:rPr>
        <w:t xml:space="preserve">) reported </w:t>
      </w:r>
      <w:r w:rsidR="00BC1B63">
        <w:rPr>
          <w:rFonts w:ascii="Times New Roman" w:hAnsi="Times New Roman"/>
          <w:szCs w:val="20"/>
          <w:lang w:eastAsia="zh-CN"/>
        </w:rPr>
        <w:t xml:space="preserve">a </w:t>
      </w:r>
      <w:r>
        <w:rPr>
          <w:rFonts w:ascii="Times New Roman" w:hAnsi="Times New Roman"/>
          <w:szCs w:val="20"/>
          <w:lang w:eastAsia="zh-CN"/>
        </w:rPr>
        <w:t xml:space="preserve">performance </w:t>
      </w:r>
      <w:r w:rsidR="00BC1B63">
        <w:rPr>
          <w:rFonts w:ascii="Times New Roman" w:hAnsi="Times New Roman"/>
          <w:szCs w:val="20"/>
          <w:lang w:eastAsia="zh-CN"/>
        </w:rPr>
        <w:t xml:space="preserve">gap of 0.8~1 dB between </w:t>
      </w:r>
      <w:r>
        <w:rPr>
          <w:rFonts w:ascii="Times New Roman" w:hAnsi="Times New Roman"/>
          <w:szCs w:val="20"/>
          <w:lang w:eastAsia="zh-CN"/>
        </w:rPr>
        <w:t>480 kHz SCS with ICI compensation and 960 kHz SCS with CPE compensation</w:t>
      </w:r>
      <w:r w:rsidR="00BC1B63">
        <w:rPr>
          <w:rFonts w:ascii="Times New Roman" w:hAnsi="Times New Roman"/>
          <w:szCs w:val="20"/>
          <w:lang w:eastAsia="zh-CN"/>
        </w:rPr>
        <w:t xml:space="preserve"> where the latter performs better</w:t>
      </w:r>
    </w:p>
    <w:p w14:paraId="0F267861" w14:textId="55D0BEF6"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w:t>
      </w:r>
      <w:proofErr w:type="spellStart"/>
      <w:r w:rsidR="00C836E9">
        <w:rPr>
          <w:rFonts w:ascii="Times New Roman" w:hAnsi="Times New Roman"/>
          <w:szCs w:val="20"/>
          <w:lang w:eastAsia="zh-CN"/>
        </w:rPr>
        <w:t>Futurewei</w:t>
      </w:r>
      <w:proofErr w:type="spellEnd"/>
      <w:r w:rsidR="00C836E9">
        <w:rPr>
          <w:rFonts w:ascii="Times New Roman" w:hAnsi="Times New Roman"/>
          <w:szCs w:val="20"/>
          <w:lang w:eastAsia="zh-CN"/>
        </w:rPr>
        <w:t xml:space="preserve">]) reported comparable performance </w:t>
      </w:r>
      <w:r>
        <w:rPr>
          <w:rFonts w:ascii="Times New Roman" w:hAnsi="Times New Roman"/>
          <w:szCs w:val="20"/>
          <w:lang w:eastAsia="zh-CN"/>
        </w:rPr>
        <w:t xml:space="preserve">of 480 kHz SCS with ICI compensation and 960 kHz SCS with </w:t>
      </w:r>
      <w:r w:rsidR="00C57A4D">
        <w:rPr>
          <w:rFonts w:ascii="Times New Roman" w:hAnsi="Times New Roman"/>
          <w:szCs w:val="20"/>
          <w:lang w:eastAsia="zh-CN"/>
        </w:rPr>
        <w:t>1-tap filter</w:t>
      </w:r>
    </w:p>
    <w:p w14:paraId="7781F356" w14:textId="4613A160"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p>
    <w:p w14:paraId="5805C55A" w14:textId="1C4155AC"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77777777" w:rsidR="000A283A"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evaluated large delay spread (CDL-B with 50ns) with ICI compensation. </w:t>
      </w:r>
    </w:p>
    <w:p w14:paraId="0A8BB303"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2C5F258D"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sidRPr="00A4723B">
        <w:rPr>
          <w:bCs/>
        </w:rPr>
        <w:t>similar performances</w:t>
      </w:r>
      <w:r>
        <w:rPr>
          <w:bCs/>
        </w:rPr>
        <w:t xml:space="preserve"> for 120, 240 and 480 kHz SCS, and they are better than that of 960 kHz.</w:t>
      </w:r>
    </w:p>
    <w:p w14:paraId="5930532F"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 similar performance for 120, 240 and 480 kHz. It also reported </w:t>
      </w:r>
      <w:r w:rsidRPr="00CB2B46">
        <w:rPr>
          <w:rFonts w:ascii="Times New Roman" w:hAnsi="Times New Roman"/>
          <w:szCs w:val="20"/>
          <w:lang w:eastAsia="zh-CN"/>
        </w:rPr>
        <w:t>the BLER for 960 kHz SCS is not acceptable</w:t>
      </w:r>
      <w:r>
        <w:rPr>
          <w:rFonts w:ascii="Times New Roman" w:hAnsi="Times New Roman"/>
          <w:szCs w:val="20"/>
          <w:lang w:eastAsia="zh-CN"/>
        </w:rPr>
        <w:t>.</w:t>
      </w:r>
    </w:p>
    <w:p w14:paraId="2DF41E6C"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sidRPr="00A4723B">
        <w:rPr>
          <w:bCs/>
        </w:rPr>
        <w:t>similar performances</w:t>
      </w:r>
      <w:r>
        <w:rPr>
          <w:bCs/>
        </w:rPr>
        <w:t xml:space="preserve"> of 240 and 480 kHz SCS, and they are better than that of 960 kHz. It also reported the performance of 120 kHz cannot meet the 10% BLER target.</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4C1FDFB4"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 xml:space="preserve">Two sources ([14, Ericsson] with Direct de-ICI compensation and ICI filter approximation, [23, MediaTek] with a 3-tap BLS ICI equalizer) reported </w:t>
      </w:r>
      <w:r>
        <w:rPr>
          <w:rFonts w:ascii="Times New Roman" w:eastAsia="SimSun" w:hAnsi="Times New Roman"/>
          <w:sz w:val="20"/>
          <w:szCs w:val="20"/>
          <w:lang w:eastAsia="zh-CN"/>
        </w:rPr>
        <w:t>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For MCS 22, it is observed that ICI compensation with additional complexity of multi-tap filtering is required for 120, 2</w:t>
            </w:r>
            <w:bookmarkStart w:id="39" w:name="_GoBack"/>
            <w:bookmarkEnd w:id="39"/>
            <w:r w:rsidRPr="00633A02">
              <w:rPr>
                <w:lang w:eastAsia="zh-CN"/>
              </w:rPr>
              <w:t xml:space="preserve">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hint="eastAsia"/>
                <w:szCs w:val="20"/>
                <w:lang w:eastAsia="ko-KR"/>
              </w:rPr>
            </w:pPr>
          </w:p>
        </w:tc>
      </w:tr>
    </w:tbl>
    <w:p w14:paraId="1D927B39" w14:textId="58376BE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lastRenderedPageBreak/>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lastRenderedPageBreak/>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77777777"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is reference when derive the observations. </w:t>
      </w:r>
    </w:p>
    <w:p w14:paraId="2133D204" w14:textId="51B824D8"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046C8CDC"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PRACH link budget of the same PRACH format and the same sequence length, maximum isotropic loss (MIL) and maximum coupling loss (MCL) degrade as the </w:t>
            </w:r>
            <w:r>
              <w:rPr>
                <w:rFonts w:ascii="Times New Roman" w:hAnsi="Times New Roman"/>
                <w:szCs w:val="20"/>
                <w:lang w:eastAsia="zh-CN"/>
              </w:rPr>
              <w:lastRenderedPageBreak/>
              <w:t>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w:t>
            </w:r>
            <w:r>
              <w:rPr>
                <w:rFonts w:ascii="Times New Roman" w:hAnsi="Times New Roman" w:hint="eastAsia"/>
                <w:szCs w:val="20"/>
                <w:lang w:eastAsia="zh-CN"/>
              </w:rPr>
              <w:lastRenderedPageBreak/>
              <w:t xml:space="preserve">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2AACA736"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lastRenderedPageBreak/>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lastRenderedPageBreak/>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546C3E">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546C3E">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546C3E">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546C3E">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546C3E">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546C3E">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546C3E">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546C3E">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546C3E">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546C3E">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546C3E">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546C3E">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546C3E">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546C3E">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546C3E">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546C3E">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546C3E">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546C3E">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546C3E">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546C3E">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546C3E">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546C3E">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546C3E">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546C3E">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546C3E">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546C3E">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546C3E">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546C3E">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546C3E">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546C3E">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546C3E">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546C3E">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546C3E">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546C3E">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546C3E">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546C3E">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546C3E">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546C3E">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546C3E">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546C3E">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546C3E">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546C3E">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546C3E">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546C3E">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546C3E">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546C3E">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546C3E">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546C3E">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546C3E">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546C3E">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546C3E">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546C3E">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546C3E">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546C3E">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546C3E">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546C3E">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546C3E">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lastRenderedPageBreak/>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546C3E">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546C3E">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546C3E">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546C3E">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546C3E">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546C3E">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546C3E">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546C3E">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546C3E">
      <w:pPr>
        <w:pStyle w:val="ListParagraph"/>
        <w:numPr>
          <w:ilvl w:val="0"/>
          <w:numId w:val="29"/>
        </w:numPr>
        <w:ind w:hanging="720"/>
        <w:rPr>
          <w:lang w:eastAsia="zh-CN"/>
        </w:rPr>
      </w:pPr>
      <w:hyperlink r:id="rId92"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 xml:space="preserve">Huawei, </w:t>
      </w:r>
      <w:proofErr w:type="spellStart"/>
      <w:r w:rsidR="007D432A">
        <w:rPr>
          <w:lang w:eastAsia="zh-CN"/>
        </w:rPr>
        <w:t>HiSilicon</w:t>
      </w:r>
      <w:proofErr w:type="spellEnd"/>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D7570D" w:rsidRDefault="00D7570D">
      <w:pPr>
        <w:pStyle w:val="CommentText"/>
      </w:pPr>
      <w:r>
        <w:t>Seems a typo, should be 2000MHz based on Fig.2 in [2].</w:t>
      </w:r>
    </w:p>
  </w:comment>
  <w:comment w:id="21" w:author="Stephen Grant" w:date="2020-10-28T23:10:00Z" w:initials="SG">
    <w:p w14:paraId="11067D4A" w14:textId="77777777" w:rsidR="00B9289D" w:rsidRDefault="00B9289D">
      <w:pPr>
        <w:pStyle w:val="CommentText"/>
      </w:pPr>
      <w:r>
        <w:rPr>
          <w:rStyle w:val="CommentReference"/>
        </w:rPr>
        <w:annotationRef/>
      </w:r>
      <w:r>
        <w:t>Square brackets, b/c not all sources may have shown this comparison.</w:t>
      </w:r>
    </w:p>
    <w:p w14:paraId="41012C21" w14:textId="77777777" w:rsidR="00B9289D" w:rsidRDefault="00B9289D">
      <w:pPr>
        <w:pStyle w:val="CommentText"/>
      </w:pPr>
    </w:p>
    <w:p w14:paraId="6506BE92" w14:textId="77777777" w:rsidR="00B9289D" w:rsidRDefault="00B9289D">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13D8F" w14:textId="77777777" w:rsidR="00546C3E" w:rsidRDefault="00546C3E">
      <w:pPr>
        <w:spacing w:after="0" w:line="240" w:lineRule="auto"/>
      </w:pPr>
      <w:r>
        <w:separator/>
      </w:r>
    </w:p>
  </w:endnote>
  <w:endnote w:type="continuationSeparator" w:id="0">
    <w:p w14:paraId="7BCA86BC" w14:textId="77777777" w:rsidR="00546C3E" w:rsidRDefault="0054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D7570D" w:rsidRDefault="00D7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D7570D" w:rsidRDefault="00D75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D7570D" w:rsidRDefault="00D7570D">
    <w:pPr>
      <w:pStyle w:val="Footer"/>
      <w:ind w:right="360"/>
    </w:pPr>
    <w:r>
      <w:rPr>
        <w:rStyle w:val="PageNumber"/>
      </w:rPr>
      <w:fldChar w:fldCharType="begin"/>
    </w:r>
    <w:r>
      <w:rPr>
        <w:rStyle w:val="PageNumber"/>
      </w:rPr>
      <w:instrText xml:space="preserve"> PAGE </w:instrText>
    </w:r>
    <w:r>
      <w:rPr>
        <w:rStyle w:val="PageNumber"/>
      </w:rPr>
      <w:fldChar w:fldCharType="separate"/>
    </w:r>
    <w:r w:rsidR="00D93BF6">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3BF6">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CFB6" w14:textId="77777777" w:rsidR="00546C3E" w:rsidRDefault="00546C3E">
      <w:pPr>
        <w:spacing w:after="0" w:line="240" w:lineRule="auto"/>
      </w:pPr>
      <w:r>
        <w:separator/>
      </w:r>
    </w:p>
  </w:footnote>
  <w:footnote w:type="continuationSeparator" w:id="0">
    <w:p w14:paraId="6BFD2A36" w14:textId="77777777" w:rsidR="00546C3E" w:rsidRDefault="0054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D7570D" w:rsidRDefault="00D7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9B"/>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899464BC-0E64-4197-B630-64E036A9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34" Type="http://schemas.openxmlformats.org/officeDocument/2006/relationships/hyperlink" Target="https://www.3gpp.org/ftp/tsg_ran/WG1_RL1/TSGR1_103-e/Docs/R1-2008805.zip" TargetMode="External"/><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76" Type="http://schemas.openxmlformats.org/officeDocument/2006/relationships/hyperlink" Target="https://www.3gpp.org/ftp/tsg_ran/WG1_RL1/TSGR1_103-e/Docs/R1-2008630.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97"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47.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04.zip" TargetMode="Externa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66" Type="http://schemas.openxmlformats.org/officeDocument/2006/relationships/hyperlink" Target="https://www.3gpp.org/ftp/tsg_ran/WG1_RL1/TSGR1_103-e/Docs/R1-2008046.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87" Type="http://schemas.openxmlformats.org/officeDocument/2006/relationships/hyperlink" Target="https://www.3gpp.org/ftp/tsg_ran/WG1_RL1/TSGR1_103-e/Docs/R1-2008158.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2.xml"/><Relationship Id="rId19" Type="http://schemas.openxmlformats.org/officeDocument/2006/relationships/image" Target="media/image4.tiff"/><Relationship Id="rId14" Type="http://schemas.microsoft.com/office/2011/relationships/commentsExtended" Target="commentsExtended.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56" Type="http://schemas.openxmlformats.org/officeDocument/2006/relationships/hyperlink" Target="https://www.3gpp.org/ftp/tsg_ran/WG1_RL1/TSGR1_103-e/Docs/R1-2007643.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77" Type="http://schemas.openxmlformats.org/officeDocument/2006/relationships/hyperlink" Target="https://www.3gpp.org/ftp/tsg_ran/WG1_RL1/TSGR1_103-e/Docs/R1-200861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93" Type="http://schemas.openxmlformats.org/officeDocument/2006/relationships/header" Target="header1.xml"/><Relationship Id="rId98"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7579A0-4496-46DF-981A-6EFF5ACC2C3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B06597-8CB3-44B4-9D6D-D7DE7A70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505</TotalTime>
  <Pages>49</Pages>
  <Words>19206</Words>
  <Characters>109476</Characters>
  <Application>Microsoft Office Word</Application>
  <DocSecurity>0</DocSecurity>
  <Lines>912</Lines>
  <Paragraphs>256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for [103-e-NR-52-71-Evaluations]</vt:lpstr>
      <vt:lpstr>Discussion summary #2 for [103-e-NR-52-71-Evaluations]</vt:lpstr>
    </vt:vector>
  </TitlesOfParts>
  <Company>Intel</Company>
  <LinksUpToDate>false</LinksUpToDate>
  <CharactersWithSpaces>128426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Stephen Grant</cp:lastModifiedBy>
  <cp:revision>11</cp:revision>
  <cp:lastPrinted>2011-11-09T07:49:00Z</cp:lastPrinted>
  <dcterms:created xsi:type="dcterms:W3CDTF">2020-10-28T14:01:00Z</dcterms:created>
  <dcterms:modified xsi:type="dcterms:W3CDTF">2020-10-29T08:53:00Z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y fmtid="{D5CDD505-2E9C-101B-9397-08002B2CF9AE}" pid="13" name="KSOProductBuildVer">
    <vt:lpwstr>2052-10.8.2.6990</vt:lpwstr>
  </property>
</Properties>
</file>