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From the eIAB WID:</w:t>
      </w:r>
    </w:p>
    <w:p w14:paraId="7536B05C" w14:textId="77777777" w:rsidR="007A7DBC" w:rsidRPr="00AF0C91" w:rsidRDefault="003501B9">
      <w:pPr>
        <w:pStyle w:val="aff"/>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aff"/>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aff"/>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aff"/>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aff"/>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aff"/>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aff"/>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aff"/>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aff"/>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aff"/>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aff"/>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aff"/>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aff"/>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a3"/>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is adopted. </w:t>
            </w:r>
          </w:p>
          <w:p w14:paraId="7536B08A" w14:textId="77777777" w:rsidR="007A7DBC" w:rsidRPr="00AF0C91" w:rsidRDefault="003501B9">
            <w:pPr>
              <w:pStyle w:val="a3"/>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aff"/>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a3"/>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a3"/>
              <w:jc w:val="both"/>
              <w:rPr>
                <w:rFonts w:eastAsiaTheme="minorEastAsia"/>
                <w:lang w:val="en-US"/>
              </w:rPr>
            </w:pPr>
            <w:r w:rsidRPr="00AF0C91">
              <w:rPr>
                <w:lang w:val="en-US"/>
              </w:rPr>
              <w:t>Proposal 3</w:t>
            </w:r>
            <w:r w:rsidRPr="00AF0C91">
              <w:rPr>
                <w:rFonts w:eastAsiaTheme="minorEastAsia"/>
                <w:lang w:val="en-US"/>
              </w:rPr>
              <w:t xml:space="preserve">: Support FDMed multiplexing between MT and DU. The related signaling is FFS. </w:t>
            </w:r>
          </w:p>
          <w:p w14:paraId="7536B08E" w14:textId="77777777" w:rsidR="007A7DBC" w:rsidRPr="00AF0C91" w:rsidRDefault="003501B9">
            <w:pPr>
              <w:pStyle w:val="a3"/>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7536B08F" w14:textId="77777777" w:rsidR="007A7DBC" w:rsidRPr="00AF0C91" w:rsidRDefault="003501B9">
            <w:pPr>
              <w:pStyle w:val="a3"/>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a3"/>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a7"/>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ZTE, Sanechips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바탕"/>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afe"/>
              <w:rPr>
                <w:rFonts w:eastAsia="바탕"/>
                <w:b/>
              </w:rPr>
            </w:pPr>
            <w:r w:rsidRPr="00AF0C91">
              <w:rPr>
                <w:rFonts w:eastAsia="바탕"/>
                <w:b/>
              </w:rPr>
              <w:t xml:space="preserve">Proposal 2.8: For sharing of antenna panels between </w:t>
            </w:r>
            <w:r w:rsidRPr="00AF0C91">
              <w:rPr>
                <w:rFonts w:eastAsia="바탕"/>
                <w:b/>
                <w:bCs/>
              </w:rPr>
              <w:t>MT</w:t>
            </w:r>
            <w:r w:rsidRPr="00AF0C91">
              <w:rPr>
                <w:rFonts w:eastAsia="바탕"/>
                <w:b/>
              </w:rPr>
              <w:t xml:space="preserve"> and DU</w:t>
            </w:r>
            <w:r w:rsidRPr="00AF0C91">
              <w:rPr>
                <w:rFonts w:eastAsia="바탕"/>
                <w:b/>
                <w:bCs/>
              </w:rPr>
              <w:t>, consider child node indicating for the parent node the changes of beams or panels used for reception</w:t>
            </w:r>
            <w:r w:rsidRPr="00AF0C91">
              <w:rPr>
                <w:rFonts w:eastAsia="바탕"/>
                <w:b/>
              </w:rPr>
              <w:t>.</w:t>
            </w:r>
          </w:p>
          <w:p w14:paraId="7536B0A9" w14:textId="77777777" w:rsidR="007A7DBC" w:rsidRPr="00AF0C91" w:rsidRDefault="007A7DBC">
            <w:pPr>
              <w:pStyle w:val="afe"/>
              <w:rPr>
                <w:rFonts w:eastAsia="바탕"/>
                <w:b/>
              </w:rPr>
            </w:pPr>
          </w:p>
          <w:p w14:paraId="7536B0AA" w14:textId="77777777" w:rsidR="007A7DBC" w:rsidRPr="00AF0C91" w:rsidRDefault="003501B9">
            <w:pPr>
              <w:pStyle w:val="afe"/>
            </w:pPr>
            <w:r w:rsidRPr="00AF0C91">
              <w:rPr>
                <w:rFonts w:eastAsia="바탕"/>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af1"/>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af1"/>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Extend hard/soft resource configuration and availability indication to the frequeny domain.</w:t>
            </w:r>
          </w:p>
          <w:p w14:paraId="7536B0B3" w14:textId="77777777" w:rsidR="007A7DBC" w:rsidRPr="00AF0C91" w:rsidRDefault="003501B9">
            <w:pPr>
              <w:pStyle w:val="af1"/>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af1"/>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af1"/>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10"/>
              <w:jc w:val="both"/>
              <w:rPr>
                <w:rStyle w:val="af6"/>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fully-overlapping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r w:rsidRPr="00AF0C91">
              <w:rPr>
                <w:b/>
                <w:bCs/>
                <w:sz w:val="20"/>
                <w:szCs w:val="20"/>
              </w:rPr>
              <w:t>CEWiT,</w:t>
            </w:r>
            <w:r w:rsidRPr="00AF0C91">
              <w:rPr>
                <w:b/>
                <w:bCs/>
              </w:rPr>
              <w:t xml:space="preserve"> </w:t>
            </w:r>
            <w:r w:rsidRPr="00AF0C91">
              <w:rPr>
                <w:b/>
                <w:bCs/>
                <w:sz w:val="20"/>
                <w:szCs w:val="20"/>
              </w:rPr>
              <w:t>IITM, Tejas Networks, Reliance Jio, Saankhya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af1"/>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af1"/>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af1"/>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af1"/>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Pr="00AF0C91" w:rsidRDefault="007A7DBC">
      <w:pPr>
        <w:rPr>
          <w:rFonts w:ascii="Calibri" w:eastAsia="Calibri" w:hAnsi="Calibri"/>
          <w:b/>
          <w:bCs/>
          <w:sz w:val="22"/>
          <w:szCs w:val="22"/>
          <w:highlight w:val="yellow"/>
        </w:rPr>
      </w:pPr>
    </w:p>
    <w:p w14:paraId="7536B10D"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2.1.1</w:t>
      </w:r>
      <w:r w:rsidRPr="00AF0C91">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Pr="00AF0C91" w:rsidRDefault="003501B9">
      <w:pPr>
        <w:pStyle w:val="aff"/>
        <w:numPr>
          <w:ilvl w:val="0"/>
          <w:numId w:val="10"/>
        </w:numPr>
        <w:rPr>
          <w:rFonts w:ascii="Calibri" w:eastAsia="Calibri" w:hAnsi="Calibri"/>
          <w:b/>
          <w:bCs/>
          <w:sz w:val="22"/>
          <w:szCs w:val="22"/>
        </w:rPr>
      </w:pPr>
      <w:r w:rsidRPr="00AF0C91">
        <w:rPr>
          <w:rFonts w:ascii="Calibri" w:eastAsia="Calibri" w:hAnsi="Calibri"/>
          <w:b/>
          <w:bCs/>
          <w:sz w:val="22"/>
          <w:szCs w:val="22"/>
        </w:rPr>
        <w:t xml:space="preserve">FFS: Introduction of a new “Shared” resource type </w:t>
      </w:r>
    </w:p>
    <w:p w14:paraId="7536B10F" w14:textId="77777777" w:rsidR="007A7DBC" w:rsidRPr="00AF0C91" w:rsidRDefault="003501B9">
      <w:pPr>
        <w:pStyle w:val="aff"/>
        <w:numPr>
          <w:ilvl w:val="0"/>
          <w:numId w:val="10"/>
        </w:numPr>
        <w:rPr>
          <w:rFonts w:ascii="Calibri" w:eastAsia="Calibri" w:hAnsi="Calibri"/>
          <w:b/>
          <w:bCs/>
          <w:sz w:val="22"/>
          <w:szCs w:val="22"/>
        </w:rPr>
      </w:pPr>
      <w:r w:rsidRPr="00AF0C91">
        <w:rPr>
          <w:rFonts w:ascii="Calibri" w:eastAsia="Calibri" w:hAnsi="Calibri"/>
          <w:b/>
          <w:bCs/>
          <w:sz w:val="22"/>
          <w:szCs w:val="22"/>
        </w:rPr>
        <w:t>FFS: Extension of resource type definition to frequency domain resources</w:t>
      </w:r>
    </w:p>
    <w:p w14:paraId="7536B110" w14:textId="77777777" w:rsidR="007A7DBC" w:rsidRPr="00AF0C91" w:rsidRDefault="003501B9">
      <w:pPr>
        <w:pStyle w:val="aff"/>
        <w:numPr>
          <w:ilvl w:val="0"/>
          <w:numId w:val="10"/>
        </w:numPr>
        <w:rPr>
          <w:rFonts w:ascii="Calibri" w:eastAsia="Calibri" w:hAnsi="Calibri"/>
          <w:b/>
          <w:bCs/>
          <w:sz w:val="22"/>
          <w:szCs w:val="22"/>
        </w:rPr>
      </w:pPr>
      <w:r w:rsidRPr="00AF0C91">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Pr="00AF0C91" w:rsidRDefault="007A7DBC">
      <w:pPr>
        <w:pStyle w:val="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2.1.1?</w:t>
      </w:r>
    </w:p>
    <w:tbl>
      <w:tblPr>
        <w:tblStyle w:val="af4"/>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aff"/>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aff"/>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aff"/>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22" w14:textId="77777777" w:rsidR="007A7DBC" w:rsidRPr="00AF0C91" w:rsidRDefault="003501B9">
            <w:pPr>
              <w:pStyle w:val="aff"/>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aff"/>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aff"/>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aff"/>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aff"/>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aff"/>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aff"/>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aff"/>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aff"/>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71E1BC4A" w14:textId="77777777" w:rsidR="009B62EE" w:rsidRPr="00AF0C91" w:rsidRDefault="009B62EE" w:rsidP="009B62EE">
            <w:pPr>
              <w:pStyle w:val="aff"/>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aff"/>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aff"/>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capability</w:t>
            </w:r>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맑은 고딕" w:hAnsi="Calibri" w:hint="eastAsia"/>
                <w:bCs/>
                <w:sz w:val="22"/>
                <w:szCs w:val="22"/>
                <w:lang w:eastAsia="ko-KR"/>
              </w:rPr>
              <w:lastRenderedPageBreak/>
              <w:t>S</w:t>
            </w:r>
            <w:r w:rsidRPr="00F30898">
              <w:rPr>
                <w:rFonts w:ascii="Calibri" w:eastAsia="맑은 고딕"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맑은 고딕" w:hAnsi="Calibri"/>
                <w:bCs/>
                <w:sz w:val="22"/>
                <w:szCs w:val="22"/>
                <w:lang w:eastAsia="ko-KR"/>
              </w:rPr>
              <w:t>We are OK with the main bullet because w</w:t>
            </w:r>
            <w:r>
              <w:rPr>
                <w:rFonts w:ascii="Calibri" w:eastAsia="맑은 고딕" w:hAnsi="Calibri" w:hint="eastAsia"/>
                <w:bCs/>
                <w:sz w:val="22"/>
                <w:szCs w:val="22"/>
                <w:lang w:eastAsia="ko-KR"/>
              </w:rPr>
              <w:t>e think the Rel-16 IAB resource configuration can be a starting point for Rel-17.</w:t>
            </w:r>
            <w:r>
              <w:rPr>
                <w:rFonts w:ascii="Calibri" w:eastAsia="맑은 고딕" w:hAnsi="Calibri"/>
                <w:bCs/>
                <w:sz w:val="22"/>
                <w:szCs w:val="22"/>
                <w:lang w:eastAsia="ko-KR"/>
              </w:rPr>
              <w:t xml:space="preserve"> In general, 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bl>
    <w:p w14:paraId="7536B12E" w14:textId="77777777" w:rsidR="007A7DBC" w:rsidRPr="00AF0C91" w:rsidRDefault="007A7DBC">
      <w:pPr>
        <w:pStyle w:val="2"/>
        <w:numPr>
          <w:ilvl w:val="0"/>
          <w:numId w:val="0"/>
        </w:numPr>
        <w:rPr>
          <w:rFonts w:eastAsia="MS PGothic"/>
          <w:sz w:val="24"/>
          <w:szCs w:val="18"/>
        </w:rPr>
      </w:pPr>
    </w:p>
    <w:p w14:paraId="7536B12F" w14:textId="77777777" w:rsidR="007A7DBC" w:rsidRPr="00AF0C91" w:rsidRDefault="003501B9">
      <w:pPr>
        <w:pStyle w:val="2"/>
        <w:numPr>
          <w:ilvl w:val="0"/>
          <w:numId w:val="0"/>
        </w:numPr>
        <w:rPr>
          <w:rFonts w:ascii="Calibri" w:hAnsi="Calibri"/>
          <w:b w:val="0"/>
          <w:i w:val="0"/>
          <w:sz w:val="22"/>
          <w:szCs w:val="22"/>
        </w:rPr>
      </w:pPr>
      <w:r w:rsidRPr="00AF0C91">
        <w:rPr>
          <w:rFonts w:ascii="Calibri" w:hAnsi="Calibri"/>
          <w:bCs/>
          <w:i w:val="0"/>
          <w:sz w:val="22"/>
          <w:szCs w:val="22"/>
          <w:highlight w:val="yellow"/>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2.1.2?</w:t>
      </w:r>
    </w:p>
    <w:tbl>
      <w:tblPr>
        <w:tblStyle w:val="af4"/>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lastRenderedPageBreak/>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aff"/>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aff"/>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맑은 고딕" w:hAnsi="Calibri" w:hint="eastAsia"/>
                <w:bCs/>
                <w:sz w:val="22"/>
                <w:szCs w:val="22"/>
                <w:lang w:eastAsia="ko-KR"/>
              </w:rPr>
              <w:t>S</w:t>
            </w:r>
            <w:r w:rsidRPr="00F30898">
              <w:rPr>
                <w:rFonts w:ascii="Calibri" w:eastAsia="맑은 고딕"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맑은 고딕" w:hAnsi="Calibri" w:hint="eastAsia"/>
                <w:bCs/>
                <w:sz w:val="22"/>
                <w:szCs w:val="22"/>
                <w:lang w:eastAsia="ko-KR"/>
              </w:rPr>
              <w:t>We are OK with the main bullet.</w:t>
            </w:r>
            <w:r>
              <w:rPr>
                <w:rFonts w:ascii="Calibri" w:eastAsia="맑은 고딕" w:hAnsi="Calibri"/>
                <w:bCs/>
                <w:sz w:val="22"/>
                <w:szCs w:val="22"/>
                <w:lang w:eastAsia="ko-KR"/>
              </w:rPr>
              <w:t xml:space="preserve"> But, it should be clarified which multiplexing cases are supported in Rel-17. And then, we can further discuss the details for the multiplexing cases.</w:t>
            </w:r>
          </w:p>
        </w:tc>
      </w:tr>
    </w:tbl>
    <w:p w14:paraId="7536B14A" w14:textId="3D18BAB9" w:rsidR="007A7DBC" w:rsidRPr="00AF0C91" w:rsidRDefault="007A7DBC">
      <w:pPr>
        <w:rPr>
          <w:rFonts w:ascii="Arial" w:eastAsia="MS PGothic" w:hAnsi="Arial"/>
          <w:b/>
          <w:i/>
          <w:szCs w:val="18"/>
        </w:rPr>
      </w:pPr>
    </w:p>
    <w:p w14:paraId="7536B14B" w14:textId="77777777" w:rsidR="007A7DBC" w:rsidRPr="00AF0C91" w:rsidRDefault="003501B9">
      <w:pPr>
        <w:pStyle w:val="2"/>
        <w:numPr>
          <w:ilvl w:val="1"/>
          <w:numId w:val="2"/>
        </w:numPr>
        <w:rPr>
          <w:rFonts w:eastAsia="MS PGothic"/>
          <w:sz w:val="24"/>
          <w:szCs w:val="18"/>
        </w:rPr>
      </w:pPr>
      <w:r w:rsidRPr="00AF0C91">
        <w:rPr>
          <w:rFonts w:eastAsia="MS PGothic"/>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 xml:space="preserve">If an IAB-MT is additionally provided TDD-UL-DL-ConfigDedicated-IAB-MT, </w:t>
            </w:r>
            <w:r w:rsidRPr="00AF0C91">
              <w:rPr>
                <w:i/>
                <w:lang w:eastAsia="zh-CN"/>
              </w:rPr>
              <w:t xml:space="preserve">the parameter </w:t>
            </w:r>
            <w:r w:rsidRPr="00AF0C91">
              <w:rPr>
                <w:i/>
              </w:rPr>
              <w:t>tdd-UL-DL-ConfigurationDedicated-IAB-MT overrides all symbols per slot over the number of slots as provided by tdd-UL-DL-ConfigurationCommon.</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r w:rsidRPr="00AF0C91">
              <w:rPr>
                <w:i/>
              </w:rPr>
              <w:t>tdd-UL-DL-ConfigurationDedicated-IAB-MT and cell-specific signals/channels. In the slots with the collision, the IAB node should ignore tdd-UL-DL-ConfigurationDedicated-IAB-MT.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aff"/>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aff"/>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aff"/>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a3"/>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TDMed manner for an IAB node, additional guard symbol types should be defined, e.g., </w:t>
            </w:r>
          </w:p>
          <w:p w14:paraId="7536B15A" w14:textId="77777777" w:rsidR="007A7DBC" w:rsidRPr="00AF0C91" w:rsidRDefault="003501B9">
            <w:pPr>
              <w:pStyle w:val="a3"/>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a3"/>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Proposal 2: In a collision between cell-specific channels/signals by tdd-UL-DL-ConfigurationCommon and OFDM symbols by tdd-UL-DL-ConfigurationDedicated-IAB-MT,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aff"/>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ZTE, Sanechips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behaviour enhancements. No additional signalling is needed. </w:t>
            </w:r>
          </w:p>
          <w:p w14:paraId="7536B17F" w14:textId="77777777" w:rsidR="007A7DBC" w:rsidRPr="00AF0C91" w:rsidRDefault="003501B9">
            <w:pPr>
              <w:pStyle w:val="aff"/>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aff"/>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aff"/>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aff"/>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lastRenderedPageBreak/>
              <w:t xml:space="preserve">For NA/S-INA DU resources, new behaviors are added as: </w:t>
            </w:r>
          </w:p>
          <w:p w14:paraId="7536B183" w14:textId="77777777" w:rsidR="007A7DBC" w:rsidRPr="00AF0C91" w:rsidRDefault="003501B9">
            <w:pPr>
              <w:pStyle w:val="aff"/>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r w:rsidRPr="00AF0C91">
              <w:rPr>
                <w:i/>
                <w:iCs/>
              </w:rPr>
              <w:t>AvailabilityCombinationPerCell</w:t>
            </w:r>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r w:rsidRPr="00AF0C91">
              <w:rPr>
                <w:rFonts w:ascii="Times New Roman" w:hAnsi="Times New Roman" w:cs="Times New Roman"/>
                <w:i/>
                <w:iCs/>
                <w:color w:val="000000" w:themeColor="text1"/>
                <w:sz w:val="20"/>
                <w:szCs w:val="20"/>
              </w:rPr>
              <w:t>subcarrierSpacing-AI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r w:rsidRPr="00AF0C91">
              <w:rPr>
                <w:rFonts w:ascii="Times New Roman" w:cs="Times New Roman"/>
                <w:i/>
                <w:iCs/>
                <w:lang w:eastAsia="zh-CN"/>
              </w:rPr>
              <w:t>resourceAvailability</w:t>
            </w:r>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r w:rsidRPr="00AF0C91">
              <w:rPr>
                <w:rFonts w:ascii="Times New Roman" w:cs="Times New Roman"/>
                <w:i/>
                <w:iCs/>
                <w:lang w:eastAsia="zh-CN"/>
              </w:rPr>
              <w:t>resourceAvailability</w:t>
            </w:r>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aff"/>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aff"/>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aff"/>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lastRenderedPageBreak/>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aff"/>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aff"/>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r w:rsidRPr="00AF0C91">
              <w:rPr>
                <w:b/>
                <w:bCs/>
                <w:sz w:val="20"/>
                <w:szCs w:val="20"/>
              </w:rPr>
              <w:lastRenderedPageBreak/>
              <w:t>CEWiT,</w:t>
            </w:r>
            <w:r w:rsidRPr="00AF0C91">
              <w:rPr>
                <w:b/>
                <w:bCs/>
              </w:rPr>
              <w:t xml:space="preserve"> </w:t>
            </w:r>
            <w:r w:rsidRPr="00AF0C91">
              <w:rPr>
                <w:b/>
                <w:bCs/>
                <w:sz w:val="20"/>
                <w:szCs w:val="20"/>
              </w:rPr>
              <w:t>IITM, Tejas Networks, Reliance Jio, Saankhya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IAB node use IA signalled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aff"/>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aff"/>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10"/>
              <w:jc w:val="both"/>
              <w:rPr>
                <w:rStyle w:val="af6"/>
                <w:rFonts w:asciiTheme="minorHAnsi" w:eastAsiaTheme="minorEastAsia" w:hAnsiTheme="minorHAnsi" w:cstheme="minorBidi"/>
                <w:bCs w:val="0"/>
                <w:sz w:val="22"/>
                <w:lang w:eastAsia="sv-SE"/>
              </w:rPr>
            </w:pPr>
            <w:r w:rsidRPr="00AF0C91">
              <w:rPr>
                <w:rStyle w:val="af6"/>
                <w:rFonts w:asciiTheme="minorHAnsi" w:eastAsiaTheme="minorEastAsia" w:hAnsiTheme="minorHAnsi" w:cstheme="minorBidi"/>
                <w:bCs w:val="0"/>
                <w:sz w:val="22"/>
                <w:lang w:eastAsia="sv-SE"/>
              </w:rPr>
              <w:t>Proposal 6</w:t>
            </w:r>
            <w:r w:rsidRPr="00AF0C91">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10"/>
              <w:jc w:val="both"/>
              <w:rPr>
                <w:rStyle w:val="af6"/>
                <w:rFonts w:asciiTheme="minorHAnsi" w:eastAsiaTheme="minorEastAsia" w:hAnsiTheme="minorHAnsi" w:cstheme="minorBidi"/>
                <w:bCs w:val="0"/>
                <w:sz w:val="22"/>
                <w:lang w:eastAsia="sv-SE"/>
              </w:rPr>
            </w:pPr>
            <w:r w:rsidRPr="00AF0C91">
              <w:rPr>
                <w:rStyle w:val="af6"/>
                <w:rFonts w:asciiTheme="minorHAnsi" w:eastAsiaTheme="minorEastAsia" w:hAnsiTheme="minorHAnsi" w:cstheme="minorBidi"/>
                <w:bCs w:val="0"/>
                <w:sz w:val="22"/>
                <w:lang w:eastAsia="sv-SE"/>
              </w:rPr>
              <w:t>Proposal 7</w:t>
            </w:r>
            <w:r w:rsidRPr="00AF0C91">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10"/>
              <w:jc w:val="both"/>
              <w:rPr>
                <w:rStyle w:val="af6"/>
                <w:rFonts w:asciiTheme="minorHAnsi" w:eastAsiaTheme="minorEastAsia" w:hAnsiTheme="minorHAnsi" w:cstheme="minorBidi"/>
                <w:bCs w:val="0"/>
                <w:sz w:val="22"/>
                <w:lang w:eastAsia="sv-SE"/>
              </w:rPr>
            </w:pPr>
            <w:r w:rsidRPr="00AF0C91">
              <w:rPr>
                <w:rStyle w:val="af6"/>
                <w:rFonts w:asciiTheme="minorHAnsi" w:eastAsiaTheme="minorEastAsia" w:hAnsiTheme="minorHAnsi" w:cstheme="minorBidi"/>
                <w:bCs w:val="0"/>
                <w:sz w:val="22"/>
                <w:lang w:eastAsia="sv-SE"/>
              </w:rPr>
              <w:t>Proposal 8</w:t>
            </w:r>
            <w:r w:rsidRPr="00AF0C91">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10"/>
              <w:jc w:val="both"/>
              <w:rPr>
                <w:rStyle w:val="af6"/>
                <w:rFonts w:asciiTheme="minorHAnsi" w:eastAsiaTheme="minorEastAsia" w:hAnsiTheme="minorHAnsi" w:cstheme="minorBidi"/>
                <w:bCs w:val="0"/>
                <w:sz w:val="22"/>
                <w:lang w:eastAsia="sv-SE"/>
              </w:rPr>
            </w:pPr>
            <w:r w:rsidRPr="00AF0C91">
              <w:rPr>
                <w:rStyle w:val="af6"/>
                <w:rFonts w:asciiTheme="minorHAnsi" w:eastAsiaTheme="minorEastAsia" w:hAnsiTheme="minorHAnsi" w:cstheme="minorBidi"/>
                <w:bCs w:val="0"/>
                <w:sz w:val="22"/>
                <w:lang w:eastAsia="sv-SE"/>
              </w:rPr>
              <w:t>Proposal 9</w:t>
            </w:r>
            <w:r w:rsidRPr="00AF0C91">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2.2.2</w:t>
      </w:r>
      <w:r w:rsidRPr="00AF0C91">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aff"/>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aff"/>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aff"/>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aff"/>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aff"/>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aff"/>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2.2.2?</w:t>
      </w:r>
    </w:p>
    <w:tbl>
      <w:tblPr>
        <w:tblStyle w:val="af4"/>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the </w:t>
            </w:r>
            <w:r w:rsidR="00AC128C" w:rsidRPr="00AF0C91">
              <w:rPr>
                <w:rFonts w:ascii="Calibri" w:eastAsiaTheme="minorEastAsia" w:hAnsi="Calibri"/>
                <w:sz w:val="22"/>
                <w:szCs w:val="22"/>
                <w:lang w:eastAsia="zh-CN"/>
              </w:rPr>
              <w:t xml:space="preserve">each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aff"/>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AF0C91">
              <w:rPr>
                <w:rStyle w:val="normaltextrun"/>
                <w:rFonts w:ascii="Calibri" w:hAnsi="Calibri" w:cs="Calibri"/>
                <w:sz w:val="22"/>
                <w:szCs w:val="22"/>
                <w:shd w:val="clear" w:color="auto" w:fill="FFFF00"/>
                <w:lang w:val="en-US"/>
              </w:rPr>
              <w:t>FL Proposal 2.2.2</w:t>
            </w:r>
            <w:r w:rsidRPr="00AF0C91">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맑은 고딕"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r>
              <w:rPr>
                <w:rFonts w:ascii="Calibri" w:eastAsiaTheme="minorEastAsia" w:hAnsi="Calibri"/>
                <w:bCs/>
                <w:sz w:val="22"/>
                <w:szCs w:val="22"/>
                <w:lang w:eastAsia="zh-CN"/>
              </w:rPr>
              <w:t>But, it should be clarified</w:t>
            </w:r>
            <w:r>
              <w:rPr>
                <w:rFonts w:ascii="Calibri" w:eastAsia="맑은 고딕" w:hAnsi="Calibri"/>
                <w:bCs/>
                <w:sz w:val="22"/>
                <w:szCs w:val="22"/>
                <w:lang w:eastAsia="ko-KR"/>
              </w:rPr>
              <w:t xml:space="preserve"> what the issue</w:t>
            </w:r>
            <w:r>
              <w:rPr>
                <w:rFonts w:ascii="Calibri" w:eastAsia="맑은 고딕" w:hAnsi="Calibri"/>
                <w:bCs/>
                <w:sz w:val="22"/>
                <w:szCs w:val="22"/>
                <w:lang w:eastAsia="ko-KR"/>
              </w:rPr>
              <w:t xml:space="preserve"> is</w:t>
            </w:r>
            <w:r>
              <w:rPr>
                <w:rFonts w:ascii="Calibri" w:eastAsia="맑은 고딕" w:hAnsi="Calibri"/>
                <w:bCs/>
                <w:sz w:val="22"/>
                <w:szCs w:val="22"/>
                <w:lang w:eastAsia="ko-KR"/>
              </w:rPr>
              <w:t>.</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w:t>
            </w:r>
            <w:bookmarkStart w:id="3" w:name="_GoBack"/>
            <w:bookmarkEnd w:id="3"/>
            <w:r>
              <w:rPr>
                <w:rFonts w:ascii="Calibri" w:eastAsia="맑은 고딕" w:hAnsi="Calibri"/>
                <w:bCs/>
                <w:sz w:val="22"/>
                <w:szCs w:val="22"/>
                <w:lang w:eastAsia="ko-KR"/>
              </w:rPr>
              <w:t xml:space="preserve"> what kind of enhancements are needed.</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From the eIAB WID:</w:t>
      </w:r>
    </w:p>
    <w:p w14:paraId="7536B1D7" w14:textId="77777777" w:rsidR="007A7DBC" w:rsidRPr="00AF0C91" w:rsidRDefault="003501B9">
      <w:pPr>
        <w:pStyle w:val="aff"/>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aff"/>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aff"/>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aff"/>
        <w:numPr>
          <w:ilvl w:val="0"/>
          <w:numId w:val="25"/>
        </w:numPr>
        <w:spacing w:before="0" w:after="0"/>
        <w:rPr>
          <w:rFonts w:eastAsia="Calibri" w:cs="Times"/>
        </w:rPr>
      </w:pPr>
      <w:r w:rsidRPr="00AF0C91">
        <w:rPr>
          <w:rFonts w:eastAsia="Calibri" w:cs="Times"/>
        </w:rPr>
        <w:t>FFS: Reuse of multi-TRP transmission resource allocation features (if intra-freq DC scenario is supported for IAB)</w:t>
      </w:r>
    </w:p>
    <w:p w14:paraId="7536B1E2" w14:textId="77777777" w:rsidR="007A7DBC" w:rsidRPr="00AF0C91" w:rsidRDefault="003501B9">
      <w:pPr>
        <w:pStyle w:val="aff"/>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aff"/>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aff"/>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aff"/>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aff"/>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aff"/>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a3"/>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aff"/>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aff"/>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A conflict rule should be considered for IAB when the two parent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af6"/>
                <w:rFonts w:eastAsiaTheme="minorEastAsia"/>
                <w:i/>
                <w:lang w:eastAsia="ko-KR"/>
              </w:rPr>
            </w:pPr>
            <w:r w:rsidRPr="00AF0C91">
              <w:rPr>
                <w:b/>
                <w:bCs/>
                <w:i/>
              </w:rPr>
              <w:t xml:space="preserve">Proposal 7: </w:t>
            </w:r>
            <w:r w:rsidRPr="00AF0C91">
              <w:rPr>
                <w:bCs/>
              </w:rPr>
              <w:t>Inter-band DC is supported only for Rel-17 eIAB.</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aff"/>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aff"/>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aff"/>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aff"/>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af1"/>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3.1.1?</w:t>
      </w:r>
    </w:p>
    <w:tbl>
      <w:tblPr>
        <w:tblStyle w:val="af4"/>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맑은 고딕"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r w:rsidRPr="00605009">
              <w:rPr>
                <w:rFonts w:ascii="Calibri" w:eastAsia="맑은 고딕" w:hAnsi="Calibri"/>
                <w:bCs/>
                <w:sz w:val="22"/>
                <w:szCs w:val="22"/>
                <w:lang w:eastAsia="ko-KR"/>
              </w:rPr>
              <w:t>Yes</w:t>
            </w:r>
            <w:r>
              <w:rPr>
                <w:rFonts w:ascii="Calibri" w:eastAsia="맑은 고딕"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w:t>
            </w:r>
            <w:r>
              <w:rPr>
                <w:rFonts w:ascii="Calibri" w:eastAsia="Calibri" w:hAnsi="Calibri"/>
                <w:bCs/>
                <w:sz w:val="22"/>
                <w:szCs w:val="22"/>
              </w:rPr>
              <w:t>er</w:t>
            </w:r>
            <w:r>
              <w:rPr>
                <w:rFonts w:ascii="Calibri" w:eastAsia="Calibri" w:hAnsi="Calibri"/>
                <w:bCs/>
                <w:sz w:val="22"/>
                <w:szCs w:val="22"/>
              </w:rPr>
              <w:t>-donor, we need inputs from RAN2/RAN3.</w:t>
            </w:r>
          </w:p>
        </w:tc>
      </w:tr>
    </w:tbl>
    <w:p w14:paraId="7536B22E" w14:textId="77777777" w:rsidR="007A7DBC" w:rsidRPr="00AF0C91" w:rsidRDefault="007A7DBC">
      <w:pPr>
        <w:rPr>
          <w:rFonts w:ascii="Calibri" w:eastAsia="Calibri" w:hAnsi="Calibri"/>
          <w:b/>
          <w:bCs/>
          <w:sz w:val="22"/>
          <w:szCs w:val="22"/>
        </w:rPr>
      </w:pPr>
    </w:p>
    <w:p w14:paraId="7536B22F" w14:textId="77777777" w:rsidR="007A7DBC" w:rsidRPr="00AF0C91" w:rsidRDefault="007A7DBC">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aff"/>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aff"/>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aff"/>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3.1.2?</w:t>
      </w:r>
    </w:p>
    <w:tbl>
      <w:tblPr>
        <w:tblStyle w:val="af4"/>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맑은 고딕"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맑은 고딕" w:hAnsi="Calibri" w:hint="eastAsia"/>
                <w:bCs/>
                <w:sz w:val="22"/>
                <w:szCs w:val="22"/>
                <w:lang w:eastAsia="ko-KR"/>
              </w:rPr>
              <w:t>W</w:t>
            </w:r>
            <w:r>
              <w:rPr>
                <w:rFonts w:ascii="Calibri" w:eastAsia="맑은 고딕"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bl>
    <w:p w14:paraId="7536B246" w14:textId="77777777" w:rsidR="007A7DBC" w:rsidRPr="00AF0C91" w:rsidRDefault="007A7DBC">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This is related to FL proposal 3.1.2, if only inter-band DC is supported, such collisions may be not a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맑은 고딕"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맑은 고딕"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맑은 고딕" w:hAnsi="Calibri"/>
                <w:bCs/>
                <w:sz w:val="22"/>
                <w:szCs w:val="22"/>
                <w:lang w:eastAsia="ko-KR"/>
              </w:rPr>
              <w:t>We are OK with the proposal t</w:t>
            </w:r>
            <w:r w:rsidRPr="00B05B57">
              <w:rPr>
                <w:rFonts w:ascii="Calibri" w:eastAsia="맑은 고딕" w:hAnsi="Calibri" w:hint="eastAsia"/>
                <w:bCs/>
                <w:sz w:val="22"/>
                <w:szCs w:val="22"/>
                <w:lang w:eastAsia="ko-KR"/>
              </w:rPr>
              <w:t>akin</w:t>
            </w:r>
            <w:r>
              <w:rPr>
                <w:rFonts w:ascii="Calibri" w:eastAsia="맑은 고딕" w:hAnsi="Calibri"/>
                <w:bCs/>
                <w:sz w:val="22"/>
                <w:szCs w:val="22"/>
                <w:lang w:eastAsia="ko-KR"/>
              </w:rPr>
              <w:t xml:space="preserve">g into account scheduling decision is independently performed per MCG and SCG. </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IAB-MT shall support both single DCI based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aff"/>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aff"/>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3.2.1?</w:t>
      </w:r>
    </w:p>
    <w:tbl>
      <w:tblPr>
        <w:tblStyle w:val="af4"/>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ZTE, Sanechips</w:t>
            </w:r>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aff"/>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aff"/>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aff"/>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맑은 고딕" w:hAnsi="Calibri" w:hint="eastAsia"/>
                <w:bCs/>
                <w:sz w:val="22"/>
                <w:szCs w:val="22"/>
                <w:lang w:eastAsia="ko-KR"/>
              </w:rPr>
              <w:t>Samsu</w:t>
            </w:r>
            <w:r w:rsidRPr="00B05B57">
              <w:rPr>
                <w:rFonts w:ascii="Calibri" w:eastAsia="맑은 고딕"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맑은 고딕" w:hAnsi="Calibri" w:hint="eastAsia"/>
                <w:bCs/>
                <w:sz w:val="22"/>
                <w:szCs w:val="22"/>
                <w:lang w:eastAsia="ko-KR"/>
              </w:rPr>
              <w:t>N</w:t>
            </w:r>
            <w:r>
              <w:rPr>
                <w:rFonts w:ascii="Calibri" w:eastAsia="맑은 고딕"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맑은 고딕" w:hAnsi="Calibri"/>
                <w:bCs/>
                <w:sz w:val="22"/>
                <w:szCs w:val="22"/>
                <w:lang w:eastAsia="ko-KR"/>
              </w:rPr>
              <w:t>We have similar understanding with other companies regarding urgency of the issue.</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3.2.2</w:t>
      </w:r>
      <w:r w:rsidRPr="00AF0C91">
        <w:rPr>
          <w:rFonts w:ascii="Calibri" w:eastAsia="Calibri" w:hAnsi="Calibri"/>
          <w:b/>
          <w:bCs/>
          <w:sz w:val="22"/>
          <w:szCs w:val="22"/>
        </w:rPr>
        <w:t>: Consider extensions for both single DCI based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3.2.2?</w:t>
      </w:r>
    </w:p>
    <w:tbl>
      <w:tblPr>
        <w:tblStyle w:val="af4"/>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맑은 고딕" w:hAnsi="Calibri" w:hint="eastAsia"/>
                <w:bCs/>
                <w:sz w:val="22"/>
                <w:szCs w:val="22"/>
                <w:lang w:eastAsia="ko-KR"/>
              </w:rPr>
              <w:t>Samsung</w:t>
            </w:r>
          </w:p>
        </w:tc>
        <w:tc>
          <w:tcPr>
            <w:tcW w:w="4004"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맑은 고딕" w:hAnsi="Calibri" w:hint="eastAsia"/>
                <w:bCs/>
                <w:sz w:val="22"/>
                <w:szCs w:val="22"/>
                <w:lang w:eastAsia="ko-KR"/>
              </w:rPr>
              <w:t>No</w:t>
            </w:r>
          </w:p>
        </w:tc>
        <w:tc>
          <w:tcPr>
            <w:tcW w:w="4503"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맑은 고딕" w:hAnsi="Calibri" w:hint="eastAsia"/>
                <w:bCs/>
                <w:sz w:val="22"/>
                <w:szCs w:val="22"/>
                <w:lang w:eastAsia="ko-KR"/>
              </w:rPr>
              <w:t>Not sure why multi-TRP schemes are considered here.</w:t>
            </w:r>
          </w:p>
        </w:tc>
      </w:tr>
    </w:tbl>
    <w:p w14:paraId="7536B2A9" w14:textId="77777777" w:rsidR="007A7DBC" w:rsidRPr="00AF0C91" w:rsidRDefault="007A7DBC"/>
    <w:sectPr w:rsidR="007A7DBC"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4AF8B" w14:textId="77777777" w:rsidR="009E452C" w:rsidRDefault="009E452C" w:rsidP="009B62EE">
      <w:r>
        <w:separator/>
      </w:r>
    </w:p>
  </w:endnote>
  <w:endnote w:type="continuationSeparator" w:id="0">
    <w:p w14:paraId="2CF087E2" w14:textId="77777777" w:rsidR="009E452C" w:rsidRDefault="009E452C"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0E55" w14:textId="77777777" w:rsidR="009E452C" w:rsidRDefault="009E452C" w:rsidP="009B62EE">
      <w:r>
        <w:separator/>
      </w:r>
    </w:p>
  </w:footnote>
  <w:footnote w:type="continuationSeparator" w:id="0">
    <w:p w14:paraId="7FD35394" w14:textId="77777777" w:rsidR="009E452C" w:rsidRDefault="009E452C"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7"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2"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4"/>
  </w:num>
  <w:num w:numId="3">
    <w:abstractNumId w:val="25"/>
  </w:num>
  <w:num w:numId="4">
    <w:abstractNumId w:val="44"/>
  </w:num>
  <w:num w:numId="5">
    <w:abstractNumId w:val="5"/>
  </w:num>
  <w:num w:numId="6">
    <w:abstractNumId w:val="47"/>
  </w:num>
  <w:num w:numId="7">
    <w:abstractNumId w:val="18"/>
  </w:num>
  <w:num w:numId="8">
    <w:abstractNumId w:val="45"/>
  </w:num>
  <w:num w:numId="9">
    <w:abstractNumId w:val="41"/>
  </w:num>
  <w:num w:numId="10">
    <w:abstractNumId w:val="22"/>
  </w:num>
  <w:num w:numId="11">
    <w:abstractNumId w:val="10"/>
  </w:num>
  <w:num w:numId="12">
    <w:abstractNumId w:val="15"/>
  </w:num>
  <w:num w:numId="13">
    <w:abstractNumId w:val="8"/>
  </w:num>
  <w:num w:numId="14">
    <w:abstractNumId w:val="37"/>
  </w:num>
  <w:num w:numId="15">
    <w:abstractNumId w:val="21"/>
  </w:num>
  <w:num w:numId="16">
    <w:abstractNumId w:val="0"/>
  </w:num>
  <w:num w:numId="17">
    <w:abstractNumId w:val="43"/>
  </w:num>
  <w:num w:numId="18">
    <w:abstractNumId w:val="31"/>
  </w:num>
  <w:num w:numId="19">
    <w:abstractNumId w:val="48"/>
  </w:num>
  <w:num w:numId="20">
    <w:abstractNumId w:val="38"/>
  </w:num>
  <w:num w:numId="21">
    <w:abstractNumId w:val="24"/>
  </w:num>
  <w:num w:numId="22">
    <w:abstractNumId w:val="36"/>
  </w:num>
  <w:num w:numId="23">
    <w:abstractNumId w:val="40"/>
  </w:num>
  <w:num w:numId="24">
    <w:abstractNumId w:val="27"/>
  </w:num>
  <w:num w:numId="25">
    <w:abstractNumId w:val="26"/>
  </w:num>
  <w:num w:numId="26">
    <w:abstractNumId w:val="33"/>
  </w:num>
  <w:num w:numId="27">
    <w:abstractNumId w:val="13"/>
  </w:num>
  <w:num w:numId="28">
    <w:abstractNumId w:val="6"/>
  </w:num>
  <w:num w:numId="29">
    <w:abstractNumId w:val="46"/>
  </w:num>
  <w:num w:numId="30">
    <w:abstractNumId w:val="29"/>
  </w:num>
  <w:num w:numId="31">
    <w:abstractNumId w:val="23"/>
  </w:num>
  <w:num w:numId="32">
    <w:abstractNumId w:val="39"/>
  </w:num>
  <w:num w:numId="33">
    <w:abstractNumId w:val="19"/>
  </w:num>
  <w:num w:numId="34">
    <w:abstractNumId w:val="20"/>
  </w:num>
  <w:num w:numId="35">
    <w:abstractNumId w:val="16"/>
  </w:num>
  <w:num w:numId="36">
    <w:abstractNumId w:val="4"/>
  </w:num>
  <w:num w:numId="37">
    <w:abstractNumId w:val="42"/>
  </w:num>
  <w:num w:numId="38">
    <w:abstractNumId w:val="12"/>
  </w:num>
  <w:num w:numId="39">
    <w:abstractNumId w:val="1"/>
  </w:num>
  <w:num w:numId="40">
    <w:abstractNumId w:val="11"/>
  </w:num>
  <w:num w:numId="41">
    <w:abstractNumId w:val="17"/>
  </w:num>
  <w:num w:numId="42">
    <w:abstractNumId w:val="2"/>
  </w:num>
  <w:num w:numId="43">
    <w:abstractNumId w:val="32"/>
  </w:num>
  <w:num w:numId="44">
    <w:abstractNumId w:val="7"/>
  </w:num>
  <w:num w:numId="45">
    <w:abstractNumId w:val="35"/>
  </w:num>
  <w:num w:numId="46">
    <w:abstractNumId w:val="28"/>
  </w:num>
  <w:num w:numId="47">
    <w:abstractNumId w:val="9"/>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20C7E"/>
    <w:rsid w:val="00032894"/>
    <w:rsid w:val="00034C82"/>
    <w:rsid w:val="00062FBB"/>
    <w:rsid w:val="0007045B"/>
    <w:rsid w:val="00090EE0"/>
    <w:rsid w:val="000C168F"/>
    <w:rsid w:val="000E7430"/>
    <w:rsid w:val="000F5617"/>
    <w:rsid w:val="001005D6"/>
    <w:rsid w:val="00100866"/>
    <w:rsid w:val="00137DE1"/>
    <w:rsid w:val="00140742"/>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81516"/>
    <w:rsid w:val="00790736"/>
    <w:rsid w:val="007A1D0F"/>
    <w:rsid w:val="007A7DBC"/>
    <w:rsid w:val="007C16E9"/>
    <w:rsid w:val="007D754B"/>
    <w:rsid w:val="007F017F"/>
    <w:rsid w:val="00831928"/>
    <w:rsid w:val="00834CBF"/>
    <w:rsid w:val="00843098"/>
    <w:rsid w:val="0086411A"/>
    <w:rsid w:val="00892BB8"/>
    <w:rsid w:val="008B7F59"/>
    <w:rsid w:val="008C6041"/>
    <w:rsid w:val="008E32BB"/>
    <w:rsid w:val="008E4253"/>
    <w:rsid w:val="009112C7"/>
    <w:rsid w:val="00922761"/>
    <w:rsid w:val="0095067A"/>
    <w:rsid w:val="0095359B"/>
    <w:rsid w:val="0096360E"/>
    <w:rsid w:val="009865D7"/>
    <w:rsid w:val="009A1C78"/>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72C7F"/>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C24"/>
    <w:rsid w:val="00DC42B7"/>
    <w:rsid w:val="00DD2A5E"/>
    <w:rsid w:val="00E01E71"/>
    <w:rsid w:val="00E13DF6"/>
    <w:rsid w:val="00E16EB5"/>
    <w:rsid w:val="00E269FC"/>
    <w:rsid w:val="00E433BD"/>
    <w:rsid w:val="00E608B8"/>
    <w:rsid w:val="00E620A2"/>
    <w:rsid w:val="00E71E05"/>
    <w:rsid w:val="00E84952"/>
    <w:rsid w:val="00E874F4"/>
    <w:rsid w:val="00EA07CE"/>
    <w:rsid w:val="00EA12D4"/>
    <w:rsid w:val="00EF0660"/>
    <w:rsid w:val="00EF1A45"/>
    <w:rsid w:val="00EF200F"/>
    <w:rsid w:val="00EF2750"/>
    <w:rsid w:val="00EF3455"/>
    <w:rsid w:val="00F510D8"/>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5A8"/>
    <w:rPr>
      <w:rFonts w:ascii="Times New Roman" w:eastAsia="Times New Roman" w:hAnsi="Times New Roman"/>
      <w:sz w:val="24"/>
      <w:szCs w:val="24"/>
      <w:lang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0"/>
    <w:semiHidden/>
    <w:qFormat/>
    <w:pPr>
      <w:shd w:val="clear" w:color="auto" w:fill="000080"/>
    </w:pPr>
  </w:style>
  <w:style w:type="paragraph" w:styleId="a6">
    <w:name w:val="annotation text"/>
    <w:basedOn w:val="a"/>
    <w:link w:val="Char1"/>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2"/>
    <w:unhideWhenUsed/>
    <w:pPr>
      <w:spacing w:after="160"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바탕"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pPr>
      <w:ind w:left="1680"/>
    </w:pPr>
    <w:rPr>
      <w:rFonts w:eastAsia="MS Mincho"/>
      <w:lang w:val="en-GB" w:eastAsia="ja-JP"/>
    </w:rPr>
  </w:style>
  <w:style w:type="paragraph" w:styleId="a9">
    <w:name w:val="Date"/>
    <w:basedOn w:val="a"/>
    <w:next w:val="a"/>
    <w:qFormat/>
    <w:rPr>
      <w:rFonts w:ascii="Times" w:eastAsia="바탕" w:hAnsi="Times"/>
      <w:sz w:val="20"/>
      <w:lang w:val="en-GB"/>
    </w:rPr>
  </w:style>
  <w:style w:type="paragraph" w:styleId="aa">
    <w:name w:val="endnote text"/>
    <w:basedOn w:val="a"/>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pPr>
      <w:tabs>
        <w:tab w:val="left" w:pos="1440"/>
        <w:tab w:val="right" w:leader="dot" w:pos="9631"/>
      </w:tabs>
      <w:ind w:left="601"/>
    </w:pPr>
    <w:rPr>
      <w:rFonts w:ascii="Times" w:eastAsia="바탕" w:hAnsi="Times"/>
      <w:sz w:val="20"/>
      <w:lang w:val="en-GB"/>
    </w:rPr>
  </w:style>
  <w:style w:type="paragraph" w:styleId="ae">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
    <w:name w:val="List"/>
    <w:basedOn w:val="a"/>
    <w:pPr>
      <w:ind w:left="200" w:hanging="200"/>
    </w:pPr>
  </w:style>
  <w:style w:type="paragraph" w:styleId="af0">
    <w:name w:val="footnote text"/>
    <w:basedOn w:val="a"/>
    <w:link w:val="Char6"/>
    <w:pPr>
      <w:spacing w:before="60" w:after="120"/>
      <w:jc w:val="both"/>
    </w:pPr>
    <w:rPr>
      <w:rFonts w:ascii="Arial" w:hAnsi="Arial"/>
      <w:sz w:val="18"/>
      <w:szCs w:val="20"/>
    </w:rPr>
  </w:style>
  <w:style w:type="paragraph" w:styleId="60">
    <w:name w:val="toc 6"/>
    <w:basedOn w:val="a"/>
    <w:next w:val="a"/>
    <w:uiPriority w:val="39"/>
    <w:pPr>
      <w:ind w:left="1200"/>
    </w:pPr>
    <w:rPr>
      <w:rFonts w:eastAsia="MS Mincho"/>
      <w:lang w:val="en-GB" w:eastAsia="ja-JP"/>
    </w:rPr>
  </w:style>
  <w:style w:type="paragraph" w:styleId="af1">
    <w:name w:val="table of figures"/>
    <w:basedOn w:val="a"/>
    <w:next w:val="a"/>
    <w:uiPriority w:val="99"/>
    <w:unhideWhenUsed/>
    <w:pPr>
      <w:tabs>
        <w:tab w:val="left" w:pos="1080"/>
      </w:tabs>
    </w:pPr>
    <w:rPr>
      <w:rFonts w:asciiTheme="minorHAnsi" w:eastAsiaTheme="minorHAnsi" w:hAnsiTheme="minorHAnsi"/>
      <w:b/>
      <w:bCs/>
    </w:rPr>
  </w:style>
  <w:style w:type="paragraph" w:styleId="20">
    <w:name w:val="toc 2"/>
    <w:basedOn w:val="a"/>
    <w:next w:val="a"/>
    <w:uiPriority w:val="39"/>
    <w:unhideWhenUsed/>
    <w:pPr>
      <w:spacing w:before="60" w:after="100"/>
      <w:ind w:left="200"/>
      <w:jc w:val="both"/>
    </w:pPr>
    <w:rPr>
      <w:rFonts w:ascii="Arial" w:hAnsi="Arial"/>
      <w:sz w:val="20"/>
      <w:szCs w:val="20"/>
    </w:rPr>
  </w:style>
  <w:style w:type="paragraph" w:styleId="90">
    <w:name w:val="toc 9"/>
    <w:basedOn w:val="a"/>
    <w:next w:val="a"/>
    <w:uiPriority w:val="39"/>
    <w:pPr>
      <w:ind w:left="1920"/>
    </w:pPr>
    <w:rPr>
      <w:rFonts w:eastAsia="MS Mincho"/>
      <w:lang w:val="en-GB" w:eastAsia="ja-JP"/>
    </w:rPr>
  </w:style>
  <w:style w:type="paragraph" w:styleId="21">
    <w:name w:val="Body Text 2"/>
    <w:basedOn w:val="a"/>
    <w:qFormat/>
    <w:pPr>
      <w:spacing w:after="120" w:line="480" w:lineRule="auto"/>
    </w:pPr>
    <w:rPr>
      <w:rFonts w:ascii="Times" w:eastAsia="바탕"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nhideWhenUsed/>
    <w:qFormat/>
    <w:rPr>
      <w:sz w:val="16"/>
      <w:szCs w:val="16"/>
    </w:rPr>
  </w:style>
  <w:style w:type="character" w:customStyle="1" w:styleId="1Char">
    <w:name w:val="제목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Char">
    <w:name w:val="제목 3 Char"/>
    <w:link w:val="3"/>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Char6">
    <w:name w:val="각주 텍스트 Char"/>
    <w:link w:val="af0"/>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Char3">
    <w:name w:val="풍선 도움말 텍스트 Char"/>
    <w:link w:val="ab"/>
    <w:uiPriority w:val="34"/>
    <w:qFormat/>
    <w:rPr>
      <w:rFonts w:ascii="Arial" w:eastAsia="Times New Roman" w:hAnsi="Arial" w:cs="Times New Roman"/>
      <w:sz w:val="20"/>
      <w:szCs w:val="20"/>
    </w:rPr>
  </w:style>
  <w:style w:type="character" w:customStyle="1" w:styleId="Char5">
    <w:name w:val="머리글 Char"/>
    <w:link w:val="ad"/>
    <w:semiHidden/>
    <w:qFormat/>
    <w:rPr>
      <w:rFonts w:ascii="Segoe UI" w:eastAsia="Times New Roman" w:hAnsi="Segoe UI" w:cs="Segoe UI"/>
      <w:sz w:val="18"/>
      <w:szCs w:val="18"/>
    </w:rPr>
  </w:style>
  <w:style w:type="character" w:customStyle="1" w:styleId="Char4">
    <w:name w:val="바닥글 Char"/>
    <w:link w:val="ac"/>
    <w:qFormat/>
    <w:rPr>
      <w:rFonts w:ascii="Arial" w:eastAsia="Times New Roman" w:hAnsi="Arial" w:cs="Times New Roman"/>
      <w:sz w:val="20"/>
      <w:szCs w:val="20"/>
    </w:rPr>
  </w:style>
  <w:style w:type="character" w:customStyle="1" w:styleId="Char">
    <w:name w:val="캡션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7">
    <w:name w:val="메모 주제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rPr>
  </w:style>
  <w:style w:type="character" w:customStyle="1" w:styleId="Doc-text2Char">
    <w:name w:val="Doc-text2 Char"/>
    <w:qFormat/>
    <w:locked/>
    <w:rPr>
      <w:rFonts w:ascii="Arial" w:hAnsi="Arial" w:cs="Arial"/>
      <w:lang w:eastAsia="en-GB"/>
    </w:rPr>
  </w:style>
  <w:style w:type="character" w:customStyle="1" w:styleId="Char2">
    <w:name w:val="본문 Char"/>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0">
    <w:name w:val="문서 구조 Char"/>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바탕"/>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바탕"/>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SimSun"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바탕"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바탕"/>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바탕"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eastAsia="en-US"/>
    </w:rPr>
  </w:style>
  <w:style w:type="paragraph" w:customStyle="1" w:styleId="maintext">
    <w:name w:val="main text"/>
    <w:basedOn w:val="a"/>
    <w:qFormat/>
    <w:pPr>
      <w:spacing w:before="60" w:after="60" w:line="288" w:lineRule="auto"/>
      <w:ind w:firstLine="200"/>
      <w:jc w:val="both"/>
    </w:pPr>
    <w:rPr>
      <w:rFonts w:eastAsia="맑은 고딕" w:cs="바탕"/>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d"/>
    <w:qFormat/>
    <w:pPr>
      <w:widowControl w:val="0"/>
      <w:tabs>
        <w:tab w:val="right" w:pos="9072"/>
        <w:tab w:val="right" w:pos="10206"/>
      </w:tabs>
    </w:pPr>
    <w:rPr>
      <w:rFonts w:eastAsia="바탕"/>
      <w:b/>
      <w:lang w:val="en-GB"/>
    </w:rPr>
  </w:style>
  <w:style w:type="paragraph" w:customStyle="1" w:styleId="TdocHeading2">
    <w:name w:val="Tdoc_Heading_2"/>
    <w:basedOn w:val="a"/>
    <w:qFormat/>
    <w:rPr>
      <w:rFonts w:ascii="Times" w:eastAsia="바탕" w:hAnsi="Times"/>
      <w:sz w:val="20"/>
      <w:lang w:val="en-GB"/>
    </w:rPr>
  </w:style>
  <w:style w:type="paragraph" w:customStyle="1" w:styleId="NO">
    <w:name w:val="NO"/>
    <w:basedOn w:val="a"/>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바탕"/>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바탕"/>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바탕"/>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바탕"/>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3.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8648366-0384-47A8-892A-A0502865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7490</Words>
  <Characters>42693</Characters>
  <Application>Microsoft Office Word</Application>
  <DocSecurity>0</DocSecurity>
  <Lines>355</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3</cp:revision>
  <cp:lastPrinted>2016-02-23T10:51:00Z</cp:lastPrinted>
  <dcterms:created xsi:type="dcterms:W3CDTF">2020-11-04T01:16:00Z</dcterms:created>
  <dcterms:modified xsi:type="dcterms:W3CDTF">2020-11-04T01:22:00Z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