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14:paraId="70D9EE24" w14:textId="77777777"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7391CFBD" w14:textId="77777777"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BDB7ED2" w14:textId="77777777" w:rsidR="008A23BD" w:rsidRDefault="008A23BD">
      <w:pPr>
        <w:pStyle w:val="Header"/>
        <w:snapToGrid w:val="0"/>
        <w:rPr>
          <w:rFonts w:eastAsia="SimSun"/>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CA170B4"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Microsoft YaHei"/>
          <w:sz w:val="20"/>
          <w:szCs w:val="20"/>
          <w:lang w:val="en-GB"/>
        </w:rPr>
      </w:pPr>
    </w:p>
    <w:p w14:paraId="5E7520A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Lenovo, </w:t>
            </w:r>
            <w:proofErr w:type="spellStart"/>
            <w:r>
              <w:rPr>
                <w:rFonts w:eastAsia="Microsoft YaHei"/>
                <w:sz w:val="20"/>
                <w:szCs w:val="20"/>
              </w:rPr>
              <w:t>MotM</w:t>
            </w:r>
            <w:proofErr w:type="spellEnd"/>
            <w:r>
              <w:rPr>
                <w:rFonts w:eastAsia="Microsoft YaHei"/>
                <w:sz w:val="20"/>
                <w:szCs w:val="20"/>
              </w:rPr>
              <w:t xml:space="preserve">, NEC, Intel, Xiaomi, Ericsson, Qualcomm (legacy triggering offset only), Futurewei, Huawei, </w:t>
            </w:r>
            <w:proofErr w:type="spellStart"/>
            <w:r>
              <w:rPr>
                <w:rFonts w:eastAsia="Microsoft YaHei"/>
                <w:sz w:val="20"/>
                <w:szCs w:val="20"/>
              </w:rPr>
              <w:t>HiSilicon</w:t>
            </w:r>
            <w:proofErr w:type="spellEnd"/>
            <w:r>
              <w:rPr>
                <w:rFonts w:eastAsia="Microsoft YaHei"/>
                <w:sz w:val="20"/>
                <w:szCs w:val="20"/>
              </w:rPr>
              <w:t>,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NEC, MediaTek, Xiaomi, </w:t>
            </w:r>
            <w:proofErr w:type="spellStart"/>
            <w:r>
              <w:rPr>
                <w:rFonts w:eastAsia="Microsoft YaHei"/>
                <w:sz w:val="20"/>
                <w:szCs w:val="20"/>
              </w:rPr>
              <w:t>Spreadtrum</w:t>
            </w:r>
            <w:proofErr w:type="spellEnd"/>
            <w:r>
              <w:rPr>
                <w:rFonts w:eastAsia="Microsoft YaHei"/>
                <w:sz w:val="20"/>
                <w:szCs w:val="20"/>
              </w:rPr>
              <w:t xml:space="preserve">, NTT DOCOMO, Qualcomm, Futurewei, </w:t>
            </w:r>
            <w:proofErr w:type="spellStart"/>
            <w:r>
              <w:rPr>
                <w:rFonts w:eastAsia="Microsoft YaHei"/>
                <w:sz w:val="20"/>
                <w:szCs w:val="20"/>
              </w:rPr>
              <w:t>InterDigital</w:t>
            </w:r>
            <w:proofErr w:type="spellEnd"/>
            <w:r>
              <w:rPr>
                <w:rFonts w:eastAsia="Microsoft YaHei"/>
                <w:sz w:val="20"/>
                <w:szCs w:val="20"/>
              </w:rPr>
              <w:t>,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MediaTek, Xiaomi, Sharp, NTT DOCOMO, Qualcomm, LG, Lenovo/</w:t>
            </w:r>
            <w:proofErr w:type="spellStart"/>
            <w:r>
              <w:rPr>
                <w:rFonts w:eastAsia="Microsoft YaHei"/>
                <w:sz w:val="20"/>
                <w:szCs w:val="20"/>
              </w:rPr>
              <w:t>MotM</w:t>
            </w:r>
            <w:proofErr w:type="spellEnd"/>
          </w:p>
        </w:tc>
      </w:tr>
    </w:tbl>
    <w:p w14:paraId="4D49E99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w:t>
      </w:r>
      <w:proofErr w:type="spellStart"/>
      <w:r>
        <w:rPr>
          <w:rFonts w:eastAsia="Microsoft YaHei"/>
          <w:sz w:val="20"/>
          <w:szCs w:val="20"/>
        </w:rPr>
        <w:t>gNB</w:t>
      </w:r>
      <w:proofErr w:type="spellEnd"/>
      <w:r>
        <w:rPr>
          <w:rFonts w:eastAsia="Microsoft YaHei"/>
          <w:sz w:val="20"/>
          <w:szCs w:val="20"/>
        </w:rPr>
        <w:t xml:space="preserve"> signaling to indicate the location of the available slot to transmit SRS, while the essence of Alt 2 is to use DCI to indicate the location of SRS transmission </w:t>
      </w:r>
      <w:r>
        <w:rPr>
          <w:rFonts w:eastAsia="Microsoft YaHei"/>
          <w:sz w:val="20"/>
          <w:szCs w:val="20"/>
        </w:rPr>
        <w:lastRenderedPageBreak/>
        <w:t xml:space="preserve">slot. Hence Alt 1 and Alt 2 are not mutually excluded. Several companies like Futurewei, Samsung, etc., propose to merge Alt 1 and Alt 2. </w:t>
      </w:r>
      <w:r>
        <w:rPr>
          <w:rFonts w:eastAsia="Microsoft YaHei"/>
          <w:sz w:val="20"/>
          <w:szCs w:val="20"/>
          <w:u w:val="single"/>
        </w:rPr>
        <w:t>To progress, the following merged solution between Alt 1 and Alt 2 is FL’s suggestion.</w:t>
      </w:r>
    </w:p>
    <w:p w14:paraId="27932A43"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1:</w:t>
      </w:r>
      <w:r>
        <w:rPr>
          <w:rFonts w:eastAsia="Microsoft YaHei"/>
          <w:i/>
          <w:sz w:val="20"/>
          <w:szCs w:val="20"/>
        </w:rPr>
        <w:t xml:space="preserve"> A given aperiodic SRS resource set is transmitted in the </w:t>
      </w:r>
      <w:ins w:id="2" w:author="ZTE" w:date="2020-11-03T20:44:00Z">
        <w:r w:rsidR="0023169C">
          <w:rPr>
            <w:rFonts w:eastAsia="Microsoft YaHei"/>
            <w:i/>
            <w:sz w:val="20"/>
            <w:szCs w:val="20"/>
          </w:rPr>
          <w:t>(</w:t>
        </w:r>
      </w:ins>
      <w:r>
        <w:rPr>
          <w:rFonts w:eastAsia="Microsoft YaHei"/>
          <w:i/>
          <w:sz w:val="20"/>
          <w:szCs w:val="20"/>
        </w:rPr>
        <w:t>k</w:t>
      </w:r>
      <w:ins w:id="3" w:author="ZTE" w:date="2020-11-03T20:44:00Z">
        <w:r w:rsidR="0023169C">
          <w:rPr>
            <w:rFonts w:eastAsia="Microsoft YaHei"/>
            <w:i/>
            <w:sz w:val="20"/>
            <w:szCs w:val="20"/>
          </w:rPr>
          <w:t>+1)</w:t>
        </w:r>
      </w:ins>
      <w:r>
        <w:rPr>
          <w:rFonts w:eastAsia="Microsoft YaHei"/>
          <w:i/>
          <w:sz w:val="20"/>
          <w:szCs w:val="20"/>
        </w:rPr>
        <w:t>-</w:t>
      </w:r>
      <w:proofErr w:type="spellStart"/>
      <w:r>
        <w:rPr>
          <w:rFonts w:eastAsia="Microsoft YaHei"/>
          <w:i/>
          <w:sz w:val="20"/>
          <w:szCs w:val="20"/>
        </w:rPr>
        <w:t>th</w:t>
      </w:r>
      <w:proofErr w:type="spellEnd"/>
      <w:r>
        <w:rPr>
          <w:rFonts w:eastAsia="Microsoft YaHei"/>
          <w:i/>
          <w:sz w:val="20"/>
          <w:szCs w:val="20"/>
        </w:rPr>
        <w:t xml:space="preserve"> available slot </w:t>
      </w:r>
      <w:del w:id="4" w:author="ZTE" w:date="2020-11-03T04:50:00Z">
        <w:r>
          <w:rPr>
            <w:rFonts w:eastAsia="Microsoft YaHei"/>
            <w:i/>
            <w:sz w:val="20"/>
            <w:szCs w:val="20"/>
          </w:rPr>
          <w:delText xml:space="preserve">after </w:delText>
        </w:r>
      </w:del>
      <w:ins w:id="5" w:author="ZTE" w:date="2020-11-03T04:50:00Z">
        <w:r>
          <w:rPr>
            <w:rFonts w:eastAsia="Microsoft YaHei"/>
            <w:i/>
            <w:sz w:val="20"/>
            <w:szCs w:val="20"/>
          </w:rPr>
          <w:t xml:space="preserve">counting from </w:t>
        </w:r>
      </w:ins>
      <w:r>
        <w:rPr>
          <w:rFonts w:eastAsia="Microsoft YaHei"/>
          <w:i/>
          <w:sz w:val="20"/>
          <w:szCs w:val="20"/>
        </w:rPr>
        <w:t>a reference slot, where k is determined from DCI</w:t>
      </w:r>
      <w:ins w:id="6" w:author="ZTE" w:date="2020-11-03T04:50:00Z">
        <w:r>
          <w:rPr>
            <w:rFonts w:eastAsia="Microsoft YaHei"/>
            <w:i/>
            <w:sz w:val="20"/>
            <w:szCs w:val="20"/>
          </w:rPr>
          <w:t>, or RRC (if only one value of k is configured in RRC)</w:t>
        </w:r>
      </w:ins>
      <w:ins w:id="7" w:author="ZTE" w:date="2020-11-03T20:44:00Z">
        <w:r w:rsidR="0023169C">
          <w:rPr>
            <w:rFonts w:eastAsia="Microsoft YaHei"/>
            <w:i/>
            <w:sz w:val="20"/>
            <w:szCs w:val="20"/>
          </w:rPr>
          <w:t>, and the candidate value</w:t>
        </w:r>
      </w:ins>
      <w:ins w:id="8" w:author="ZTE" w:date="2020-11-03T21:30:00Z">
        <w:r w:rsidR="000807EB">
          <w:rPr>
            <w:rFonts w:eastAsia="Microsoft YaHei"/>
            <w:i/>
            <w:sz w:val="20"/>
            <w:szCs w:val="20"/>
          </w:rPr>
          <w:t>s</w:t>
        </w:r>
      </w:ins>
      <w:ins w:id="9" w:author="ZTE" w:date="2020-11-03T20:44:00Z">
        <w:r w:rsidR="0023169C">
          <w:rPr>
            <w:rFonts w:eastAsia="Microsoft YaHei"/>
            <w:i/>
            <w:sz w:val="20"/>
            <w:szCs w:val="20"/>
          </w:rPr>
          <w:t xml:space="preserve"> of k </w:t>
        </w:r>
      </w:ins>
      <w:ins w:id="10" w:author="ZTE" w:date="2020-11-03T21:29:00Z">
        <w:r w:rsidR="00684ACD">
          <w:rPr>
            <w:rFonts w:eastAsia="Microsoft YaHei" w:hint="eastAsia"/>
            <w:i/>
            <w:sz w:val="20"/>
            <w:szCs w:val="20"/>
          </w:rPr>
          <w:t>at</w:t>
        </w:r>
        <w:r w:rsidR="00684ACD">
          <w:rPr>
            <w:rFonts w:eastAsia="Microsoft YaHei"/>
            <w:i/>
            <w:sz w:val="20"/>
            <w:szCs w:val="20"/>
          </w:rPr>
          <w:t xml:space="preserve"> least </w:t>
        </w:r>
        <w:r w:rsidR="000807EB">
          <w:rPr>
            <w:rFonts w:eastAsia="Microsoft YaHei" w:hint="eastAsia"/>
            <w:i/>
            <w:sz w:val="20"/>
            <w:szCs w:val="20"/>
          </w:rPr>
          <w:t>include</w:t>
        </w:r>
      </w:ins>
      <w:ins w:id="11" w:author="ZTE" w:date="2020-11-03T20:44:00Z">
        <w:r w:rsidR="0023169C">
          <w:rPr>
            <w:rFonts w:eastAsia="Microsoft YaHei"/>
            <w:i/>
            <w:sz w:val="20"/>
            <w:szCs w:val="20"/>
          </w:rPr>
          <w:t xml:space="preserve"> 0</w:t>
        </w:r>
      </w:ins>
      <w:r>
        <w:rPr>
          <w:rFonts w:eastAsia="Microsoft YaHei"/>
          <w:i/>
          <w:sz w:val="20"/>
          <w:szCs w:val="20"/>
        </w:rPr>
        <w:t>. Adopt at least one of the following options for the reference slot.</w:t>
      </w:r>
    </w:p>
    <w:p w14:paraId="53C90F1A"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1: Reference slot is the slot with the triggering DCI.</w:t>
      </w:r>
    </w:p>
    <w:p w14:paraId="63552C37" w14:textId="77777777" w:rsidR="008A23BD" w:rsidRDefault="00A93A50">
      <w:pPr>
        <w:pStyle w:val="ListParagraph"/>
        <w:widowControl w:val="0"/>
        <w:numPr>
          <w:ilvl w:val="0"/>
          <w:numId w:val="14"/>
        </w:numPr>
        <w:snapToGrid w:val="0"/>
        <w:spacing w:before="120" w:after="120" w:line="240" w:lineRule="auto"/>
        <w:jc w:val="both"/>
        <w:rPr>
          <w:ins w:id="12" w:author="ZTE" w:date="2020-11-02T09:25:00Z"/>
          <w:rFonts w:eastAsia="Microsoft YaHei"/>
          <w:i/>
          <w:sz w:val="20"/>
          <w:szCs w:val="20"/>
        </w:rPr>
      </w:pPr>
      <w:r>
        <w:rPr>
          <w:rFonts w:eastAsia="Microsoft YaHei"/>
          <w:i/>
          <w:sz w:val="20"/>
          <w:szCs w:val="20"/>
        </w:rPr>
        <w:t>Opt. 2: Reference slot is the slot indicated by the legacy triggering offset.</w:t>
      </w:r>
    </w:p>
    <w:p w14:paraId="558E16AA" w14:textId="30C0F4A3" w:rsidR="008A23BD" w:rsidRDefault="00A93A50">
      <w:pPr>
        <w:pStyle w:val="ListParagraph"/>
        <w:widowControl w:val="0"/>
        <w:numPr>
          <w:ilvl w:val="0"/>
          <w:numId w:val="14"/>
        </w:numPr>
        <w:snapToGrid w:val="0"/>
        <w:spacing w:before="120" w:after="120" w:line="240" w:lineRule="auto"/>
        <w:jc w:val="both"/>
        <w:rPr>
          <w:ins w:id="13" w:author="ZTE" w:date="2020-11-03T20:45:00Z"/>
          <w:rFonts w:eastAsia="Microsoft YaHei"/>
          <w:i/>
          <w:sz w:val="20"/>
          <w:szCs w:val="20"/>
        </w:rPr>
      </w:pPr>
      <w:ins w:id="14" w:author="ZTE" w:date="2020-11-03T04:51:00Z">
        <w:r>
          <w:rPr>
            <w:rFonts w:eastAsia="Microsoft YaHei"/>
            <w:i/>
            <w:sz w:val="20"/>
            <w:szCs w:val="20"/>
          </w:rPr>
          <w:t>FFS the detailed definition of “available slot”</w:t>
        </w:r>
      </w:ins>
      <w:ins w:id="15" w:author="ZTE" w:date="2020-11-03T20:44:00Z">
        <w:r w:rsidR="005A691D">
          <w:rPr>
            <w:rFonts w:eastAsia="Microsoft YaHei"/>
            <w:i/>
            <w:sz w:val="20"/>
            <w:szCs w:val="20"/>
          </w:rPr>
          <w:t xml:space="preserve"> </w:t>
        </w:r>
      </w:ins>
      <w:ins w:id="16" w:author="ZTE" w:date="2020-11-03T21:04:00Z">
        <w:r w:rsidR="008A1FF7">
          <w:rPr>
            <w:rFonts w:eastAsia="Microsoft YaHei" w:hint="eastAsia"/>
            <w:i/>
            <w:sz w:val="20"/>
            <w:szCs w:val="20"/>
          </w:rPr>
          <w:t>considering</w:t>
        </w:r>
      </w:ins>
      <w:ins w:id="17" w:author="ZTE" w:date="2020-11-03T20:44:00Z">
        <w:r w:rsidR="005A691D">
          <w:rPr>
            <w:rFonts w:eastAsia="Microsoft YaHei"/>
            <w:i/>
            <w:sz w:val="20"/>
            <w:szCs w:val="20"/>
          </w:rPr>
          <w:t xml:space="preserve"> UE processing complexity</w:t>
        </w:r>
      </w:ins>
      <w:ins w:id="18" w:author="ZTE" w:date="2020-11-04T05:44:00Z">
        <w:r w:rsidR="00201223">
          <w:rPr>
            <w:rFonts w:eastAsia="Microsoft YaHei"/>
            <w:i/>
            <w:sz w:val="20"/>
            <w:szCs w:val="20"/>
          </w:rPr>
          <w:t xml:space="preserve"> </w:t>
        </w:r>
        <w:r w:rsidR="00201223">
          <w:rPr>
            <w:rFonts w:eastAsia="Microsoft YaHei" w:hint="eastAsia"/>
            <w:i/>
            <w:sz w:val="20"/>
            <w:szCs w:val="20"/>
          </w:rPr>
          <w:t>and</w:t>
        </w:r>
        <w:r w:rsidR="00201223">
          <w:rPr>
            <w:rFonts w:eastAsia="Microsoft YaHei"/>
            <w:i/>
            <w:sz w:val="20"/>
            <w:szCs w:val="20"/>
          </w:rPr>
          <w:t xml:space="preserve"> timeline</w:t>
        </w:r>
      </w:ins>
      <w:ins w:id="19" w:author="ZTE" w:date="2020-11-03T20:44:00Z">
        <w:r w:rsidR="005A691D">
          <w:rPr>
            <w:rFonts w:eastAsia="Microsoft YaHei"/>
            <w:i/>
            <w:sz w:val="20"/>
            <w:szCs w:val="20"/>
          </w:rPr>
          <w:t xml:space="preserve"> </w:t>
        </w:r>
      </w:ins>
      <w:ins w:id="20" w:author="ZTE" w:date="2020-11-03T20:45:00Z">
        <w:r w:rsidR="005A691D">
          <w:rPr>
            <w:rFonts w:eastAsia="Microsoft YaHei"/>
            <w:i/>
            <w:sz w:val="20"/>
            <w:szCs w:val="20"/>
          </w:rPr>
          <w:t>to determine available slot, e.g.,</w:t>
        </w:r>
      </w:ins>
    </w:p>
    <w:p w14:paraId="47086C0C" w14:textId="6202DACE" w:rsidR="005A691D" w:rsidRDefault="007F4515" w:rsidP="00247D37">
      <w:pPr>
        <w:pStyle w:val="ListParagraph"/>
        <w:widowControl w:val="0"/>
        <w:numPr>
          <w:ilvl w:val="1"/>
          <w:numId w:val="14"/>
        </w:numPr>
        <w:snapToGrid w:val="0"/>
        <w:spacing w:before="120" w:after="120" w:line="240" w:lineRule="auto"/>
        <w:jc w:val="both"/>
        <w:rPr>
          <w:rFonts w:eastAsia="Microsoft YaHei"/>
          <w:i/>
          <w:sz w:val="20"/>
          <w:szCs w:val="20"/>
        </w:rPr>
      </w:pPr>
      <w:ins w:id="21" w:author="ZTE" w:date="2020-11-04T08:15:00Z">
        <w:r>
          <w:rPr>
            <w:rFonts w:eastAsia="Microsoft YaHei"/>
            <w:i/>
            <w:sz w:val="20"/>
            <w:szCs w:val="20"/>
          </w:rPr>
          <w:t>Based on only RRC configuration,</w:t>
        </w:r>
        <w:r w:rsidRPr="00112F4E">
          <w:rPr>
            <w:rFonts w:eastAsia="Microsoft YaHei"/>
            <w:i/>
            <w:sz w:val="20"/>
            <w:szCs w:val="20"/>
          </w:rPr>
          <w:t xml:space="preserve"> </w:t>
        </w:r>
      </w:ins>
      <w:ins w:id="22" w:author="ZTE" w:date="2020-11-03T20:45:00Z">
        <w:r w:rsidR="00112F4E" w:rsidRPr="00112F4E">
          <w:rPr>
            <w:rFonts w:eastAsia="Microsoft YaHei"/>
            <w:i/>
            <w:sz w:val="20"/>
            <w:szCs w:val="20"/>
          </w:rPr>
          <w:t>“</w:t>
        </w:r>
      </w:ins>
      <w:ins w:id="23" w:author="ZTE" w:date="2020-11-04T08:15:00Z">
        <w:r>
          <w:rPr>
            <w:rFonts w:eastAsia="Microsoft YaHei"/>
            <w:i/>
            <w:sz w:val="20"/>
            <w:szCs w:val="20"/>
          </w:rPr>
          <w:t>a</w:t>
        </w:r>
      </w:ins>
      <w:ins w:id="24" w:author="ZTE" w:date="2020-11-03T20:45:00Z">
        <w:r w:rsidR="00112F4E" w:rsidRPr="00112F4E">
          <w:rPr>
            <w:rFonts w:eastAsia="Microsoft YaHei"/>
            <w:i/>
            <w:sz w:val="20"/>
            <w:szCs w:val="20"/>
          </w:rPr>
          <w:t>vailable slot” is the slot satisfy</w:t>
        </w:r>
      </w:ins>
      <w:ins w:id="25" w:author="ZTE" w:date="2020-11-03T20:46:00Z">
        <w:r w:rsidR="00112F4E">
          <w:rPr>
            <w:rFonts w:eastAsia="Microsoft YaHei"/>
            <w:i/>
            <w:sz w:val="20"/>
            <w:szCs w:val="20"/>
          </w:rPr>
          <w:t>ing</w:t>
        </w:r>
      </w:ins>
      <w:ins w:id="26" w:author="ZTE" w:date="2020-11-03T20:45:00Z">
        <w:r w:rsidR="00112F4E" w:rsidRPr="00112F4E">
          <w:rPr>
            <w:rFonts w:eastAsia="Microsoft YaHei"/>
            <w:i/>
            <w:sz w:val="20"/>
            <w:szCs w:val="20"/>
          </w:rPr>
          <w:t>: there are available UL symbol(s) for the configured time-domain location(s) in a slot for all the SRS resou</w:t>
        </w:r>
        <w:r w:rsidR="00391449">
          <w:rPr>
            <w:rFonts w:eastAsia="Microsoft YaHei"/>
            <w:i/>
            <w:sz w:val="20"/>
            <w:szCs w:val="20"/>
          </w:rPr>
          <w:t xml:space="preserve">rces in the resource set and </w:t>
        </w:r>
        <w:r w:rsidR="00112F4E" w:rsidRPr="00112F4E">
          <w:rPr>
            <w:rFonts w:eastAsia="Microsoft YaHei"/>
            <w:i/>
            <w:sz w:val="20"/>
            <w:szCs w:val="20"/>
          </w:rPr>
          <w:t>it satisfies the minimum timing requirement between triggering PDCCH and all the SRS resources in the resource set</w:t>
        </w:r>
      </w:ins>
    </w:p>
    <w:p w14:paraId="2925DE9B" w14:textId="77777777" w:rsidR="008A23BD" w:rsidRDefault="00A93A50">
      <w:pPr>
        <w:pStyle w:val="ListParagraph"/>
        <w:widowControl w:val="0"/>
        <w:numPr>
          <w:ilvl w:val="0"/>
          <w:numId w:val="14"/>
        </w:numPr>
        <w:snapToGrid w:val="0"/>
        <w:spacing w:before="120" w:after="120" w:line="240" w:lineRule="auto"/>
        <w:jc w:val="both"/>
        <w:rPr>
          <w:ins w:id="27" w:author="ZTE" w:date="2020-11-03T04:51:00Z"/>
          <w:rFonts w:eastAsia="Microsoft YaHei"/>
          <w:i/>
          <w:sz w:val="20"/>
          <w:szCs w:val="20"/>
        </w:rPr>
      </w:pPr>
      <w:ins w:id="28" w:author="ZTE" w:date="2020-11-03T04:51:00Z">
        <w:r>
          <w:rPr>
            <w:rFonts w:eastAsia="Microsoft YaHei"/>
            <w:i/>
            <w:sz w:val="20"/>
            <w:szCs w:val="20"/>
          </w:rPr>
          <w:t xml:space="preserve">FFS </w:t>
        </w:r>
      </w:ins>
      <w:ins w:id="29" w:author="ZTE" w:date="2020-11-03T04:52:00Z">
        <w:r>
          <w:rPr>
            <w:rFonts w:eastAsia="Microsoft YaHei"/>
            <w:i/>
            <w:sz w:val="20"/>
            <w:szCs w:val="20"/>
          </w:rPr>
          <w:t>explicit or implicit indication of k</w:t>
        </w:r>
      </w:ins>
    </w:p>
    <w:p w14:paraId="2CD99669"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ins w:id="30" w:author="ZTE" w:date="2020-11-02T09:25:00Z">
        <w:r>
          <w:rPr>
            <w:i/>
            <w:iCs/>
            <w:sz w:val="20"/>
            <w:szCs w:val="20"/>
          </w:rPr>
          <w:t>FFS whether updating</w:t>
        </w:r>
      </w:ins>
      <w:ins w:id="31" w:author="ZTE" w:date="2020-11-02T09:37:00Z">
        <w:r>
          <w:rPr>
            <w:i/>
            <w:iCs/>
            <w:sz w:val="20"/>
            <w:szCs w:val="20"/>
          </w:rPr>
          <w:t xml:space="preserve"> candidate</w:t>
        </w:r>
      </w:ins>
      <w:ins w:id="32" w:author="ZTE" w:date="2020-11-02T09:25:00Z">
        <w:r>
          <w:rPr>
            <w:i/>
            <w:iCs/>
            <w:sz w:val="20"/>
            <w:szCs w:val="20"/>
          </w:rPr>
          <w:t xml:space="preserve"> triggering offset</w:t>
        </w:r>
      </w:ins>
      <w:ins w:id="33" w:author="ZTE" w:date="2020-11-02T09:37:00Z">
        <w:r>
          <w:rPr>
            <w:i/>
            <w:iCs/>
            <w:sz w:val="20"/>
            <w:szCs w:val="20"/>
          </w:rPr>
          <w:t>s</w:t>
        </w:r>
      </w:ins>
      <w:ins w:id="34"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Microsoft YaHei"/>
          <w:sz w:val="20"/>
          <w:szCs w:val="20"/>
        </w:rPr>
      </w:pPr>
    </w:p>
    <w:p w14:paraId="725C74D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with changing ‘available slot’ to ‘slot’. We prefer to avoid additional discussion and decision how to define ‘available’ slot and how </w:t>
            </w:r>
            <w:proofErr w:type="spellStart"/>
            <w:r>
              <w:rPr>
                <w:rFonts w:eastAsia="Microsoft YaHei"/>
                <w:sz w:val="20"/>
                <w:szCs w:val="20"/>
              </w:rPr>
              <w:t>gNB</w:t>
            </w:r>
            <w:proofErr w:type="spellEnd"/>
            <w:r>
              <w:rPr>
                <w:rFonts w:eastAsia="Microsoft YaHei"/>
                <w:sz w:val="20"/>
                <w:szCs w:val="20"/>
              </w:rPr>
              <w:t xml:space="preserve">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251BD69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Microsoft YaHei"/>
                <w:i/>
                <w:sz w:val="20"/>
                <w:szCs w:val="20"/>
              </w:rPr>
            </w:pPr>
            <w:r w:rsidRPr="00F76BFA">
              <w:rPr>
                <w:rFonts w:eastAsia="Microsoft YaHei"/>
                <w:b/>
                <w:i/>
                <w:sz w:val="20"/>
                <w:szCs w:val="20"/>
              </w:rPr>
              <w:t>FL proposal:</w:t>
            </w:r>
            <w:r>
              <w:rPr>
                <w:rFonts w:eastAsia="Microsoft YaHei"/>
                <w:b/>
                <w:i/>
                <w:sz w:val="20"/>
                <w:szCs w:val="20"/>
              </w:rPr>
              <w:t xml:space="preserve"> </w:t>
            </w: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w:t>
            </w:r>
            <w:r>
              <w:rPr>
                <w:rFonts w:eastAsia="Microsoft YaHei"/>
                <w:i/>
                <w:sz w:val="20"/>
                <w:szCs w:val="20"/>
              </w:rPr>
              <w:t>.</w:t>
            </w:r>
          </w:p>
          <w:p w14:paraId="2A49E1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Then, another question is that: Does k-</w:t>
            </w:r>
            <w:proofErr w:type="spellStart"/>
            <w:r>
              <w:rPr>
                <w:rFonts w:eastAsia="Microsoft YaHei"/>
                <w:sz w:val="20"/>
                <w:szCs w:val="20"/>
              </w:rPr>
              <w:t>th</w:t>
            </w:r>
            <w:proofErr w:type="spellEnd"/>
            <w:r>
              <w:rPr>
                <w:rFonts w:eastAsia="Microsoft YaHei"/>
                <w:sz w:val="20"/>
                <w:szCs w:val="20"/>
              </w:rPr>
              <w:t xml:space="preserve">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Microsoft YaHei"/>
                <w:sz w:val="20"/>
                <w:szCs w:val="20"/>
              </w:rPr>
              <w:lastRenderedPageBreak/>
              <w:t>discussed.</w:t>
            </w:r>
          </w:p>
          <w:p w14:paraId="3A756786" w14:textId="77777777" w:rsidR="008C76EF" w:rsidRDefault="008C76EF">
            <w:pPr>
              <w:widowControl w:val="0"/>
              <w:snapToGrid w:val="0"/>
              <w:spacing w:before="120" w:after="120" w:line="240" w:lineRule="auto"/>
              <w:rPr>
                <w:rFonts w:eastAsia="Microsoft YaHei"/>
                <w:sz w:val="20"/>
                <w:szCs w:val="20"/>
              </w:rPr>
            </w:pPr>
          </w:p>
          <w:p w14:paraId="451149A2" w14:textId="77777777" w:rsidR="008C76EF" w:rsidRPr="008C76EF" w:rsidRDefault="008C76EF" w:rsidP="008C76EF">
            <w:pPr>
              <w:widowControl w:val="0"/>
              <w:snapToGrid w:val="0"/>
              <w:spacing w:before="120" w:after="120" w:line="240" w:lineRule="auto"/>
              <w:rPr>
                <w:rFonts w:eastAsia="Microsoft YaHei"/>
                <w:b/>
                <w:color w:val="FF0000"/>
                <w:sz w:val="20"/>
                <w:szCs w:val="20"/>
              </w:rPr>
            </w:pPr>
            <w:r w:rsidRPr="008C76EF">
              <w:rPr>
                <w:rFonts w:eastAsia="Microsoft YaHei"/>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 xml:space="preserve">From our side, we do not want to introduce DCI based </w:t>
            </w:r>
            <w:proofErr w:type="spellStart"/>
            <w:r>
              <w:rPr>
                <w:rFonts w:eastAsia="Microsoft YaHei"/>
                <w:sz w:val="20"/>
                <w:szCs w:val="20"/>
              </w:rPr>
              <w:t>SlotOffset</w:t>
            </w:r>
            <w:proofErr w:type="spellEnd"/>
            <w:r>
              <w:rPr>
                <w:rFonts w:eastAsia="Microsoft YaHei"/>
                <w:sz w:val="20"/>
                <w:szCs w:val="20"/>
              </w:rPr>
              <w:t xml:space="preserve"> indication, we have concerns on both explicit DCI and implicit DCI as we pointed out in </w:t>
            </w:r>
            <w:proofErr w:type="spellStart"/>
            <w:r>
              <w:rPr>
                <w:rFonts w:eastAsia="Microsoft YaHei"/>
                <w:sz w:val="20"/>
                <w:szCs w:val="20"/>
              </w:rPr>
              <w:t>Tdocs</w:t>
            </w:r>
            <w:proofErr w:type="spellEnd"/>
            <w:r>
              <w:rPr>
                <w:rFonts w:eastAsia="Microsoft YaHei"/>
                <w:sz w:val="20"/>
                <w:szCs w:val="20"/>
              </w:rPr>
              <w:t xml:space="preserve"> and above. </w:t>
            </w:r>
          </w:p>
          <w:p w14:paraId="7076567A"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For the current version, one comment is the k value can be from 0, so better with (k+1</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th</w:t>
            </w:r>
            <w:proofErr w:type="spellEnd"/>
            <w:r>
              <w:rPr>
                <w:rFonts w:eastAsia="Microsoft YaHei"/>
                <w:sz w:val="20"/>
                <w:szCs w:val="20"/>
              </w:rPr>
              <w:t xml:space="preserve"> slot.</w:t>
            </w:r>
            <w:r>
              <w:rPr>
                <w:rFonts w:eastAsia="Microsoft YaHei" w:hint="eastAsia"/>
                <w:sz w:val="20"/>
                <w:szCs w:val="20"/>
              </w:rPr>
              <w:t xml:space="preserve"> </w:t>
            </w:r>
            <w:r>
              <w:rPr>
                <w:rFonts w:eastAsia="Microsoft YaHei"/>
                <w:sz w:val="20"/>
                <w:szCs w:val="20"/>
              </w:rPr>
              <w:t>Second comment is that, in our understanding, available slot has been used in LTE, such as “</w:t>
            </w:r>
            <w:r w:rsidRPr="000D3CFB">
              <w:t>to the next available UL subframe</w:t>
            </w:r>
            <w:r>
              <w:rPr>
                <w:rFonts w:eastAsia="Microsoft YaHei"/>
                <w:sz w:val="20"/>
                <w:szCs w:val="20"/>
              </w:rPr>
              <w:t xml:space="preserve">” in 36.213. We can further clarify the definition. </w:t>
            </w:r>
            <w:r>
              <w:rPr>
                <w:rFonts w:eastAsia="Microsoft YaHei" w:hint="eastAsia"/>
                <w:sz w:val="20"/>
                <w:szCs w:val="20"/>
              </w:rPr>
              <w:t>T</w:t>
            </w:r>
            <w:r>
              <w:rPr>
                <w:rFonts w:eastAsia="Microsoft YaHei"/>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Pr>
                <w:rFonts w:eastAsia="Microsoft YaHei"/>
                <w:b/>
                <w:i/>
                <w:sz w:val="20"/>
                <w:szCs w:val="20"/>
                <w:highlight w:val="yellow"/>
              </w:rPr>
              <w:t xml:space="preserve"> 1</w:t>
            </w:r>
            <w:r w:rsidRPr="003256DA">
              <w:rPr>
                <w:rFonts w:eastAsia="Microsoft YaHei"/>
                <w:b/>
                <w:i/>
                <w:sz w:val="20"/>
                <w:szCs w:val="20"/>
                <w:highlight w:val="yellow"/>
              </w:rPr>
              <w:t>:</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w:t>
            </w:r>
            <w:r>
              <w:rPr>
                <w:rFonts w:eastAsia="Microsoft YaHei"/>
                <w:i/>
                <w:sz w:val="20"/>
                <w:szCs w:val="20"/>
              </w:rPr>
              <w:t>(</w:t>
            </w:r>
            <w:r w:rsidRPr="003256DA">
              <w:rPr>
                <w:rFonts w:eastAsia="Microsoft YaHei"/>
                <w:i/>
                <w:sz w:val="20"/>
                <w:szCs w:val="20"/>
              </w:rPr>
              <w:t>k</w:t>
            </w:r>
            <w:r w:rsidRPr="00FB5E0D">
              <w:rPr>
                <w:rFonts w:eastAsia="Microsoft YaHei"/>
                <w:i/>
                <w:color w:val="FF0000"/>
                <w:sz w:val="20"/>
                <w:szCs w:val="20"/>
              </w:rPr>
              <w:t>+1</w:t>
            </w:r>
            <w:r>
              <w:rPr>
                <w:rFonts w:eastAsia="Microsoft YaHei"/>
                <w:i/>
                <w:sz w:val="20"/>
                <w:szCs w:val="20"/>
              </w:rPr>
              <w:t>)</w:t>
            </w:r>
            <w:r w:rsidRPr="003256DA">
              <w:rPr>
                <w:rFonts w:eastAsia="Microsoft YaHei"/>
                <w:i/>
                <w:sz w:val="20"/>
                <w:szCs w:val="20"/>
              </w:rPr>
              <w:t>-</w:t>
            </w:r>
            <w:proofErr w:type="spellStart"/>
            <w:r w:rsidRPr="003256DA">
              <w:rPr>
                <w:rFonts w:eastAsia="Microsoft YaHei"/>
                <w:i/>
                <w:sz w:val="20"/>
                <w:szCs w:val="20"/>
              </w:rPr>
              <w:t>th</w:t>
            </w:r>
            <w:proofErr w:type="spellEnd"/>
            <w:r w:rsidRPr="003256DA">
              <w:rPr>
                <w:rFonts w:eastAsia="Microsoft YaHei"/>
                <w:i/>
                <w:sz w:val="20"/>
                <w:szCs w:val="20"/>
              </w:rPr>
              <w:t xml:space="preserve"> available slot </w:t>
            </w:r>
            <w:r>
              <w:rPr>
                <w:rFonts w:eastAsia="Microsoft YaHei"/>
                <w:i/>
                <w:sz w:val="20"/>
                <w:szCs w:val="20"/>
              </w:rPr>
              <w:t>counting from</w:t>
            </w:r>
            <w:r w:rsidRPr="003256DA">
              <w:rPr>
                <w:rFonts w:eastAsia="Microsoft YaHei"/>
                <w:i/>
                <w:sz w:val="20"/>
                <w:szCs w:val="20"/>
              </w:rPr>
              <w:t xml:space="preserve"> a reference slot, where k is determined from DCI</w:t>
            </w:r>
            <w:r>
              <w:rPr>
                <w:rFonts w:eastAsia="Microsoft YaHei"/>
                <w:i/>
                <w:sz w:val="20"/>
                <w:szCs w:val="20"/>
              </w:rPr>
              <w:t>, or RRC (if only one value of k is configured in RRC)</w:t>
            </w:r>
            <w:r w:rsidRPr="003256DA">
              <w:rPr>
                <w:rFonts w:eastAsia="Microsoft YaHei"/>
                <w:i/>
                <w:sz w:val="20"/>
                <w:szCs w:val="20"/>
              </w:rPr>
              <w:t xml:space="preserve">.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6C708D0D"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Pr>
                <w:rFonts w:eastAsia="Microsoft YaHei"/>
                <w:i/>
                <w:sz w:val="20"/>
                <w:szCs w:val="20"/>
              </w:rPr>
              <w:t>with</w:t>
            </w:r>
            <w:r w:rsidRPr="003256DA">
              <w:rPr>
                <w:rFonts w:eastAsia="Microsoft YaHei"/>
                <w:i/>
                <w:sz w:val="20"/>
                <w:szCs w:val="20"/>
              </w:rPr>
              <w:t xml:space="preserve"> </w:t>
            </w:r>
            <w:r>
              <w:rPr>
                <w:rFonts w:eastAsia="Microsoft YaHei"/>
                <w:i/>
                <w:sz w:val="20"/>
                <w:szCs w:val="20"/>
              </w:rPr>
              <w:t xml:space="preserve">the </w:t>
            </w:r>
            <w:r w:rsidRPr="003256DA">
              <w:rPr>
                <w:rFonts w:eastAsia="Microsoft YaHei"/>
                <w:i/>
                <w:sz w:val="20"/>
                <w:szCs w:val="20"/>
              </w:rPr>
              <w:t>triggering DCI.</w:t>
            </w:r>
          </w:p>
          <w:p w14:paraId="34E018F8"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is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 by RRC, and may further indicated by DCI (when multiple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w:t>
            </w:r>
          </w:p>
          <w:p w14:paraId="142AB5A4"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i/>
                <w:sz w:val="20"/>
                <w:szCs w:val="20"/>
              </w:rPr>
              <w:t>Opt. 2: Reference slot is the slot indicated by the legacy triggering offset.</w:t>
            </w:r>
          </w:p>
          <w:p w14:paraId="45871C5C"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w:t>
            </w:r>
            <w:r>
              <w:rPr>
                <w:rFonts w:eastAsia="Microsoft YaHei"/>
                <w:i/>
                <w:color w:val="FF0000"/>
                <w:sz w:val="20"/>
                <w:szCs w:val="20"/>
              </w:rPr>
              <w:t>=0</w:t>
            </w:r>
            <w:r w:rsidRPr="00FB5E0D">
              <w:rPr>
                <w:rFonts w:eastAsia="Microsoft YaHei"/>
                <w:i/>
                <w:color w:val="FF0000"/>
                <w:sz w:val="20"/>
                <w:szCs w:val="20"/>
              </w:rPr>
              <w:t xml:space="preserve">, and may further indicated by DCI (when multiple </w:t>
            </w:r>
            <w:r>
              <w:rPr>
                <w:rFonts w:eastAsia="Microsoft YaHei"/>
                <w:i/>
                <w:color w:val="FF0000"/>
                <w:sz w:val="20"/>
                <w:szCs w:val="20"/>
              </w:rPr>
              <w:t>k values</w:t>
            </w:r>
            <w:r w:rsidRPr="00FB5E0D">
              <w:rPr>
                <w:rFonts w:eastAsia="Microsoft YaHei"/>
                <w:i/>
                <w:color w:val="FF0000"/>
                <w:sz w:val="20"/>
                <w:szCs w:val="20"/>
              </w:rPr>
              <w:t xml:space="preserve"> configured)</w:t>
            </w:r>
          </w:p>
          <w:p w14:paraId="6B57CFB5"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detailed definition of “available slot”,</w:t>
            </w:r>
            <w:r w:rsidRPr="00BF4C26">
              <w:rPr>
                <w:rFonts w:eastAsia="Microsoft YaHei"/>
                <w:i/>
                <w:color w:val="FF0000"/>
                <w:sz w:val="20"/>
                <w:szCs w:val="20"/>
              </w:rPr>
              <w:t xml:space="preserve"> e.g., </w:t>
            </w:r>
          </w:p>
          <w:p w14:paraId="22C84E3D"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Pr>
                <w:rFonts w:eastAsia="Microsoft YaHei"/>
                <w:i/>
                <w:color w:val="FF0000"/>
                <w:sz w:val="20"/>
                <w:szCs w:val="20"/>
              </w:rPr>
              <w:t>“Available slot” is the slot satisfy:</w:t>
            </w:r>
            <w:r>
              <w:rPr>
                <w:rFonts w:eastAsia="Microsoft YaHei"/>
                <w:i/>
                <w:sz w:val="20"/>
                <w:szCs w:val="20"/>
              </w:rPr>
              <w:t xml:space="preserve"> </w:t>
            </w:r>
            <w:r w:rsidRPr="00BF4C26">
              <w:rPr>
                <w:rFonts w:eastAsia="Microsoft YaHei"/>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explicit or implicit indication of k</w:t>
            </w:r>
          </w:p>
          <w:p w14:paraId="14D38121" w14:textId="77777777" w:rsidR="008C76EF" w:rsidRPr="008C76EF" w:rsidRDefault="008C76EF" w:rsidP="008C76EF">
            <w:pPr>
              <w:pStyle w:val="ListParagraph"/>
              <w:widowControl w:val="0"/>
              <w:numPr>
                <w:ilvl w:val="0"/>
                <w:numId w:val="21"/>
              </w:numPr>
              <w:snapToGrid w:val="0"/>
              <w:spacing w:before="120" w:after="120" w:line="240" w:lineRule="auto"/>
              <w:jc w:val="both"/>
              <w:rPr>
                <w:rFonts w:eastAsia="Microsoft YaHei"/>
                <w:sz w:val="20"/>
                <w:szCs w:val="20"/>
              </w:rPr>
            </w:pPr>
            <w:r w:rsidRPr="008C76EF">
              <w:rPr>
                <w:rFonts w:eastAsia="Microsoft YaHei"/>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hen, for Option-1 and 2, we support Option-1. If RRC is only with one value, i.e., DCI is not available, then Option-1 is more flexible than Option-2, the comparison can be found in out </w:t>
            </w:r>
            <w:proofErr w:type="spellStart"/>
            <w:r>
              <w:rPr>
                <w:rFonts w:eastAsia="Microsoft YaHei"/>
                <w:sz w:val="20"/>
                <w:szCs w:val="20"/>
              </w:rPr>
              <w:t>Tdoc</w:t>
            </w:r>
            <w:proofErr w:type="spellEnd"/>
            <w:r>
              <w:rPr>
                <w:rFonts w:eastAsia="Microsoft YaHei"/>
                <w:sz w:val="20"/>
                <w:szCs w:val="20"/>
              </w:rPr>
              <w:t xml:space="preserve">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Although the term ‘available slot’ seems simple on the surface, however it requires a lot of discussion to specify how to determine a slot as an available slot.  And even with such definition, there could some scenarios with misalignment between UE behavior and </w:t>
            </w:r>
            <w:proofErr w:type="spellStart"/>
            <w:r>
              <w:rPr>
                <w:rFonts w:eastAsia="Microsoft YaHei"/>
                <w:sz w:val="20"/>
                <w:szCs w:val="20"/>
              </w:rPr>
              <w:t>gNB</w:t>
            </w:r>
            <w:proofErr w:type="spellEnd"/>
            <w:r>
              <w:rPr>
                <w:rFonts w:eastAsia="Microsoft YaHei"/>
                <w:sz w:val="20"/>
                <w:szCs w:val="20"/>
              </w:rPr>
              <w:t xml:space="preserve"> expectation.</w:t>
            </w:r>
          </w:p>
          <w:p w14:paraId="51DEB71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w:t>
            </w:r>
            <w:proofErr w:type="spellStart"/>
            <w:r>
              <w:rPr>
                <w:rFonts w:eastAsia="Microsoft YaHei"/>
                <w:sz w:val="20"/>
                <w:szCs w:val="20"/>
              </w:rPr>
              <w:t>slotOffset</w:t>
            </w:r>
            <w:proofErr w:type="spellEnd"/>
            <w:r>
              <w:rPr>
                <w:rFonts w:eastAsia="Microsoft YaHei"/>
                <w:sz w:val="20"/>
                <w:szCs w:val="20"/>
              </w:rPr>
              <w: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Microsoft YaHei"/>
                <w:sz w:val="20"/>
                <w:szCs w:val="20"/>
              </w:rPr>
            </w:pPr>
          </w:p>
          <w:p w14:paraId="13897CAA"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w:t>
            </w:r>
            <w:r>
              <w:rPr>
                <w:rFonts w:eastAsia="Microsoft YaHei"/>
                <w:i/>
                <w:strike/>
                <w:sz w:val="20"/>
                <w:szCs w:val="20"/>
              </w:rPr>
              <w:t>available</w:t>
            </w:r>
            <w:r>
              <w:rPr>
                <w:rFonts w:eastAsia="Microsoft YaHei"/>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Microsoft YaHei"/>
                <w:i/>
                <w:sz w:val="20"/>
                <w:szCs w:val="20"/>
              </w:rPr>
            </w:pPr>
          </w:p>
          <w:p w14:paraId="01F4B85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Microsoft YaHei"/>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support the FL summary.</w:t>
            </w:r>
          </w:p>
          <w:p w14:paraId="601D301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Nokia/QC’s comment, we think it is necessary to have “available” in the main bullet. </w:t>
            </w:r>
          </w:p>
          <w:p w14:paraId="5ACA523F"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Otherwise, </w:t>
            </w:r>
            <w:proofErr w:type="spellStart"/>
            <w:r>
              <w:rPr>
                <w:rFonts w:eastAsia="Microsoft YaHei"/>
                <w:sz w:val="20"/>
                <w:szCs w:val="20"/>
              </w:rPr>
              <w:t>gNB</w:t>
            </w:r>
            <w:proofErr w:type="spellEnd"/>
            <w:r>
              <w:rPr>
                <w:rFonts w:eastAsia="Microsoft YaHei"/>
                <w:sz w:val="20"/>
                <w:szCs w:val="20"/>
              </w:rPr>
              <w:t xml:space="preserve"> still needs to send the DCI in certain locations if non-available slots (e.g., DL slots) are still counted in. Hence the flexibility issue is not solved. </w:t>
            </w:r>
          </w:p>
          <w:p w14:paraId="1EC21E2B"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w:t>
            </w:r>
            <w:proofErr w:type="spellStart"/>
            <w:r>
              <w:rPr>
                <w:rFonts w:eastAsia="Microsoft YaHei"/>
                <w:sz w:val="20"/>
                <w:szCs w:val="20"/>
              </w:rPr>
              <w:t>gNB</w:t>
            </w:r>
            <w:proofErr w:type="spellEnd"/>
            <w:r>
              <w:rPr>
                <w:rFonts w:eastAsia="Microsoft YaHei"/>
                <w:sz w:val="20"/>
                <w:szCs w:val="20"/>
              </w:rPr>
              <w:t xml:space="preserve"> signaling including DCI more efficient. </w:t>
            </w:r>
          </w:p>
          <w:p w14:paraId="180C24F3"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Huawei’s comment of adding “or RRC”, we think in the end </w:t>
            </w:r>
            <w:proofErr w:type="spellStart"/>
            <w:r>
              <w:rPr>
                <w:rFonts w:eastAsia="Microsoft YaHei"/>
                <w:sz w:val="20"/>
                <w:szCs w:val="20"/>
              </w:rPr>
              <w:t>gNB</w:t>
            </w:r>
            <w:proofErr w:type="spellEnd"/>
            <w:r>
              <w:rPr>
                <w:rFonts w:eastAsia="Microsoft YaHei"/>
                <w:sz w:val="20"/>
                <w:szCs w:val="20"/>
              </w:rPr>
              <w:t xml:space="preserve"> will configure a list of k values. If </w:t>
            </w:r>
            <w:proofErr w:type="spellStart"/>
            <w:r>
              <w:rPr>
                <w:rFonts w:eastAsia="Microsoft YaHei"/>
                <w:sz w:val="20"/>
                <w:szCs w:val="20"/>
              </w:rPr>
              <w:t>gNB</w:t>
            </w:r>
            <w:proofErr w:type="spellEnd"/>
            <w:r>
              <w:rPr>
                <w:rFonts w:eastAsia="Microsoft YaHei"/>
                <w:sz w:val="20"/>
                <w:szCs w:val="20"/>
              </w:rPr>
              <w:t xml:space="preserve">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Microsoft YaHei"/>
                <w: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Adopt at least one of the following options for the reference slot.</w:t>
            </w:r>
          </w:p>
          <w:p w14:paraId="3C7F489E"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 w:val="20"/>
                <w:szCs w:val="20"/>
              </w:rPr>
            </w:pPr>
            <w:r>
              <w:rPr>
                <w:rFonts w:eastAsia="Microsoft YaHei"/>
                <w:i/>
                <w:color w:val="FF0000"/>
                <w:sz w:val="20"/>
                <w:szCs w:val="20"/>
              </w:rPr>
              <w:lastRenderedPageBreak/>
              <w:t>FFS on ‘available slot’</w:t>
            </w:r>
          </w:p>
          <w:p w14:paraId="7A11B5C1"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Cs w:val="20"/>
              </w:rPr>
            </w:pPr>
            <w:r>
              <w:rPr>
                <w:rFonts w:eastAsia="Microsoft YaHei"/>
                <w:i/>
                <w:color w:val="FF0000"/>
                <w:sz w:val="20"/>
                <w:szCs w:val="20"/>
              </w:rPr>
              <w:t>Definition of k is FFS</w:t>
            </w:r>
          </w:p>
          <w:p w14:paraId="14769D95" w14:textId="77777777" w:rsidR="008A23BD" w:rsidRDefault="00A93A50">
            <w:pPr>
              <w:pStyle w:val="ListParagraph"/>
              <w:widowControl w:val="0"/>
              <w:numPr>
                <w:ilvl w:val="0"/>
                <w:numId w:val="18"/>
              </w:numPr>
              <w:snapToGrid w:val="0"/>
              <w:spacing w:before="120" w:after="120" w:line="240" w:lineRule="auto"/>
              <w:rPr>
                <w:rFonts w:eastAsia="Microsoft YaHei"/>
                <w:i/>
                <w:sz w:val="20"/>
                <w:szCs w:val="20"/>
              </w:rPr>
            </w:pPr>
            <w:r>
              <w:rPr>
                <w:rFonts w:eastAsia="Microsoft YaHei"/>
                <w:i/>
                <w:sz w:val="20"/>
                <w:szCs w:val="20"/>
              </w:rPr>
              <w:t>Opt. 1: Reference slot is the slot with the triggering DCI.</w:t>
            </w:r>
          </w:p>
          <w:p w14:paraId="25882955"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Opt. 2: Reference slot is the slot indicated by the legacy triggering offset.</w:t>
            </w:r>
          </w:p>
          <w:p w14:paraId="73A6714D"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also think the available slots is not clear especially for optional 1. For example, currently if </w:t>
            </w:r>
            <w:proofErr w:type="spellStart"/>
            <w:r>
              <w:rPr>
                <w:rFonts w:eastAsia="Malgun Gothic"/>
                <w:szCs w:val="20"/>
                <w:lang w:eastAsia="ko-KR"/>
              </w:rPr>
              <w:t>gNB</w:t>
            </w:r>
            <w:proofErr w:type="spellEnd"/>
            <w:r>
              <w:rPr>
                <w:rFonts w:eastAsia="Malgun Gothic"/>
                <w:szCs w:val="20"/>
                <w:lang w:eastAsia="ko-KR"/>
              </w:rPr>
              <w:t xml:space="preserve">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Microsoft YaHei"/>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w:t>
            </w:r>
            <w:proofErr w:type="spellStart"/>
            <w:r w:rsidR="006A7B8D" w:rsidRPr="00387DBD">
              <w:t>i-th</w:t>
            </w:r>
            <w:proofErr w:type="spellEnd"/>
            <w:r w:rsidR="006A7B8D" w:rsidRPr="00387DBD">
              <w:t xml:space="preserve"> SRS occasion, </w:t>
            </w:r>
            <w:r w:rsidR="006A7B8D">
              <w:t>UE can</w:t>
            </w:r>
            <w:r w:rsidR="006A7B8D" w:rsidRPr="00387DBD">
              <w:t xml:space="preserve"> try to transmit again in the (i+1)-</w:t>
            </w:r>
            <w:proofErr w:type="spellStart"/>
            <w:r w:rsidR="006A7B8D" w:rsidRPr="00387DBD">
              <w:t>th</w:t>
            </w:r>
            <w:proofErr w:type="spellEnd"/>
            <w:r w:rsidR="006A7B8D" w:rsidRPr="00387DBD">
              <w:t xml:space="preserve"> SRS occasion (given by T_SRS,1).</w:t>
            </w:r>
            <w:r>
              <w:t xml:space="preserve"> This LTE mechanism is simple and </w:t>
            </w:r>
            <w:proofErr w:type="spellStart"/>
            <w:r>
              <w:t>doen’t</w:t>
            </w:r>
            <w:proofErr w:type="spellEnd"/>
            <w:r>
              <w:t xml:space="preserve"> require this extra book keeping and processing timeline.</w:t>
            </w:r>
          </w:p>
          <w:p w14:paraId="0C4FDC44" w14:textId="77777777" w:rsidR="006A7B8D" w:rsidRDefault="006A7B8D" w:rsidP="006A7B8D">
            <w:pPr>
              <w:pStyle w:val="ListParagraph"/>
              <w:widowControl w:val="0"/>
              <w:snapToGrid w:val="0"/>
              <w:spacing w:before="120" w:after="120" w:line="240" w:lineRule="auto"/>
              <w:ind w:left="720" w:firstLine="0"/>
              <w:jc w:val="both"/>
              <w:rPr>
                <w:rFonts w:eastAsia="MS Mincho"/>
                <w:szCs w:val="20"/>
                <w:lang w:eastAsia="ja-JP"/>
              </w:rPr>
            </w:pPr>
            <w:r>
              <w:rPr>
                <w:noProof/>
              </w:rPr>
              <w:lastRenderedPageBreak/>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Microsoft YaHei"/>
              </w:rPr>
            </w:pPr>
            <w:r w:rsidRPr="009E3814">
              <w:rPr>
                <w:rFonts w:eastAsia="MS Mincho"/>
                <w:lang w:eastAsia="ja-JP"/>
              </w:rPr>
              <w:t>Regarding Huawei comment that “</w:t>
            </w:r>
            <w:r w:rsidRPr="009E3814">
              <w:t>the next available UL subframe</w:t>
            </w:r>
            <w:r w:rsidRPr="009E3814">
              <w:rPr>
                <w:rFonts w:eastAsia="Microsoft YaHei"/>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Microsoft YaHei"/>
              </w:rPr>
            </w:pPr>
            <w:r w:rsidRPr="009E3814">
              <w:rPr>
                <w:rFonts w:eastAsia="Microsoft YaHei"/>
              </w:rPr>
              <w:t xml:space="preserve">In brief, to move forward, we need to discuss a clear definition of the available slot that can be solely derived from </w:t>
            </w:r>
            <w:r>
              <w:rPr>
                <w:rFonts w:eastAsia="Microsoft YaHei"/>
              </w:rPr>
              <w:t>“</w:t>
            </w:r>
            <w:r w:rsidRPr="009E3814">
              <w:rPr>
                <w:rFonts w:eastAsia="Microsoft YaHei"/>
                <w:b/>
                <w:bCs/>
                <w:u w:val="single"/>
              </w:rPr>
              <w:t>RRC configuration</w:t>
            </w:r>
            <w:r>
              <w:rPr>
                <w:rFonts w:eastAsia="Microsoft YaHei"/>
                <w:b/>
                <w:bCs/>
                <w:u w:val="single"/>
              </w:rPr>
              <w:t>”</w:t>
            </w:r>
            <w:r w:rsidRPr="009E3814">
              <w:rPr>
                <w:rFonts w:eastAsia="Microsoft YaHei"/>
              </w:rPr>
              <w:t xml:space="preserve"> and is independent on any dynamic events. </w:t>
            </w:r>
            <w:r>
              <w:rPr>
                <w:rFonts w:eastAsia="Microsoft YaHei"/>
              </w:rPr>
              <w:t>O</w:t>
            </w:r>
            <w:r w:rsidRPr="009E3814">
              <w:rPr>
                <w:rFonts w:eastAsia="Microsoft YaHei"/>
              </w:rPr>
              <w:t xml:space="preserve">therwise, </w:t>
            </w:r>
            <w:r>
              <w:rPr>
                <w:rFonts w:eastAsia="Microsoft YaHei"/>
              </w:rPr>
              <w:t>the</w:t>
            </w:r>
            <w:r w:rsidRPr="009E3814">
              <w:rPr>
                <w:rFonts w:eastAsia="Microsoft YaHei"/>
              </w:rPr>
              <w:t xml:space="preserve"> extra overhead </w:t>
            </w:r>
            <w:r>
              <w:rPr>
                <w:rFonts w:eastAsia="Microsoft YaHei"/>
              </w:rPr>
              <w:t xml:space="preserve">and complexity </w:t>
            </w:r>
            <w:r w:rsidR="00A0578F">
              <w:rPr>
                <w:rFonts w:eastAsia="Microsoft YaHei"/>
              </w:rPr>
              <w:t>will not</w:t>
            </w:r>
            <w:r>
              <w:rPr>
                <w:rFonts w:eastAsia="Microsoft YaHei"/>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Microsoft YaHei"/>
              </w:rPr>
            </w:pPr>
          </w:p>
          <w:p w14:paraId="51D78B87" w14:textId="677E3C14" w:rsidR="00A0578F" w:rsidRDefault="006A7B8D" w:rsidP="006A7B8D">
            <w:pPr>
              <w:widowControl w:val="0"/>
              <w:snapToGrid w:val="0"/>
              <w:spacing w:before="120" w:after="120" w:line="240" w:lineRule="auto"/>
              <w:jc w:val="both"/>
              <w:rPr>
                <w:rFonts w:eastAsia="Microsoft YaHei"/>
              </w:rPr>
            </w:pPr>
            <w:r>
              <w:rPr>
                <w:rFonts w:eastAsia="Microsoft YaHei"/>
              </w:rPr>
              <w:t xml:space="preserve">Regarding </w:t>
            </w:r>
            <w:proofErr w:type="spellStart"/>
            <w:r w:rsidRPr="00AB4D23">
              <w:rPr>
                <w:rFonts w:eastAsia="Microsoft YaHei"/>
              </w:rPr>
              <w:t>Futurewei</w:t>
            </w:r>
            <w:r>
              <w:rPr>
                <w:rFonts w:eastAsia="Microsoft YaHei"/>
              </w:rPr>
              <w:t>’s</w:t>
            </w:r>
            <w:proofErr w:type="spellEnd"/>
            <w:r>
              <w:rPr>
                <w:rFonts w:eastAsia="Microsoft YaHei"/>
              </w:rPr>
              <w:t xml:space="preserve">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Microsoft YaHei"/>
              </w:rPr>
              <w:t>timing requirement between triggering PDCCH and all the SRS resources in the resource set</w:t>
            </w:r>
            <w:r>
              <w:rPr>
                <w:rFonts w:eastAsia="Microsoft YaHei"/>
              </w:rPr>
              <w:t>.</w:t>
            </w:r>
            <w:r w:rsidR="00A0578F">
              <w:rPr>
                <w:rFonts w:eastAsia="Microsoft YaHei"/>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Microsoft YaHei"/>
              </w:rPr>
            </w:pPr>
          </w:p>
          <w:p w14:paraId="08489F50" w14:textId="7C45648A" w:rsidR="006A7B8D" w:rsidRDefault="006A7B8D" w:rsidP="00A0578F">
            <w:pPr>
              <w:pStyle w:val="ListParagraph"/>
              <w:numPr>
                <w:ilvl w:val="0"/>
                <w:numId w:val="25"/>
              </w:numPr>
              <w:snapToGrid w:val="0"/>
              <w:spacing w:before="120" w:after="120"/>
            </w:pPr>
            <w:r w:rsidRPr="00A0578F">
              <w:rPr>
                <w:rFonts w:eastAsia="Microsoft YaHei"/>
                <w:i/>
                <w:sz w:val="20"/>
                <w:szCs w:val="20"/>
              </w:rPr>
              <w:t xml:space="preserve">FFS the detailed definition of “available slot” </w:t>
            </w:r>
            <w:r w:rsidRPr="00A0578F">
              <w:rPr>
                <w:rFonts w:eastAsia="Microsoft YaHei" w:hint="eastAsia"/>
                <w:i/>
                <w:sz w:val="20"/>
                <w:szCs w:val="20"/>
              </w:rPr>
              <w:t>considering</w:t>
            </w:r>
            <w:r w:rsidRPr="00A0578F">
              <w:rPr>
                <w:rFonts w:eastAsia="Microsoft YaHei"/>
                <w:i/>
                <w:sz w:val="20"/>
                <w:szCs w:val="20"/>
              </w:rPr>
              <w:t xml:space="preserve"> UE processing complexity to determine available slot based only on </w:t>
            </w:r>
            <w:r w:rsidRPr="00A0578F">
              <w:rPr>
                <w:rFonts w:eastAsia="Microsoft YaHei"/>
                <w:b/>
                <w:bCs/>
                <w:i/>
                <w:sz w:val="20"/>
                <w:szCs w:val="20"/>
              </w:rPr>
              <w:t>RRC configuration</w:t>
            </w:r>
            <w:r w:rsidRPr="00A0578F">
              <w:rPr>
                <w:rFonts w:eastAsia="Microsoft YaHei"/>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ListParagraph"/>
              <w:widowControl w:val="0"/>
              <w:numPr>
                <w:ilvl w:val="0"/>
                <w:numId w:val="14"/>
              </w:numPr>
              <w:snapToGrid w:val="0"/>
              <w:spacing w:before="120" w:after="120" w:line="240" w:lineRule="auto"/>
              <w:jc w:val="both"/>
              <w:rPr>
                <w:ins w:id="35" w:author="ZTE" w:date="2020-11-03T20:45:00Z"/>
                <w:rFonts w:eastAsia="Microsoft YaHei"/>
                <w:i/>
                <w:sz w:val="20"/>
                <w:szCs w:val="20"/>
              </w:rPr>
            </w:pPr>
            <w:ins w:id="36" w:author="ZTE" w:date="2020-11-03T04:51:00Z">
              <w:r>
                <w:rPr>
                  <w:rFonts w:eastAsia="Microsoft YaHei"/>
                  <w:i/>
                  <w:sz w:val="20"/>
                  <w:szCs w:val="20"/>
                </w:rPr>
                <w:t>FFS the detailed definition of “available slot”</w:t>
              </w:r>
            </w:ins>
            <w:ins w:id="37" w:author="ZTE" w:date="2020-11-03T20:44:00Z">
              <w:r>
                <w:rPr>
                  <w:rFonts w:eastAsia="Microsoft YaHei"/>
                  <w:i/>
                  <w:sz w:val="20"/>
                  <w:szCs w:val="20"/>
                </w:rPr>
                <w:t xml:space="preserve"> </w:t>
              </w:r>
            </w:ins>
            <w:ins w:id="38" w:author="ZTE" w:date="2020-11-03T21:04:00Z">
              <w:r>
                <w:rPr>
                  <w:rFonts w:eastAsia="Microsoft YaHei" w:hint="eastAsia"/>
                  <w:i/>
                  <w:sz w:val="20"/>
                  <w:szCs w:val="20"/>
                </w:rPr>
                <w:t>considering</w:t>
              </w:r>
            </w:ins>
            <w:ins w:id="39" w:author="ZTE" w:date="2020-11-03T20:44:00Z">
              <w:r>
                <w:rPr>
                  <w:rFonts w:eastAsia="Microsoft YaHei"/>
                  <w:i/>
                  <w:sz w:val="20"/>
                  <w:szCs w:val="20"/>
                </w:rPr>
                <w:t xml:space="preserve"> UE processing complexity</w:t>
              </w:r>
            </w:ins>
            <w:ins w:id="40" w:author="ZTE" w:date="2020-11-04T05:44:00Z">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 timeline</w:t>
              </w:r>
            </w:ins>
            <w:ins w:id="41" w:author="ZTE" w:date="2020-11-03T20:44:00Z">
              <w:r>
                <w:rPr>
                  <w:rFonts w:eastAsia="Microsoft YaHei"/>
                  <w:i/>
                  <w:sz w:val="20"/>
                  <w:szCs w:val="20"/>
                </w:rPr>
                <w:t xml:space="preserve"> </w:t>
              </w:r>
            </w:ins>
            <w:ins w:id="42" w:author="ZTE" w:date="2020-11-03T20:45:00Z">
              <w:r>
                <w:rPr>
                  <w:rFonts w:eastAsia="Microsoft YaHei"/>
                  <w:i/>
                  <w:sz w:val="20"/>
                  <w:szCs w:val="20"/>
                </w:rPr>
                <w:t>to determine available slot, e.g.,</w:t>
              </w:r>
            </w:ins>
          </w:p>
          <w:p w14:paraId="7B0A9CCC" w14:textId="4C21E3F0" w:rsidR="008C3784" w:rsidRDefault="008C3784" w:rsidP="008C3784">
            <w:pPr>
              <w:pStyle w:val="ListParagraph"/>
              <w:widowControl w:val="0"/>
              <w:numPr>
                <w:ilvl w:val="1"/>
                <w:numId w:val="14"/>
              </w:numPr>
              <w:snapToGrid w:val="0"/>
              <w:spacing w:before="120" w:after="120" w:line="240" w:lineRule="auto"/>
              <w:jc w:val="both"/>
              <w:rPr>
                <w:rFonts w:eastAsia="Microsoft YaHei"/>
                <w:i/>
                <w:sz w:val="20"/>
                <w:szCs w:val="20"/>
              </w:rPr>
            </w:pPr>
            <w:ins w:id="43" w:author="ZTE" w:date="2020-11-04T08:15:00Z">
              <w:r>
                <w:rPr>
                  <w:rFonts w:eastAsia="Microsoft YaHei"/>
                  <w:i/>
                  <w:sz w:val="20"/>
                  <w:szCs w:val="20"/>
                </w:rPr>
                <w:t>Based on only RRC configuration,</w:t>
              </w:r>
              <w:r w:rsidRPr="00112F4E">
                <w:rPr>
                  <w:rFonts w:eastAsia="Microsoft YaHei"/>
                  <w:i/>
                  <w:sz w:val="20"/>
                  <w:szCs w:val="20"/>
                </w:rPr>
                <w:t xml:space="preserve"> </w:t>
              </w:r>
            </w:ins>
            <w:ins w:id="44" w:author="ZTE" w:date="2020-11-03T20:45:00Z">
              <w:r w:rsidRPr="00112F4E">
                <w:rPr>
                  <w:rFonts w:eastAsia="Microsoft YaHei"/>
                  <w:i/>
                  <w:sz w:val="20"/>
                  <w:szCs w:val="20"/>
                </w:rPr>
                <w:t>“</w:t>
              </w:r>
            </w:ins>
            <w:ins w:id="45" w:author="ZTE" w:date="2020-11-04T08:15:00Z">
              <w:r>
                <w:rPr>
                  <w:rFonts w:eastAsia="Microsoft YaHei"/>
                  <w:i/>
                  <w:sz w:val="20"/>
                  <w:szCs w:val="20"/>
                </w:rPr>
                <w:t>a</w:t>
              </w:r>
            </w:ins>
            <w:ins w:id="46" w:author="ZTE" w:date="2020-11-03T20:45:00Z">
              <w:r w:rsidRPr="00112F4E">
                <w:rPr>
                  <w:rFonts w:eastAsia="Microsoft YaHei"/>
                  <w:i/>
                  <w:sz w:val="20"/>
                  <w:szCs w:val="20"/>
                </w:rPr>
                <w:t>vailable slot” is the slot satisfy</w:t>
              </w:r>
            </w:ins>
            <w:ins w:id="47" w:author="ZTE" w:date="2020-11-03T20:46:00Z">
              <w:r>
                <w:rPr>
                  <w:rFonts w:eastAsia="Microsoft YaHei"/>
                  <w:i/>
                  <w:sz w:val="20"/>
                  <w:szCs w:val="20"/>
                </w:rPr>
                <w:t>ing</w:t>
              </w:r>
            </w:ins>
            <w:ins w:id="48" w:author="ZTE" w:date="2020-11-03T20:45:00Z">
              <w:r w:rsidRPr="00112F4E">
                <w:rPr>
                  <w:rFonts w:eastAsia="Microsoft YaHei"/>
                  <w:i/>
                  <w:sz w:val="20"/>
                  <w:szCs w:val="20"/>
                </w:rPr>
                <w:t>: there are available UL</w:t>
              </w:r>
            </w:ins>
            <w:r>
              <w:rPr>
                <w:rFonts w:eastAsia="Microsoft YaHei"/>
                <w:i/>
                <w:sz w:val="20"/>
                <w:szCs w:val="20"/>
              </w:rPr>
              <w:t xml:space="preserve"> </w:t>
            </w:r>
            <w:ins w:id="49" w:author="高毓恺" w:date="2020-11-04T09:33:00Z">
              <w:r w:rsidRPr="008C3784">
                <w:rPr>
                  <w:rFonts w:eastAsia="Microsoft YaHei"/>
                  <w:i/>
                  <w:sz w:val="20"/>
                  <w:szCs w:val="20"/>
                  <w:highlight w:val="yellow"/>
                  <w:rPrChange w:id="50" w:author="高毓恺" w:date="2020-11-04T09:34:00Z">
                    <w:rPr>
                      <w:rFonts w:eastAsia="Microsoft YaHei"/>
                      <w:i/>
                      <w:sz w:val="20"/>
                      <w:szCs w:val="20"/>
                    </w:rPr>
                  </w:rPrChange>
                </w:rPr>
                <w:t>and/or flexible</w:t>
              </w:r>
              <w:r w:rsidRPr="00112F4E">
                <w:rPr>
                  <w:rFonts w:eastAsia="Microsoft YaHei"/>
                  <w:i/>
                  <w:sz w:val="20"/>
                  <w:szCs w:val="20"/>
                </w:rPr>
                <w:t xml:space="preserve"> </w:t>
              </w:r>
            </w:ins>
            <w:ins w:id="51" w:author="ZTE" w:date="2020-11-03T20:45:00Z">
              <w:r w:rsidRPr="00112F4E">
                <w:rPr>
                  <w:rFonts w:eastAsia="Microsoft YaHei"/>
                  <w:i/>
                  <w:sz w:val="20"/>
                  <w:szCs w:val="20"/>
                </w:rPr>
                <w:t>symbol(s) for the configured time-domain location(s) in a slot for all the SRS resou</w:t>
              </w:r>
              <w:r>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39242A">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6" w:type="dxa"/>
          </w:tcPr>
          <w:p w14:paraId="16AA4487" w14:textId="15BA12A2" w:rsidR="00F726F9" w:rsidRDefault="00F726F9" w:rsidP="0039242A">
            <w:pPr>
              <w:snapToGrid w:val="0"/>
              <w:spacing w:before="120" w:after="120"/>
              <w:rPr>
                <w:rFonts w:eastAsiaTheme="minorEastAsia"/>
                <w:szCs w:val="20"/>
              </w:rPr>
            </w:pPr>
            <w:r>
              <w:rPr>
                <w:rFonts w:eastAsiaTheme="minorEastAsia"/>
                <w:szCs w:val="20"/>
              </w:rPr>
              <w:t>Support the FL</w:t>
            </w:r>
            <w:r>
              <w:rPr>
                <w:rFonts w:eastAsiaTheme="minorEastAsia"/>
                <w:szCs w:val="20"/>
              </w:rPr>
              <w:t>’s</w:t>
            </w:r>
            <w:r>
              <w:rPr>
                <w:rFonts w:eastAsiaTheme="minorEastAsia"/>
                <w:szCs w:val="20"/>
              </w:rPr>
              <w:t xml:space="preserve"> proposal. </w:t>
            </w:r>
          </w:p>
          <w:p w14:paraId="54143903" w14:textId="7F989657" w:rsidR="00F726F9" w:rsidRDefault="00F726F9" w:rsidP="0039242A">
            <w:pPr>
              <w:snapToGrid w:val="0"/>
              <w:spacing w:before="120" w:after="120"/>
            </w:pPr>
            <w:r>
              <w:t>Regarding the “available slot” example: “</w:t>
            </w:r>
            <w:ins w:id="52" w:author="ZTE" w:date="2020-11-03T20:45:00Z">
              <w:r w:rsidRPr="00112F4E">
                <w:rPr>
                  <w:rFonts w:eastAsia="Microsoft YaHei"/>
                  <w:i/>
                  <w:sz w:val="20"/>
                  <w:szCs w:val="20"/>
                </w:rPr>
                <w:t>there are available UL symbol(s) for the configured time-domain location(s) in a slot</w:t>
              </w:r>
            </w:ins>
            <w:r>
              <w:t xml:space="preserve">”, we wonder if it makes sense to consider consecutive slots with consecutive UL symbols for the SRS to use. If yes, then it’s more likely to accommodate </w:t>
            </w:r>
            <w:proofErr w:type="gramStart"/>
            <w:r>
              <w:t>a</w:t>
            </w:r>
            <w:proofErr w:type="gramEnd"/>
            <w:r>
              <w:t xml:space="preserve"> SRS transmission.</w:t>
            </w:r>
            <w:r w:rsidR="008474B2">
              <w:t xml:space="preserve"> </w:t>
            </w:r>
            <w:proofErr w:type="gramStart"/>
            <w:r w:rsidR="008474B2">
              <w:t>Also</w:t>
            </w:r>
            <w:proofErr w:type="gramEnd"/>
            <w:r w:rsidR="008474B2">
              <w:t xml:space="preserve"> the time-domain location(s) may be configured by RRC and/or indicated by </w:t>
            </w:r>
            <w:r w:rsidR="008474B2">
              <w:lastRenderedPageBreak/>
              <w:t>DCI.</w:t>
            </w:r>
          </w:p>
          <w:p w14:paraId="43A7CA54" w14:textId="77777777" w:rsidR="00F726F9" w:rsidRDefault="00F726F9" w:rsidP="0039242A">
            <w:pPr>
              <w:snapToGrid w:val="0"/>
              <w:spacing w:before="120" w:after="120"/>
            </w:pPr>
            <w:r>
              <w:t>We also support NEC2’s addition of flexible symbols.</w:t>
            </w:r>
          </w:p>
          <w:p w14:paraId="4F953B23" w14:textId="77777777" w:rsidR="00F726F9" w:rsidRDefault="00F726F9" w:rsidP="0039242A">
            <w:pPr>
              <w:snapToGrid w:val="0"/>
              <w:spacing w:before="120" w:after="120"/>
            </w:pPr>
            <w:proofErr w:type="gramStart"/>
            <w:r>
              <w:t>So</w:t>
            </w:r>
            <w:proofErr w:type="gramEnd"/>
            <w:r>
              <w:t xml:space="preserve"> we suggest:</w:t>
            </w:r>
          </w:p>
          <w:p w14:paraId="78BFA406" w14:textId="77777777" w:rsidR="00F726F9" w:rsidRDefault="00F726F9" w:rsidP="00F726F9">
            <w:pPr>
              <w:pStyle w:val="ListParagraph"/>
              <w:widowControl w:val="0"/>
              <w:numPr>
                <w:ilvl w:val="0"/>
                <w:numId w:val="14"/>
              </w:numPr>
              <w:snapToGrid w:val="0"/>
              <w:spacing w:before="120" w:after="120" w:line="240" w:lineRule="auto"/>
              <w:jc w:val="both"/>
              <w:rPr>
                <w:ins w:id="53" w:author="ZTE" w:date="2020-11-03T20:45:00Z"/>
                <w:rFonts w:eastAsia="Microsoft YaHei"/>
                <w:i/>
                <w:sz w:val="20"/>
                <w:szCs w:val="20"/>
              </w:rPr>
            </w:pPr>
            <w:ins w:id="54" w:author="ZTE" w:date="2020-11-03T04:51:00Z">
              <w:r>
                <w:rPr>
                  <w:rFonts w:eastAsia="Microsoft YaHei"/>
                  <w:i/>
                  <w:sz w:val="20"/>
                  <w:szCs w:val="20"/>
                </w:rPr>
                <w:t>FFS the detailed definition of “available slot”</w:t>
              </w:r>
            </w:ins>
            <w:ins w:id="55" w:author="ZTE" w:date="2020-11-03T20:44:00Z">
              <w:r>
                <w:rPr>
                  <w:rFonts w:eastAsia="Microsoft YaHei"/>
                  <w:i/>
                  <w:sz w:val="20"/>
                  <w:szCs w:val="20"/>
                </w:rPr>
                <w:t xml:space="preserve"> </w:t>
              </w:r>
            </w:ins>
            <w:ins w:id="56" w:author="ZTE" w:date="2020-11-03T21:04:00Z">
              <w:r>
                <w:rPr>
                  <w:rFonts w:eastAsia="Microsoft YaHei" w:hint="eastAsia"/>
                  <w:i/>
                  <w:sz w:val="20"/>
                  <w:szCs w:val="20"/>
                </w:rPr>
                <w:t>considering</w:t>
              </w:r>
            </w:ins>
            <w:ins w:id="57" w:author="ZTE" w:date="2020-11-03T20:44:00Z">
              <w:r>
                <w:rPr>
                  <w:rFonts w:eastAsia="Microsoft YaHei"/>
                  <w:i/>
                  <w:sz w:val="20"/>
                  <w:szCs w:val="20"/>
                </w:rPr>
                <w:t xml:space="preserve"> UE processing complexity</w:t>
              </w:r>
            </w:ins>
            <w:ins w:id="58" w:author="ZTE" w:date="2020-11-04T05:44:00Z">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 timeline</w:t>
              </w:r>
            </w:ins>
            <w:ins w:id="59" w:author="ZTE" w:date="2020-11-03T20:44:00Z">
              <w:r>
                <w:rPr>
                  <w:rFonts w:eastAsia="Microsoft YaHei"/>
                  <w:i/>
                  <w:sz w:val="20"/>
                  <w:szCs w:val="20"/>
                </w:rPr>
                <w:t xml:space="preserve"> </w:t>
              </w:r>
            </w:ins>
            <w:ins w:id="60" w:author="ZTE" w:date="2020-11-03T20:45:00Z">
              <w:r>
                <w:rPr>
                  <w:rFonts w:eastAsia="Microsoft YaHei"/>
                  <w:i/>
                  <w:sz w:val="20"/>
                  <w:szCs w:val="20"/>
                </w:rPr>
                <w:t>to determine available slot, e.g.,</w:t>
              </w:r>
            </w:ins>
          </w:p>
          <w:p w14:paraId="018E7AD0" w14:textId="557C137B" w:rsidR="00F726F9" w:rsidRDefault="00F726F9" w:rsidP="00F726F9">
            <w:pPr>
              <w:pStyle w:val="ListParagraph"/>
              <w:widowControl w:val="0"/>
              <w:numPr>
                <w:ilvl w:val="1"/>
                <w:numId w:val="14"/>
              </w:numPr>
              <w:snapToGrid w:val="0"/>
              <w:spacing w:before="120" w:after="120" w:line="240" w:lineRule="auto"/>
              <w:jc w:val="both"/>
            </w:pPr>
            <w:ins w:id="61" w:author="ZTE" w:date="2020-11-04T08:15:00Z">
              <w:r>
                <w:rPr>
                  <w:rFonts w:eastAsia="Microsoft YaHei"/>
                  <w:i/>
                  <w:sz w:val="20"/>
                  <w:szCs w:val="20"/>
                </w:rPr>
                <w:t>Based on only RRC configuration,</w:t>
              </w:r>
              <w:r w:rsidRPr="00112F4E">
                <w:rPr>
                  <w:rFonts w:eastAsia="Microsoft YaHei"/>
                  <w:i/>
                  <w:sz w:val="20"/>
                  <w:szCs w:val="20"/>
                </w:rPr>
                <w:t xml:space="preserve"> </w:t>
              </w:r>
            </w:ins>
            <w:ins w:id="62" w:author="ZTE" w:date="2020-11-03T20:45:00Z">
              <w:r w:rsidRPr="00112F4E">
                <w:rPr>
                  <w:rFonts w:eastAsia="Microsoft YaHei"/>
                  <w:i/>
                  <w:sz w:val="20"/>
                  <w:szCs w:val="20"/>
                </w:rPr>
                <w:t>“</w:t>
              </w:r>
            </w:ins>
            <w:ins w:id="63" w:author="ZTE" w:date="2020-11-04T08:15:00Z">
              <w:r>
                <w:rPr>
                  <w:rFonts w:eastAsia="Microsoft YaHei"/>
                  <w:i/>
                  <w:sz w:val="20"/>
                  <w:szCs w:val="20"/>
                </w:rPr>
                <w:t>a</w:t>
              </w:r>
            </w:ins>
            <w:ins w:id="64" w:author="ZTE" w:date="2020-11-03T20:45:00Z">
              <w:r w:rsidRPr="00112F4E">
                <w:rPr>
                  <w:rFonts w:eastAsia="Microsoft YaHei"/>
                  <w:i/>
                  <w:sz w:val="20"/>
                  <w:szCs w:val="20"/>
                </w:rPr>
                <w:t>vailable slot” is the slot satisfy</w:t>
              </w:r>
            </w:ins>
            <w:ins w:id="65" w:author="ZTE" w:date="2020-11-03T20:46:00Z">
              <w:r>
                <w:rPr>
                  <w:rFonts w:eastAsia="Microsoft YaHei"/>
                  <w:i/>
                  <w:sz w:val="20"/>
                  <w:szCs w:val="20"/>
                </w:rPr>
                <w:t>ing</w:t>
              </w:r>
            </w:ins>
            <w:ins w:id="66" w:author="ZTE" w:date="2020-11-03T20:45:00Z">
              <w:r w:rsidRPr="00112F4E">
                <w:rPr>
                  <w:rFonts w:eastAsia="Microsoft YaHei"/>
                  <w:i/>
                  <w:sz w:val="20"/>
                  <w:szCs w:val="20"/>
                </w:rPr>
                <w:t>: there are available</w:t>
              </w:r>
            </w:ins>
            <w:ins w:id="67" w:author="FW" w:date="2020-11-03T20:39:00Z">
              <w:r>
                <w:rPr>
                  <w:rFonts w:eastAsia="Microsoft YaHei"/>
                  <w:i/>
                  <w:sz w:val="20"/>
                  <w:szCs w:val="20"/>
                </w:rPr>
                <w:t xml:space="preserve"> </w:t>
              </w:r>
              <w:r w:rsidRPr="00F726F9">
                <w:rPr>
                  <w:rFonts w:eastAsia="Microsoft YaHei"/>
                  <w:i/>
                  <w:sz w:val="20"/>
                  <w:szCs w:val="20"/>
                  <w:highlight w:val="yellow"/>
                </w:rPr>
                <w:t>consecutive</w:t>
              </w:r>
            </w:ins>
            <w:ins w:id="68" w:author="ZTE" w:date="2020-11-03T20:45:00Z">
              <w:r w:rsidRPr="00112F4E">
                <w:rPr>
                  <w:rFonts w:eastAsia="Microsoft YaHei"/>
                  <w:i/>
                  <w:sz w:val="20"/>
                  <w:szCs w:val="20"/>
                </w:rPr>
                <w:t xml:space="preserve"> UL</w:t>
              </w:r>
            </w:ins>
            <w:r>
              <w:rPr>
                <w:rFonts w:eastAsia="Microsoft YaHei"/>
                <w:i/>
                <w:sz w:val="20"/>
                <w:szCs w:val="20"/>
              </w:rPr>
              <w:t xml:space="preserve"> </w:t>
            </w:r>
            <w:ins w:id="69" w:author="高毓恺" w:date="2020-11-04T09:33:00Z">
              <w:r w:rsidRPr="00F726F9">
                <w:rPr>
                  <w:rFonts w:eastAsia="Microsoft YaHei"/>
                  <w:i/>
                  <w:sz w:val="20"/>
                  <w:szCs w:val="20"/>
                  <w:highlight w:val="yellow"/>
                </w:rPr>
                <w:t>and/or flexible</w:t>
              </w:r>
              <w:r w:rsidRPr="00112F4E">
                <w:rPr>
                  <w:rFonts w:eastAsia="Microsoft YaHei"/>
                  <w:i/>
                  <w:sz w:val="20"/>
                  <w:szCs w:val="20"/>
                </w:rPr>
                <w:t xml:space="preserve"> </w:t>
              </w:r>
            </w:ins>
            <w:ins w:id="70" w:author="ZTE" w:date="2020-11-03T20:45:00Z">
              <w:r w:rsidRPr="00112F4E">
                <w:rPr>
                  <w:rFonts w:eastAsia="Microsoft YaHei"/>
                  <w:i/>
                  <w:sz w:val="20"/>
                  <w:szCs w:val="20"/>
                </w:rPr>
                <w:t>symbol(s) for the configured</w:t>
              </w:r>
            </w:ins>
            <w:ins w:id="71" w:author="FW" w:date="2020-11-03T20:39:00Z">
              <w:r w:rsidRPr="00F726F9">
                <w:rPr>
                  <w:rFonts w:eastAsia="Microsoft YaHei"/>
                  <w:i/>
                  <w:sz w:val="20"/>
                  <w:szCs w:val="20"/>
                  <w:highlight w:val="yellow"/>
                </w:rPr>
                <w:t>/indicated</w:t>
              </w:r>
            </w:ins>
            <w:ins w:id="72" w:author="ZTE" w:date="2020-11-03T20:45:00Z">
              <w:r w:rsidRPr="00112F4E">
                <w:rPr>
                  <w:rFonts w:eastAsia="Microsoft YaHei"/>
                  <w:i/>
                  <w:sz w:val="20"/>
                  <w:szCs w:val="20"/>
                </w:rPr>
                <w:t xml:space="preserve"> time-domain location(s) in a slot</w:t>
              </w:r>
            </w:ins>
            <w:ins w:id="73" w:author="FW" w:date="2020-11-03T20:40:00Z">
              <w:r>
                <w:rPr>
                  <w:rFonts w:eastAsia="Microsoft YaHei"/>
                  <w:i/>
                  <w:sz w:val="20"/>
                  <w:szCs w:val="20"/>
                </w:rPr>
                <w:t xml:space="preserve"> </w:t>
              </w:r>
              <w:r w:rsidRPr="00F726F9">
                <w:rPr>
                  <w:rFonts w:eastAsia="Microsoft YaHei"/>
                  <w:i/>
                  <w:sz w:val="20"/>
                  <w:szCs w:val="20"/>
                  <w:highlight w:val="yellow"/>
                </w:rPr>
                <w:t>or consecutive slots</w:t>
              </w:r>
            </w:ins>
            <w:ins w:id="74" w:author="ZTE" w:date="2020-11-03T20:45:00Z">
              <w:r w:rsidRPr="00112F4E">
                <w:rPr>
                  <w:rFonts w:eastAsia="Microsoft YaHei"/>
                  <w:i/>
                  <w:sz w:val="20"/>
                  <w:szCs w:val="20"/>
                </w:rPr>
                <w:t xml:space="preserve"> for all the SRS resou</w:t>
              </w:r>
              <w:r>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ins>
          </w:p>
        </w:tc>
      </w:tr>
    </w:tbl>
    <w:p w14:paraId="067ED7E0" w14:textId="77777777" w:rsidR="008A23BD" w:rsidRDefault="008A23BD">
      <w:pPr>
        <w:widowControl w:val="0"/>
        <w:snapToGrid w:val="0"/>
        <w:spacing w:before="120" w:after="120" w:line="240" w:lineRule="auto"/>
        <w:jc w:val="both"/>
        <w:rPr>
          <w:rFonts w:eastAsia="Microsoft YaHei"/>
          <w:sz w:val="20"/>
          <w:szCs w:val="20"/>
        </w:rPr>
      </w:pPr>
    </w:p>
    <w:p w14:paraId="4B2C6E3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see the need to enhance at least one DCI format for triggering aperiodic SRS, so that the use case that </w:t>
      </w:r>
      <w:proofErr w:type="spellStart"/>
      <w:r>
        <w:rPr>
          <w:rFonts w:eastAsia="Microsoft YaHei"/>
          <w:sz w:val="20"/>
          <w:szCs w:val="20"/>
        </w:rPr>
        <w:t>gNB</w:t>
      </w:r>
      <w:proofErr w:type="spellEnd"/>
      <w:r>
        <w:rPr>
          <w:rFonts w:eastAsia="Microsoft YaHei"/>
          <w:sz w:val="20"/>
          <w:szCs w:val="20"/>
        </w:rPr>
        <w:t xml:space="preserve">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Microsoft YaHei"/>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Xiaomi, NTT DOCOMO, Ericsson, Qualcomm, Futurewei, ZTE, Huawei, </w:t>
            </w:r>
            <w:proofErr w:type="spellStart"/>
            <w:r>
              <w:rPr>
                <w:rFonts w:eastAsia="Microsoft YaHei"/>
                <w:sz w:val="20"/>
                <w:szCs w:val="20"/>
              </w:rPr>
              <w:t>HiSilicon</w:t>
            </w:r>
            <w:proofErr w:type="spellEnd"/>
            <w:r>
              <w:rPr>
                <w:rFonts w:eastAsia="Microsoft YaHei"/>
                <w:sz w:val="20"/>
                <w:szCs w:val="20"/>
              </w:rPr>
              <w:t>,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w:t>
      </w:r>
      <w:ins w:id="75" w:author="ZTE" w:date="2020-11-04T05:46:00Z">
        <w:r w:rsidR="000451D0">
          <w:rPr>
            <w:rFonts w:eastAsia="Microsoft YaHei"/>
            <w:i/>
            <w:sz w:val="20"/>
            <w:szCs w:val="20"/>
          </w:rPr>
          <w:t xml:space="preserve"> and 0_2</w:t>
        </w:r>
      </w:ins>
      <w:r>
        <w:rPr>
          <w:rFonts w:eastAsia="Microsoft YaHei"/>
          <w:i/>
          <w:sz w:val="20"/>
          <w:szCs w:val="20"/>
        </w:rPr>
        <w:t xml:space="preserve"> to trigger aperiodic SRS without data and without CSI.</w:t>
      </w:r>
    </w:p>
    <w:p w14:paraId="683F3D4F"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76" w:author="ZTE" w:date="2020-11-02T09:27:00Z">
        <w:r>
          <w:rPr>
            <w:rFonts w:eastAsia="Microsoft YaHei"/>
            <w:i/>
            <w:sz w:val="20"/>
            <w:szCs w:val="20"/>
          </w:rPr>
          <w:t xml:space="preserve">FFS how to re-purpose the unused fields, e.g., </w:t>
        </w:r>
      </w:ins>
      <w:ins w:id="77" w:author="ZTE" w:date="2020-11-03T04:52:00Z">
        <w:r>
          <w:rPr>
            <w:rFonts w:eastAsia="Microsoft YaHei"/>
            <w:i/>
            <w:sz w:val="20"/>
            <w:szCs w:val="20"/>
          </w:rPr>
          <w:t>the triggering offset(s) and the frequency resources for triggering A-SRS on one or more component carriers</w:t>
        </w:r>
      </w:ins>
      <w:ins w:id="78" w:author="ZTE" w:date="2020-11-03T04:53:00Z">
        <w:r>
          <w:rPr>
            <w:rFonts w:eastAsia="Microsoft YaHei"/>
            <w:i/>
            <w:sz w:val="20"/>
            <w:szCs w:val="20"/>
          </w:rPr>
          <w:t>, SFI-index,</w:t>
        </w:r>
      </w:ins>
      <w:ins w:id="79" w:author="ZTE" w:date="2020-11-02T09:27:00Z">
        <w:r>
          <w:rPr>
            <w:rFonts w:eastAsia="Microsoft YaHei"/>
            <w:i/>
            <w:sz w:val="20"/>
            <w:szCs w:val="20"/>
          </w:rPr>
          <w:t xml:space="preserve"> etc.</w:t>
        </w:r>
      </w:ins>
    </w:p>
    <w:p w14:paraId="5D1FE5E6"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80" w:author="ZTE" w:date="2020-11-02T09:27:00Z">
        <w:r>
          <w:rPr>
            <w:rFonts w:eastAsia="Microsoft YaHei"/>
            <w:i/>
            <w:sz w:val="20"/>
            <w:szCs w:val="20"/>
          </w:rPr>
          <w:t>FFS UL/DL DCI with data for aperiodic SRS</w:t>
        </w:r>
      </w:ins>
    </w:p>
    <w:p w14:paraId="2BC39F78"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w:t>
      </w:r>
      <w:del w:id="81" w:author="ZTE" w:date="2020-11-02T09:27:00Z">
        <w:r>
          <w:rPr>
            <w:rFonts w:eastAsia="Microsoft YaHei"/>
            <w:i/>
            <w:sz w:val="20"/>
            <w:szCs w:val="20"/>
          </w:rPr>
          <w:delText xml:space="preserve">whether to enhance </w:delText>
        </w:r>
      </w:del>
      <w:r>
        <w:rPr>
          <w:rFonts w:eastAsia="Microsoft YaHei"/>
          <w:i/>
          <w:sz w:val="20"/>
          <w:szCs w:val="20"/>
        </w:rPr>
        <w:t xml:space="preserve">group common DCI </w:t>
      </w:r>
      <w:del w:id="82" w:author="ZTE" w:date="2020-11-03T20:46:00Z">
        <w:r w:rsidDel="005427E4">
          <w:rPr>
            <w:rFonts w:eastAsia="Microsoft YaHei"/>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Microsoft YaHei"/>
          <w:sz w:val="20"/>
          <w:szCs w:val="20"/>
        </w:rPr>
      </w:pPr>
    </w:p>
    <w:p w14:paraId="6EADFCC0"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946" w:type="dxa"/>
            <w:shd w:val="clear" w:color="auto" w:fill="auto"/>
          </w:tcPr>
          <w:p w14:paraId="019A3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OK</w:t>
            </w:r>
          </w:p>
          <w:p w14:paraId="1413C8AD" w14:textId="77777777" w:rsidR="008A23BD" w:rsidRDefault="008A23BD">
            <w:pPr>
              <w:widowControl w:val="0"/>
              <w:snapToGrid w:val="0"/>
              <w:spacing w:before="120" w:after="120" w:line="240" w:lineRule="auto"/>
              <w:rPr>
                <w:rFonts w:eastAsia="Microsoft YaHei"/>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p>
          <w:p w14:paraId="4A774772"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Microsoft YaHei"/>
                <w:iCs/>
                <w:sz w:val="20"/>
                <w:szCs w:val="20"/>
              </w:rPr>
            </w:pPr>
            <w:r>
              <w:rPr>
                <w:rFonts w:eastAsia="Microsoft YaHei"/>
                <w:iCs/>
                <w:sz w:val="20"/>
                <w:szCs w:val="20"/>
              </w:rPr>
              <w:t>Support FL proposal with addition of following sub-bullet</w:t>
            </w:r>
          </w:p>
          <w:p w14:paraId="6F2AF3BA" w14:textId="77777777" w:rsidR="008A23BD" w:rsidRDefault="00A93A50">
            <w:pPr>
              <w:pStyle w:val="ListParagraph"/>
              <w:numPr>
                <w:ilvl w:val="0"/>
                <w:numId w:val="15"/>
              </w:numPr>
              <w:rPr>
                <w:rFonts w:eastAsia="Microsoft YaHei"/>
                <w:i/>
                <w:sz w:val="20"/>
                <w:szCs w:val="20"/>
              </w:rPr>
            </w:pPr>
            <w:r>
              <w:rPr>
                <w:rFonts w:eastAsia="Microsoft YaHei"/>
                <w:i/>
                <w:sz w:val="20"/>
                <w:szCs w:val="20"/>
              </w:rPr>
              <w:t xml:space="preserve">FFS how to re-purpose the unused fields, e.g., for triggering offset(s), on which carrier(s), on which </w:t>
            </w:r>
            <w:proofErr w:type="spellStart"/>
            <w:r>
              <w:rPr>
                <w:rFonts w:eastAsia="Microsoft YaHei"/>
                <w:i/>
                <w:sz w:val="20"/>
                <w:szCs w:val="20"/>
              </w:rPr>
              <w:t>subbands</w:t>
            </w:r>
            <w:proofErr w:type="spellEnd"/>
            <w:r>
              <w:rPr>
                <w:rFonts w:eastAsia="Microsoft YaHei"/>
                <w:i/>
                <w:sz w:val="20"/>
                <w:szCs w:val="20"/>
              </w:rPr>
              <w:t xml:space="preserve">/PRBs, </w:t>
            </w:r>
            <w:r>
              <w:rPr>
                <w:rFonts w:eastAsia="Microsoft YaHei"/>
                <w:i/>
                <w:color w:val="FF0000"/>
                <w:sz w:val="20"/>
                <w:szCs w:val="20"/>
              </w:rPr>
              <w:t>SFI-index</w:t>
            </w:r>
            <w:r>
              <w:rPr>
                <w:rFonts w:eastAsia="Microsoft YaHei"/>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p>
          <w:p w14:paraId="09016E01"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UL/DL DCI with data for aperiodic SRS</w:t>
            </w:r>
          </w:p>
          <w:p w14:paraId="0A77305E"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 xml:space="preserve">FFS group common DCI </w:t>
            </w:r>
            <w:r>
              <w:rPr>
                <w:rFonts w:eastAsia="Microsoft YaHei"/>
                <w:i/>
                <w:strike/>
                <w:color w:val="FF0000"/>
                <w:sz w:val="20"/>
                <w:szCs w:val="20"/>
              </w:rPr>
              <w:t xml:space="preserve">for cases other than carrier </w:t>
            </w:r>
            <w:r>
              <w:rPr>
                <w:rFonts w:eastAsia="Microsoft YaHei"/>
                <w:i/>
                <w:strike/>
                <w:color w:val="FF0000"/>
                <w:sz w:val="20"/>
                <w:szCs w:val="20"/>
              </w:rPr>
              <w:lastRenderedPageBreak/>
              <w:t>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Microsoft YaHei"/>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bl>
    <w:p w14:paraId="5843151C" w14:textId="77777777" w:rsidR="008A23BD" w:rsidRPr="00631202" w:rsidRDefault="008A23BD">
      <w:pPr>
        <w:widowControl w:val="0"/>
        <w:snapToGrid w:val="0"/>
        <w:spacing w:before="120" w:after="120" w:line="240" w:lineRule="auto"/>
        <w:jc w:val="both"/>
        <w:rPr>
          <w:rFonts w:eastAsia="Microsoft YaHei"/>
          <w:sz w:val="20"/>
          <w:szCs w:val="20"/>
        </w:rPr>
      </w:pPr>
    </w:p>
    <w:p w14:paraId="208DB97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w:t>
            </w:r>
            <w:r w:rsidR="008B2D4F">
              <w:rPr>
                <w:rFonts w:eastAsia="Microsoft YaHei"/>
                <w:sz w:val="20"/>
                <w:szCs w:val="20"/>
              </w:rPr>
              <w:t xml:space="preserve">, </w:t>
            </w:r>
            <w:proofErr w:type="spellStart"/>
            <w:r w:rsidR="008B2D4F">
              <w:rPr>
                <w:rFonts w:eastAsia="Microsoft YaHei"/>
                <w:sz w:val="20"/>
                <w:szCs w:val="20"/>
              </w:rPr>
              <w:t>CEWiT</w:t>
            </w:r>
            <w:proofErr w:type="spellEnd"/>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Microsoft YaHei"/>
                <w:sz w:val="20"/>
                <w:szCs w:val="20"/>
              </w:rPr>
            </w:pPr>
            <w:r>
              <w:rPr>
                <w:rFonts w:eastAsia="Microsoft YaHei"/>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Microsoft YaHei"/>
                <w:sz w:val="20"/>
                <w:szCs w:val="20"/>
              </w:rPr>
            </w:pPr>
            <w:r>
              <w:rPr>
                <w:rFonts w:eastAsia="Microsoft YaHei"/>
                <w:sz w:val="20"/>
                <w:szCs w:val="20"/>
              </w:rPr>
              <w:t xml:space="preserve">Futurewei, Huawei, </w:t>
            </w:r>
            <w:proofErr w:type="spellStart"/>
            <w:r>
              <w:rPr>
                <w:rFonts w:eastAsia="Microsoft YaHei"/>
                <w:sz w:val="20"/>
                <w:szCs w:val="20"/>
              </w:rPr>
              <w:t>HiSilicon</w:t>
            </w:r>
            <w:proofErr w:type="spellEnd"/>
            <w:r>
              <w:rPr>
                <w:rFonts w:eastAsia="Microsoft YaHei"/>
                <w:sz w:val="20"/>
                <w:szCs w:val="20"/>
              </w:rPr>
              <w:t>, Qualcomm, OPPO, ZTE, Xiaomi, LG, Lenovo</w:t>
            </w:r>
            <w:r w:rsidR="000E7912">
              <w:rPr>
                <w:rFonts w:eastAsia="Microsoft YaHei"/>
                <w:sz w:val="20"/>
                <w:szCs w:val="20"/>
              </w:rPr>
              <w:t xml:space="preserve">, </w:t>
            </w:r>
            <w:proofErr w:type="spellStart"/>
            <w:r>
              <w:rPr>
                <w:rFonts w:eastAsia="Microsoft YaHei"/>
                <w:sz w:val="20"/>
                <w:szCs w:val="20"/>
              </w:rPr>
              <w:t>MotM</w:t>
            </w:r>
            <w:proofErr w:type="spellEnd"/>
          </w:p>
        </w:tc>
      </w:tr>
    </w:tbl>
    <w:p w14:paraId="1CBB22B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Microsoft YaHei"/>
          <w:sz w:val="20"/>
          <w:szCs w:val="20"/>
        </w:rPr>
      </w:pPr>
    </w:p>
    <w:p w14:paraId="6C6FFAA2"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ins w:id="83" w:author="ZTE" w:date="2020-11-03T20:47:00Z">
        <w:r w:rsidR="008A7402" w:rsidRPr="008A7402">
          <w:rPr>
            <w:rFonts w:eastAsia="Microsoft YaHei"/>
            <w:i/>
            <w:sz w:val="20"/>
            <w:szCs w:val="20"/>
            <w:u w:val="single"/>
          </w:rPr>
          <w:t>to conclude on what is presently supported and</w:t>
        </w:r>
        <w:r w:rsidR="008A7402" w:rsidRPr="008A7402">
          <w:rPr>
            <w:rFonts w:eastAsia="Microsoft YaHei"/>
            <w:i/>
            <w:sz w:val="20"/>
            <w:szCs w:val="20"/>
          </w:rPr>
          <w:t xml:space="preserve"> </w:t>
        </w:r>
      </w:ins>
      <w:r>
        <w:rPr>
          <w:rFonts w:eastAsia="Microsoft YaHei"/>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Microsoft YaHei"/>
          <w:sz w:val="20"/>
          <w:szCs w:val="20"/>
        </w:rPr>
      </w:pPr>
    </w:p>
    <w:p w14:paraId="563C38D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support reuse of same SRS resource sets for multiple purpose. We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w:t>
            </w:r>
            <w:r>
              <w:rPr>
                <w:rFonts w:eastAsia="Microsoft YaHei"/>
                <w:sz w:val="20"/>
                <w:szCs w:val="20"/>
              </w:rPr>
              <w:lastRenderedPageBreak/>
              <w:t xml:space="preserve">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946" w:type="dxa"/>
            <w:shd w:val="clear" w:color="auto" w:fill="auto"/>
          </w:tcPr>
          <w:p w14:paraId="5624A21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6D9EC2C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w:t>
            </w:r>
            <w:proofErr w:type="spellStart"/>
            <w:r>
              <w:rPr>
                <w:rFonts w:eastAsia="Microsoft YaHei"/>
                <w:sz w:val="20"/>
                <w:szCs w:val="20"/>
              </w:rPr>
              <w:t>gNB</w:t>
            </w:r>
            <w:proofErr w:type="spellEnd"/>
            <w:r>
              <w:rPr>
                <w:rFonts w:eastAsia="Microsoft YaHei"/>
                <w:sz w:val="20"/>
                <w:szCs w:val="20"/>
              </w:rPr>
              <w:t xml:space="preserve">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r>
              <w:rPr>
                <w:rFonts w:eastAsia="Microsoft YaHei"/>
                <w:i/>
                <w:color w:val="FF0000"/>
                <w:sz w:val="20"/>
                <w:szCs w:val="20"/>
                <w:u w:val="single"/>
              </w:rPr>
              <w:t>to conclude on what is presently supported and</w:t>
            </w:r>
            <w:r>
              <w:rPr>
                <w:rFonts w:eastAsia="Microsoft YaHei"/>
                <w:i/>
                <w:color w:val="FF0000"/>
                <w:sz w:val="20"/>
                <w:szCs w:val="20"/>
              </w:rPr>
              <w:t xml:space="preserve"> </w:t>
            </w:r>
            <w:r>
              <w:rPr>
                <w:rFonts w:eastAsia="Microsoft YaHei"/>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proofErr w:type="spellStart"/>
            <w:r>
              <w:lastRenderedPageBreak/>
              <w:t>CEWiT</w:t>
            </w:r>
            <w:proofErr w:type="spellEnd"/>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Microsoft YaHei"/>
                <w:sz w:val="20"/>
                <w:szCs w:val="20"/>
              </w:rPr>
              <w:t>implementation approach with SRS resource sharing</w:t>
            </w:r>
            <w:r w:rsidR="00213D8E">
              <w:rPr>
                <w:rFonts w:eastAsia="Microsoft YaHei"/>
                <w:sz w:val="20"/>
                <w:szCs w:val="20"/>
              </w:rPr>
              <w:t xml:space="preserve"> between ‘antenna switching’ and ‘codebook’ sets </w:t>
            </w:r>
            <w:r>
              <w:rPr>
                <w:rFonts w:eastAsia="Microsoft YaHei"/>
                <w:sz w:val="20"/>
                <w:szCs w:val="20"/>
              </w:rPr>
              <w:t xml:space="preserve"> is sufficient. </w:t>
            </w:r>
          </w:p>
        </w:tc>
      </w:tr>
    </w:tbl>
    <w:p w14:paraId="360E45B6" w14:textId="77777777" w:rsidR="008A23BD" w:rsidRDefault="008A23BD">
      <w:pPr>
        <w:widowControl w:val="0"/>
        <w:snapToGrid w:val="0"/>
        <w:spacing w:before="120" w:after="120" w:line="240" w:lineRule="auto"/>
        <w:jc w:val="both"/>
        <w:rPr>
          <w:rFonts w:eastAsia="Microsoft YaHei"/>
          <w:sz w:val="20"/>
          <w:szCs w:val="20"/>
        </w:rPr>
      </w:pPr>
    </w:p>
    <w:p w14:paraId="5C95195A"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Huawei, </w:t>
            </w:r>
            <w:proofErr w:type="spellStart"/>
            <w:r>
              <w:rPr>
                <w:rFonts w:eastAsia="Microsoft YaHei"/>
                <w:sz w:val="20"/>
                <w:szCs w:val="20"/>
              </w:rPr>
              <w:t>HiSilicon</w:t>
            </w:r>
            <w:proofErr w:type="spellEnd"/>
            <w:r>
              <w:rPr>
                <w:rFonts w:eastAsia="Microsoft YaHei"/>
                <w:sz w:val="20"/>
                <w:szCs w:val="20"/>
              </w:rPr>
              <w:t>, LG</w:t>
            </w:r>
            <w:r w:rsidR="00692005">
              <w:rPr>
                <w:rFonts w:eastAsia="Microsoft YaHei"/>
                <w:sz w:val="20"/>
                <w:szCs w:val="20"/>
              </w:rPr>
              <w:t>, CATT</w:t>
            </w:r>
          </w:p>
        </w:tc>
      </w:tr>
    </w:tbl>
    <w:p w14:paraId="48502EA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Microsoft YaHei"/>
          <w:sz w:val="20"/>
          <w:szCs w:val="20"/>
        </w:rPr>
      </w:pPr>
    </w:p>
    <w:p w14:paraId="099BA34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b/>
          <w:i/>
          <w:sz w:val="20"/>
          <w:szCs w:val="20"/>
          <w:highlight w:val="yellow"/>
        </w:rPr>
        <w:t>FL Proposal 4</w:t>
      </w:r>
      <w:r w:rsidR="00CD5CAC">
        <w:rPr>
          <w:rFonts w:eastAsia="Microsoft YaHei"/>
          <w:i/>
          <w:sz w:val="20"/>
          <w:szCs w:val="20"/>
        </w:rPr>
        <w:t xml:space="preserve">: </w:t>
      </w:r>
      <w:ins w:id="84" w:author="ZTE" w:date="2020-11-03T20:49:00Z">
        <w:r w:rsidR="00CD5CAC">
          <w:rPr>
            <w:rFonts w:eastAsia="Microsoft YaHei"/>
            <w:i/>
            <w:sz w:val="20"/>
            <w:szCs w:val="20"/>
          </w:rPr>
          <w:t xml:space="preserve">Further discuss in RAN1#103e on whether to support </w:t>
        </w:r>
        <w:r w:rsidR="00CD5CAC" w:rsidRPr="00CD5CAC">
          <w:rPr>
            <w:rFonts w:eastAsia="Microsoft YaHei"/>
            <w:i/>
            <w:sz w:val="20"/>
            <w:szCs w:val="20"/>
          </w:rPr>
          <w:t>indicating a subset of Tx/Rx antennas for SRS antenna switching via MAC CE or DCI</w:t>
        </w:r>
        <w:r w:rsidR="00CD5CAC">
          <w:rPr>
            <w:rFonts w:eastAsia="Microsoft YaHei"/>
            <w:i/>
            <w:sz w:val="20"/>
            <w:szCs w:val="20"/>
          </w:rPr>
          <w:t>.</w:t>
        </w:r>
      </w:ins>
    </w:p>
    <w:p w14:paraId="32D3EFC0" w14:textId="77777777" w:rsidR="008A23BD" w:rsidRDefault="008A23BD">
      <w:pPr>
        <w:widowControl w:val="0"/>
        <w:snapToGrid w:val="0"/>
        <w:spacing w:before="120" w:after="120" w:line="240" w:lineRule="auto"/>
        <w:jc w:val="both"/>
        <w:rPr>
          <w:rFonts w:eastAsia="Microsoft YaHei"/>
          <w:sz w:val="20"/>
          <w:szCs w:val="20"/>
        </w:rPr>
      </w:pPr>
    </w:p>
    <w:p w14:paraId="07A176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62309E9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the FL proposal to enable flexible reconfiguration of the antenna switching. RRC re-configuration is slow process and the dynamic indication will make the adaption much faster and enable lower overhead than RRC re-</w:t>
            </w:r>
            <w:r>
              <w:rPr>
                <w:rFonts w:eastAsia="Microsoft YaHei"/>
                <w:sz w:val="20"/>
                <w:szCs w:val="20"/>
              </w:rPr>
              <w:lastRenderedPageBreak/>
              <w:t xml:space="preserv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Microsoft YaHei"/>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bl>
    <w:p w14:paraId="2446B2EE" w14:textId="77777777" w:rsidR="008A23BD" w:rsidRDefault="008A23BD">
      <w:pPr>
        <w:widowControl w:val="0"/>
        <w:snapToGrid w:val="0"/>
        <w:spacing w:before="120" w:after="120" w:line="240" w:lineRule="auto"/>
        <w:jc w:val="both"/>
        <w:rPr>
          <w:rFonts w:eastAsia="Microsoft YaHei"/>
          <w:sz w:val="20"/>
          <w:szCs w:val="20"/>
        </w:rPr>
      </w:pPr>
    </w:p>
    <w:p w14:paraId="474B1E4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Qualcomm, Intel, Lenovo/</w:t>
            </w:r>
            <w:proofErr w:type="spellStart"/>
            <w:r>
              <w:rPr>
                <w:rFonts w:eastAsia="Microsoft YaHei"/>
                <w:sz w:val="20"/>
                <w:szCs w:val="20"/>
              </w:rPr>
              <w:t>MotM</w:t>
            </w:r>
            <w:proofErr w:type="spellEnd"/>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Microsoft YaHei"/>
                <w:sz w:val="20"/>
                <w:szCs w:val="20"/>
              </w:rPr>
            </w:pPr>
            <w:bookmarkStart w:id="85" w:name="_Hlk55231663"/>
            <w:r>
              <w:rPr>
                <w:rFonts w:eastAsia="Malgun Gothic"/>
                <w:sz w:val="20"/>
                <w:szCs w:val="20"/>
                <w:lang w:eastAsia="ko-KR"/>
              </w:rPr>
              <w:t>Dynamic SRS sounding bandwidth indication (e.g., SRS bandwidth can be inherited from PUSCH FDRA field)</w:t>
            </w:r>
            <w:bookmarkEnd w:id="85"/>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LGE</w:t>
            </w:r>
          </w:p>
        </w:tc>
      </w:tr>
    </w:tbl>
    <w:p w14:paraId="5E45A51A" w14:textId="77777777" w:rsidR="008A23BD" w:rsidRDefault="008A23BD">
      <w:pPr>
        <w:widowControl w:val="0"/>
        <w:snapToGrid w:val="0"/>
        <w:spacing w:before="120" w:after="120" w:line="240" w:lineRule="auto"/>
        <w:jc w:val="both"/>
        <w:rPr>
          <w:rFonts w:eastAsia="Microsoft YaHei"/>
          <w:sz w:val="20"/>
          <w:szCs w:val="20"/>
        </w:rPr>
      </w:pPr>
    </w:p>
    <w:p w14:paraId="30DBC6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proofErr w:type="spellStart"/>
            <w:r>
              <w:t>CEWiT</w:t>
            </w:r>
            <w:proofErr w:type="spellEnd"/>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Microsoft YaHei"/>
          <w:sz w:val="20"/>
          <w:szCs w:val="20"/>
        </w:rPr>
      </w:pPr>
    </w:p>
    <w:p w14:paraId="3FC1CF52"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Microsoft YaHei"/>
                <w:sz w:val="20"/>
                <w:szCs w:val="20"/>
              </w:rPr>
            </w:pPr>
            <w:r>
              <w:rPr>
                <w:sz w:val="20"/>
                <w:szCs w:val="20"/>
              </w:rPr>
              <w:t xml:space="preserve">Lenovo, </w:t>
            </w:r>
            <w:proofErr w:type="spellStart"/>
            <w:r>
              <w:rPr>
                <w:sz w:val="20"/>
                <w:szCs w:val="20"/>
              </w:rPr>
              <w:t>MotM</w:t>
            </w:r>
            <w:proofErr w:type="spellEnd"/>
            <w:r>
              <w:rPr>
                <w:sz w:val="20"/>
                <w:szCs w:val="20"/>
              </w:rPr>
              <w:t xml:space="preserve">, NEC, MediaTek, Intel, Xiaomi, </w:t>
            </w:r>
            <w:proofErr w:type="spellStart"/>
            <w:r>
              <w:rPr>
                <w:sz w:val="20"/>
                <w:szCs w:val="20"/>
              </w:rPr>
              <w:t>Spreadtrum</w:t>
            </w:r>
            <w:proofErr w:type="spellEnd"/>
            <w:r>
              <w:rPr>
                <w:sz w:val="20"/>
                <w:szCs w:val="20"/>
              </w:rPr>
              <w:t>,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Microsoft YaHei"/>
                <w:sz w:val="20"/>
                <w:szCs w:val="20"/>
              </w:rPr>
            </w:pPr>
            <w:r w:rsidRPr="000A23A7">
              <w:rPr>
                <w:rFonts w:eastAsia="Microsoft YaHei"/>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Ericsson, Huawei, HiSilicon (2T4R, 2T6R, 4T8R), LG</w:t>
            </w:r>
            <w:r w:rsidR="00965E69">
              <w:rPr>
                <w:rFonts w:eastAsia="Microsoft YaHei"/>
                <w:sz w:val="20"/>
                <w:szCs w:val="20"/>
                <w:lang w:val="de-DE"/>
              </w:rPr>
              <w:t>,</w:t>
            </w:r>
            <w:r w:rsidR="00965E69" w:rsidRPr="000A23A7">
              <w:rPr>
                <w:rFonts w:eastAsia="Microsoft YaHei"/>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r>
    </w:tbl>
    <w:p w14:paraId="78365CF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795" w:type="dxa"/>
            <w:shd w:val="clear" w:color="auto" w:fill="auto"/>
          </w:tcPr>
          <w:p w14:paraId="4CC025FB"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86" w:name="_Toc54378772"/>
            <w:r>
              <w:rPr>
                <w:rFonts w:eastAsia="Microsoft YaHei"/>
                <w:sz w:val="20"/>
                <w:szCs w:val="20"/>
              </w:rPr>
              <w:t xml:space="preserve">Increasing the number of UE antennas from 4 to 8 yields significant DL throughput gains for the case when genie-aided (i.e., perfect) CSI is available at the </w:t>
            </w:r>
            <w:proofErr w:type="spellStart"/>
            <w:r>
              <w:rPr>
                <w:rFonts w:eastAsia="Microsoft YaHei"/>
                <w:sz w:val="20"/>
                <w:szCs w:val="20"/>
              </w:rPr>
              <w:t>gNBs</w:t>
            </w:r>
            <w:proofErr w:type="spellEnd"/>
            <w:r>
              <w:rPr>
                <w:rFonts w:eastAsia="Microsoft YaHei"/>
                <w:sz w:val="20"/>
                <w:szCs w:val="20"/>
              </w:rPr>
              <w:t>.</w:t>
            </w:r>
            <w:bookmarkEnd w:id="86"/>
          </w:p>
          <w:p w14:paraId="027DE435" w14:textId="77777777" w:rsidR="008A23BD" w:rsidRDefault="00A93A50">
            <w:pPr>
              <w:pStyle w:val="ListParagraph"/>
              <w:widowControl w:val="0"/>
              <w:numPr>
                <w:ilvl w:val="0"/>
                <w:numId w:val="7"/>
              </w:numPr>
              <w:snapToGrid w:val="0"/>
              <w:spacing w:before="120" w:after="120" w:line="240" w:lineRule="auto"/>
            </w:pPr>
            <w:bookmarkStart w:id="87"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rFonts w:eastAsia="Microsoft YaHei"/>
                <w:sz w:val="20"/>
                <w:szCs w:val="20"/>
              </w:rPr>
              <w:instrText>REF _Ref54366410 \h</w:instrText>
            </w:r>
            <w:r>
              <w:rPr>
                <w:rFonts w:eastAsia="Microsoft YaHei"/>
                <w:sz w:val="20"/>
                <w:szCs w:val="20"/>
              </w:rPr>
            </w:r>
            <w:r>
              <w:rPr>
                <w:rFonts w:eastAsia="Microsoft YaHei"/>
                <w:sz w:val="20"/>
                <w:szCs w:val="20"/>
              </w:rPr>
              <w:fldChar w:fldCharType="separate"/>
            </w:r>
            <w:r>
              <w:rPr>
                <w:rFonts w:eastAsia="Microsoft YaHei"/>
                <w:sz w:val="20"/>
                <w:szCs w:val="20"/>
              </w:rPr>
              <w:t>Error: Reference source not found</w:t>
            </w:r>
            <w:r>
              <w:rPr>
                <w:rFonts w:eastAsia="Microsoft YaHei"/>
                <w:sz w:val="20"/>
                <w:szCs w:val="20"/>
              </w:rPr>
              <w:fldChar w:fldCharType="end"/>
            </w:r>
            <w:r>
              <w:rPr>
                <w:rFonts w:eastAsia="Microsoft YaHei"/>
                <w:sz w:val="20"/>
                <w:szCs w:val="20"/>
              </w:rPr>
              <w:t>) also in the case of SRS-based CSI acquisition using antenna switching.</w:t>
            </w:r>
            <w:bookmarkEnd w:id="87"/>
          </w:p>
          <w:p w14:paraId="32A86673"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88" w:name="_Toc54378774"/>
            <w:r>
              <w:rPr>
                <w:rFonts w:eastAsia="Microsoft YaHei"/>
                <w:sz w:val="20"/>
                <w:szCs w:val="20"/>
              </w:rPr>
              <w:t>Sounding all of 8 receive antennas provides significant throughput gains over sounding 4 of 8 receive antennas, at least in the case of MU-MIMO.</w:t>
            </w:r>
            <w:bookmarkEnd w:id="88"/>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795" w:type="dxa"/>
            <w:shd w:val="clear" w:color="auto" w:fill="auto"/>
          </w:tcPr>
          <w:p w14:paraId="16A0B61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ListParagraph"/>
              <w:widowControl w:val="0"/>
              <w:numPr>
                <w:ilvl w:val="0"/>
                <w:numId w:val="8"/>
              </w:numPr>
              <w:snapToGrid w:val="0"/>
              <w:spacing w:before="120" w:after="120" w:line="240" w:lineRule="auto"/>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ins w:id="89" w:author="ZTE" w:date="2020-11-03T20:51:00Z">
        <w:r w:rsidR="00D92365">
          <w:rPr>
            <w:rFonts w:eastAsia="Microsoft YaHei"/>
            <w:i/>
            <w:sz w:val="20"/>
            <w:szCs w:val="20"/>
          </w:rPr>
          <w:t>[</w:t>
        </w:r>
      </w:ins>
      <w:r>
        <w:rPr>
          <w:rFonts w:eastAsia="Microsoft YaHei"/>
          <w:i/>
          <w:sz w:val="20"/>
          <w:szCs w:val="20"/>
        </w:rPr>
        <w:t>4T6R</w:t>
      </w:r>
      <w:ins w:id="90" w:author="ZTE" w:date="2020-11-03T20:51:00Z">
        <w:r w:rsidR="00D92365">
          <w:rPr>
            <w:rFonts w:eastAsia="Microsoft YaHei"/>
            <w:i/>
            <w:sz w:val="20"/>
            <w:szCs w:val="20"/>
          </w:rPr>
          <w:t>]</w:t>
        </w:r>
      </w:ins>
      <w:r>
        <w:rPr>
          <w:rFonts w:eastAsia="Microsoft YaHei"/>
          <w:i/>
          <w:sz w:val="20"/>
          <w:szCs w:val="20"/>
        </w:rPr>
        <w:t>, 4T8R}.</w:t>
      </w:r>
    </w:p>
    <w:p w14:paraId="41B2D8AC" w14:textId="77777777" w:rsidR="008A23BD" w:rsidRDefault="008A23BD">
      <w:pPr>
        <w:widowControl w:val="0"/>
        <w:snapToGrid w:val="0"/>
        <w:spacing w:before="120" w:after="120" w:line="240" w:lineRule="auto"/>
        <w:jc w:val="both"/>
        <w:rPr>
          <w:rFonts w:eastAsia="Microsoft YaHei"/>
          <w:sz w:val="20"/>
          <w:szCs w:val="20"/>
        </w:rPr>
      </w:pPr>
    </w:p>
    <w:p w14:paraId="052F178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39E638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p w14:paraId="6F1F617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Regarding the comments on 1Tx cases, we would like to elaborate a bit more on it</w:t>
            </w:r>
          </w:p>
          <w:p w14:paraId="6F756E2E" w14:textId="77777777" w:rsidR="008A23BD" w:rsidRDefault="00A93A50">
            <w:pPr>
              <w:pStyle w:val="ListParagraph"/>
              <w:widowControl w:val="0"/>
              <w:numPr>
                <w:ilvl w:val="6"/>
                <w:numId w:val="20"/>
              </w:numPr>
              <w:snapToGrid w:val="0"/>
              <w:spacing w:before="120" w:after="120" w:line="240" w:lineRule="auto"/>
              <w:ind w:left="742" w:hanging="426"/>
              <w:rPr>
                <w:rFonts w:eastAsia="Microsoft YaHei"/>
                <w:sz w:val="20"/>
                <w:szCs w:val="20"/>
              </w:rPr>
            </w:pPr>
            <w:r>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For this type of CPE, the 8 Rx antenna are allocated in different directions to ensure CPE can receive the signal from any angle since the CPE is usually fixed in a place and it doesn’t know where the </w:t>
            </w:r>
            <w:proofErr w:type="spellStart"/>
            <w:r>
              <w:rPr>
                <w:rFonts w:eastAsia="Microsoft YaHei"/>
                <w:sz w:val="20"/>
                <w:szCs w:val="20"/>
              </w:rPr>
              <w:t>gNB</w:t>
            </w:r>
            <w:proofErr w:type="spellEnd"/>
            <w:r>
              <w:rPr>
                <w:rFonts w:eastAsia="Microsoft YaHei"/>
                <w:sz w:val="20"/>
                <w:szCs w:val="20"/>
              </w:rPr>
              <w:t xml:space="preserve"> is.  During the DL data transmission, some Rx antennas can receive signals with good quality whereas the other Rx antenna will can only receive very weak signals. Thus, it is useful for </w:t>
            </w:r>
            <w:proofErr w:type="spellStart"/>
            <w:r>
              <w:rPr>
                <w:rFonts w:eastAsia="Microsoft YaHei"/>
                <w:sz w:val="20"/>
                <w:szCs w:val="20"/>
              </w:rPr>
              <w:t>gNB</w:t>
            </w:r>
            <w:proofErr w:type="spellEnd"/>
            <w:r>
              <w:rPr>
                <w:rFonts w:eastAsia="Microsoft YaHei"/>
                <w:sz w:val="20"/>
                <w:szCs w:val="20"/>
              </w:rPr>
              <w:t xml:space="preserve"> to get DL CSI by antenna switching</w:t>
            </w:r>
          </w:p>
          <w:p w14:paraId="28DCA086"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1E5BDE5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Microsoft YaHei"/>
                <w:sz w:val="20"/>
                <w:szCs w:val="20"/>
              </w:rPr>
            </w:pPr>
            <w:r>
              <w:rPr>
                <w:rFonts w:eastAsia="Microsoft YaHei"/>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lastRenderedPageBreak/>
              <w:t>Qualcomm2</w:t>
            </w:r>
          </w:p>
        </w:tc>
        <w:tc>
          <w:tcPr>
            <w:tcW w:w="6946" w:type="dxa"/>
          </w:tcPr>
          <w:p w14:paraId="2E45E165" w14:textId="77777777" w:rsidR="007C2032" w:rsidRDefault="007C2032" w:rsidP="007C2032">
            <w:pPr>
              <w:widowControl w:val="0"/>
              <w:snapToGrid w:val="0"/>
              <w:spacing w:before="120" w:after="120" w:line="240" w:lineRule="auto"/>
              <w:rPr>
                <w:rFonts w:eastAsia="Microsoft YaHei"/>
                <w:sz w:val="20"/>
                <w:szCs w:val="20"/>
              </w:rPr>
            </w:pPr>
            <w:r>
              <w:rPr>
                <w:rFonts w:eastAsia="Microsoft YaHei"/>
                <w:sz w:val="20"/>
                <w:szCs w:val="20"/>
              </w:rPr>
              <w:t>Regarding the concerns raised on 4T6R:</w:t>
            </w:r>
          </w:p>
          <w:p w14:paraId="49E49A23" w14:textId="77777777" w:rsidR="007C2032" w:rsidRDefault="007C2032" w:rsidP="007C2032">
            <w:pPr>
              <w:pStyle w:val="ListParagraph"/>
              <w:widowControl w:val="0"/>
              <w:numPr>
                <w:ilvl w:val="0"/>
                <w:numId w:val="24"/>
              </w:numPr>
              <w:snapToGrid w:val="0"/>
              <w:spacing w:before="120" w:after="120" w:line="240" w:lineRule="auto"/>
              <w:rPr>
                <w:rFonts w:eastAsia="Microsoft YaHei"/>
                <w:sz w:val="20"/>
                <w:szCs w:val="20"/>
              </w:rPr>
            </w:pPr>
            <w:r>
              <w:rPr>
                <w:rFonts w:eastAsia="Microsoft YaHei"/>
                <w:sz w:val="20"/>
                <w:szCs w:val="20"/>
              </w:rPr>
              <w:t>T</w:t>
            </w:r>
            <w:r w:rsidRPr="00460E84">
              <w:rPr>
                <w:rFonts w:eastAsia="Microsoft YaHei"/>
                <w:sz w:val="20"/>
                <w:szCs w:val="20"/>
              </w:rPr>
              <w:t xml:space="preserve">he UE implementation is much simpler than 2T6R. One simple implementation is to have fixed </w:t>
            </w:r>
            <w:r>
              <w:rPr>
                <w:rFonts w:eastAsia="Microsoft YaHei"/>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ListParagraph"/>
              <w:widowControl w:val="0"/>
              <w:numPr>
                <w:ilvl w:val="0"/>
                <w:numId w:val="24"/>
              </w:numPr>
              <w:snapToGrid w:val="0"/>
              <w:spacing w:before="120" w:after="120" w:line="240" w:lineRule="auto"/>
              <w:rPr>
                <w:rFonts w:eastAsia="Microsoft YaHei"/>
                <w:sz w:val="20"/>
                <w:szCs w:val="20"/>
              </w:rPr>
            </w:pPr>
            <w:r>
              <w:rPr>
                <w:rFonts w:eastAsia="Microsoft YaHei"/>
                <w:sz w:val="20"/>
                <w:szCs w:val="20"/>
              </w:rPr>
              <w:t>This example is shown in the figure below. One SRS resource set with two SRS resources. The first resource has 4 ports: AP0-AP3 and 2</w:t>
            </w:r>
            <w:r w:rsidRPr="009F6527">
              <w:rPr>
                <w:rFonts w:eastAsia="Microsoft YaHei"/>
                <w:sz w:val="20"/>
                <w:szCs w:val="20"/>
                <w:vertAlign w:val="superscript"/>
              </w:rPr>
              <w:t>nd</w:t>
            </w:r>
            <w:r>
              <w:rPr>
                <w:rFonts w:eastAsia="Microsoft YaHei"/>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9pt;height:131.35pt" o:ole="">
                  <v:imagedata r:id="rId15" o:title=""/>
                </v:shape>
                <o:OLEObject Type="Embed" ProgID="Visio.Drawing.11" ShapeID="_x0000_i1025" DrawAspect="Content" ObjectID="_1665959663"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39242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6" w:type="dxa"/>
          </w:tcPr>
          <w:p w14:paraId="116037EB" w14:textId="77777777" w:rsidR="008474B2" w:rsidRDefault="008474B2" w:rsidP="0039242A">
            <w:pPr>
              <w:widowControl w:val="0"/>
              <w:snapToGrid w:val="0"/>
              <w:spacing w:before="120" w:after="120" w:line="240" w:lineRule="auto"/>
              <w:rPr>
                <w:rFonts w:eastAsia="Microsoft YaHei"/>
                <w:sz w:val="20"/>
                <w:szCs w:val="20"/>
              </w:rPr>
            </w:pPr>
            <w:r>
              <w:rPr>
                <w:rFonts w:eastAsia="Microsoft YaHei"/>
                <w:sz w:val="20"/>
                <w:szCs w:val="20"/>
              </w:rPr>
              <w:t>Support the FL’s updated proposal.</w:t>
            </w:r>
          </w:p>
        </w:tc>
      </w:tr>
    </w:tbl>
    <w:p w14:paraId="01DDA0E8" w14:textId="77777777" w:rsidR="008A23BD" w:rsidRPr="00965E69" w:rsidRDefault="008A23BD">
      <w:pPr>
        <w:widowControl w:val="0"/>
        <w:snapToGrid w:val="0"/>
        <w:spacing w:before="120" w:after="120" w:line="240" w:lineRule="auto"/>
        <w:jc w:val="both"/>
        <w:rPr>
          <w:rFonts w:eastAsia="Microsoft YaHei"/>
          <w:sz w:val="20"/>
          <w:szCs w:val="20"/>
        </w:rPr>
      </w:pPr>
      <w:bookmarkStart w:id="91" w:name="_GoBack"/>
      <w:bookmarkEnd w:id="91"/>
    </w:p>
    <w:p w14:paraId="2E7297D5"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Microsoft YaHei"/>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xml:space="preserve">, MediaTek, Intel, Xiaomi, Sharp, </w:t>
            </w:r>
            <w:proofErr w:type="spellStart"/>
            <w:r>
              <w:rPr>
                <w:rFonts w:eastAsia="Malgun Gothic"/>
                <w:sz w:val="20"/>
                <w:szCs w:val="20"/>
                <w:lang w:eastAsia="ko-KR"/>
              </w:rPr>
              <w:t>Spreadtrum</w:t>
            </w:r>
            <w:proofErr w:type="spellEnd"/>
            <w:r>
              <w:rPr>
                <w:rFonts w:eastAsia="Malgun Gothic"/>
                <w:sz w:val="20"/>
                <w:szCs w:val="20"/>
                <w:lang w:eastAsia="ko-KR"/>
              </w:rPr>
              <w:t xml:space="preserve">, Futurewei, Huawei, </w:t>
            </w:r>
            <w:proofErr w:type="spellStart"/>
            <w:r>
              <w:rPr>
                <w:rFonts w:eastAsia="Malgun Gothic"/>
                <w:sz w:val="20"/>
                <w:szCs w:val="20"/>
                <w:lang w:eastAsia="ko-KR"/>
              </w:rPr>
              <w:t>HiSilicon</w:t>
            </w:r>
            <w:proofErr w:type="spellEnd"/>
            <w:r>
              <w:rPr>
                <w:rFonts w:eastAsia="Malgun Gothic"/>
                <w:sz w:val="20"/>
                <w:szCs w:val="20"/>
                <w:lang w:eastAsia="ko-KR"/>
              </w:rPr>
              <w:t>,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xml:space="preserve">, Xiaomi, Sharp, </w:t>
            </w:r>
            <w:proofErr w:type="spellStart"/>
            <w:r>
              <w:rPr>
                <w:rFonts w:eastAsia="Malgun Gothic"/>
                <w:sz w:val="20"/>
                <w:szCs w:val="20"/>
                <w:lang w:eastAsia="ko-KR"/>
              </w:rPr>
              <w:t>Spreadtrum</w:t>
            </w:r>
            <w:proofErr w:type="spellEnd"/>
            <w:r>
              <w:rPr>
                <w:rFonts w:eastAsia="Malgun Gothic"/>
                <w:sz w:val="20"/>
                <w:szCs w:val="20"/>
                <w:lang w:eastAsia="ko-KR"/>
              </w:rPr>
              <w:t>,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xml:space="preserve">, MediaTek, Xiaomi, </w:t>
            </w:r>
            <w:proofErr w:type="spellStart"/>
            <w:r>
              <w:rPr>
                <w:rFonts w:eastAsia="Malgun Gothic"/>
                <w:sz w:val="20"/>
                <w:szCs w:val="20"/>
                <w:lang w:eastAsia="ko-KR"/>
              </w:rPr>
              <w:t>Spreadtrum</w:t>
            </w:r>
            <w:proofErr w:type="spellEnd"/>
            <w:r>
              <w:rPr>
                <w:rFonts w:eastAsia="Malgun Gothic"/>
                <w:sz w:val="20"/>
                <w:szCs w:val="20"/>
                <w:lang w:eastAsia="ko-KR"/>
              </w:rPr>
              <w:t xml:space="preserve">, Qualcomm, Futurewei, Huawei, </w:t>
            </w:r>
            <w:proofErr w:type="spellStart"/>
            <w:r>
              <w:rPr>
                <w:rFonts w:eastAsia="Malgun Gothic"/>
                <w:sz w:val="20"/>
                <w:szCs w:val="20"/>
                <w:lang w:eastAsia="ko-KR"/>
              </w:rPr>
              <w:t>HiSilicon</w:t>
            </w:r>
            <w:proofErr w:type="spellEnd"/>
            <w:r>
              <w:rPr>
                <w:rFonts w:eastAsia="Malgun Gothic"/>
                <w:sz w:val="20"/>
                <w:szCs w:val="20"/>
                <w:lang w:eastAsia="ko-KR"/>
              </w:rPr>
              <w:t>,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xml:space="preserve">, Xiaomi, </w:t>
            </w:r>
            <w:proofErr w:type="spellStart"/>
            <w:r>
              <w:rPr>
                <w:rFonts w:eastAsia="Malgun Gothic"/>
                <w:sz w:val="20"/>
                <w:szCs w:val="20"/>
                <w:lang w:eastAsia="ko-KR"/>
              </w:rPr>
              <w:t>Spreadtrum</w:t>
            </w:r>
            <w:proofErr w:type="spellEnd"/>
            <w:r>
              <w:rPr>
                <w:rFonts w:eastAsia="Malgun Gothic"/>
                <w:sz w:val="20"/>
                <w:szCs w:val="20"/>
                <w:lang w:eastAsia="ko-KR"/>
              </w:rPr>
              <w:t xml:space="preserve">, Qualcomm, Futurewei, ZTE, Huawei, </w:t>
            </w:r>
            <w:proofErr w:type="spellStart"/>
            <w:r>
              <w:rPr>
                <w:rFonts w:eastAsia="Malgun Gothic"/>
                <w:sz w:val="20"/>
                <w:szCs w:val="20"/>
                <w:lang w:eastAsia="ko-KR"/>
              </w:rPr>
              <w:t>HiSilicon</w:t>
            </w:r>
            <w:proofErr w:type="spellEnd"/>
            <w:r>
              <w:rPr>
                <w:rFonts w:eastAsia="Malgun Gothic"/>
                <w:sz w:val="20"/>
                <w:szCs w:val="20"/>
                <w:lang w:eastAsia="ko-KR"/>
              </w:rPr>
              <w:t>,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Scheme 3-3: Support </w:t>
            </w:r>
            <w:proofErr w:type="spellStart"/>
            <w:r>
              <w:rPr>
                <w:rFonts w:eastAsiaTheme="minorEastAsia"/>
                <w:sz w:val="20"/>
                <w:szCs w:val="20"/>
              </w:rPr>
              <w:t>subband</w:t>
            </w:r>
            <w:proofErr w:type="spellEnd"/>
            <w:r>
              <w:rPr>
                <w:rFonts w:eastAsiaTheme="minorEastAsia"/>
                <w:sz w:val="20"/>
                <w:szCs w:val="20"/>
              </w:rPr>
              <w:t>-level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Lenovo, </w:t>
            </w:r>
            <w:proofErr w:type="spellStart"/>
            <w:r>
              <w:rPr>
                <w:rFonts w:eastAsia="Microsoft YaHei"/>
                <w:sz w:val="20"/>
                <w:szCs w:val="20"/>
              </w:rPr>
              <w:t>MotM</w:t>
            </w:r>
            <w:proofErr w:type="spellEnd"/>
          </w:p>
        </w:tc>
        <w:tc>
          <w:tcPr>
            <w:tcW w:w="7511" w:type="dxa"/>
            <w:shd w:val="clear" w:color="auto" w:fill="auto"/>
          </w:tcPr>
          <w:p w14:paraId="2AF019A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14:paraId="5815C7E8"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511" w:type="dxa"/>
            <w:shd w:val="clear" w:color="auto" w:fill="auto"/>
          </w:tcPr>
          <w:p w14:paraId="065F31E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2" w:name="_Toc54378766"/>
            <w:r>
              <w:rPr>
                <w:rFonts w:eastAsia="Microsoft YaHei"/>
                <w:sz w:val="20"/>
                <w:szCs w:val="20"/>
              </w:rPr>
              <w:t>The gains seen with increased SRS repetition factor depend largely on the reference case.</w:t>
            </w:r>
            <w:bookmarkEnd w:id="92"/>
          </w:p>
          <w:p w14:paraId="0D0AF212"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3" w:name="_Toc54378767"/>
            <w:r>
              <w:rPr>
                <w:rFonts w:eastAsia="Microsoft YaHei"/>
                <w:sz w:val="20"/>
                <w:szCs w:val="20"/>
              </w:rPr>
              <w:t>Only minor gains are found with increased SRS repetition for wideband reciprocity-based precoding.</w:t>
            </w:r>
            <w:bookmarkEnd w:id="93"/>
          </w:p>
          <w:p w14:paraId="77F54D04"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4" w:name="_Toc54378768"/>
            <w:r>
              <w:rPr>
                <w:rFonts w:eastAsia="Microsoft YaHei"/>
                <w:sz w:val="20"/>
                <w:szCs w:val="20"/>
              </w:rPr>
              <w:t>The throughput gain with SRS repetition quickly diminishes with increased UE speed.</w:t>
            </w:r>
            <w:bookmarkEnd w:id="94"/>
          </w:p>
          <w:p w14:paraId="1898804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5" w:name="_Toc54378769"/>
            <w:r>
              <w:rPr>
                <w:rFonts w:eastAsia="Microsoft YaHei"/>
                <w:sz w:val="20"/>
                <w:szCs w:val="20"/>
              </w:rPr>
              <w:t>Gains from SRS time bundling are noticeable, but not large, in the presence of larger amplitude error and at lower SNRs.</w:t>
            </w:r>
            <w:bookmarkEnd w:id="95"/>
          </w:p>
          <w:p w14:paraId="2D7EC88A"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6" w:name="_Toc54378770"/>
            <w:r>
              <w:rPr>
                <w:rFonts w:eastAsia="Microsoft YaHei"/>
                <w:sz w:val="20"/>
                <w:szCs w:val="20"/>
              </w:rPr>
              <w:t>Increased SRS repetition shows only marginal gains in system-level simulations for which SRS interference is taken into account.</w:t>
            </w:r>
            <w:bookmarkEnd w:id="96"/>
          </w:p>
          <w:p w14:paraId="73E0234E"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u w:val="single"/>
              </w:rPr>
            </w:pPr>
            <w:bookmarkStart w:id="97" w:name="_Toc54378771"/>
            <w:r>
              <w:rPr>
                <w:rFonts w:eastAsia="Microsoft YaHei"/>
                <w:sz w:val="20"/>
                <w:szCs w:val="20"/>
              </w:rPr>
              <w:t>Increasing the number of frequency hops per slot is an effective way to increase DL throughput with the same amount of SRS overhead.</w:t>
            </w:r>
            <w:bookmarkEnd w:id="97"/>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511" w:type="dxa"/>
            <w:shd w:val="clear" w:color="auto" w:fill="auto"/>
          </w:tcPr>
          <w:p w14:paraId="47E5A124"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gain in the DL throughput from SRS time bundling vanishes with increasing non-coherency.</w:t>
            </w:r>
          </w:p>
          <w:p w14:paraId="4F63C462" w14:textId="77777777" w:rsidR="008A23BD" w:rsidRDefault="00A93A50">
            <w:pPr>
              <w:pStyle w:val="ListParagraph"/>
              <w:widowControl w:val="0"/>
              <w:numPr>
                <w:ilvl w:val="0"/>
                <w:numId w:val="9"/>
              </w:numPr>
              <w:snapToGrid w:val="0"/>
              <w:spacing w:before="120" w:after="120" w:line="240" w:lineRule="auto"/>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14:paraId="4171C96E"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ListParagraph"/>
              <w:widowControl w:val="0"/>
              <w:numPr>
                <w:ilvl w:val="0"/>
                <w:numId w:val="9"/>
              </w:numPr>
              <w:snapToGrid w:val="0"/>
              <w:spacing w:before="120" w:after="120" w:line="240" w:lineRule="auto"/>
              <w:rPr>
                <w:rFonts w:eastAsia="Microsoft YaHei"/>
                <w:bCs/>
                <w:iCs/>
                <w:sz w:val="20"/>
                <w:szCs w:val="20"/>
                <w:lang w:val="en-GB"/>
              </w:rPr>
            </w:pPr>
            <w:r>
              <w:rPr>
                <w:rFonts w:eastAsia="Microsoft YaHei"/>
                <w:bCs/>
                <w:iCs/>
                <w:sz w:val="20"/>
                <w:szCs w:val="20"/>
                <w:lang w:val="en-GB"/>
              </w:rPr>
              <w:lastRenderedPageBreak/>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rPr>
              <w:t>Larger comb increases the channel capacity while preserving a similar performance to comb 2.</w:t>
            </w:r>
          </w:p>
          <w:p w14:paraId="5E8A50F0"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7511" w:type="dxa"/>
            <w:shd w:val="clear" w:color="auto" w:fill="auto"/>
          </w:tcPr>
          <w:p w14:paraId="000AE091"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performance of SRS bounding is impacted significantly by TA misalignment, which should be addressed for SRS bundling.</w:t>
            </w:r>
          </w:p>
          <w:p w14:paraId="3C55DC50"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Partial sounding can provide better performance than legacy SRS hopping for the case with 24 RBs SRS hopping bandwidth.</w:t>
            </w:r>
          </w:p>
          <w:p w14:paraId="0A7B6F79" w14:textId="77777777" w:rsidR="008A23BD" w:rsidRDefault="00A93A50">
            <w:pPr>
              <w:pStyle w:val="ListParagraph"/>
              <w:widowControl w:val="0"/>
              <w:numPr>
                <w:ilvl w:val="0"/>
                <w:numId w:val="9"/>
              </w:numPr>
              <w:snapToGrid w:val="0"/>
              <w:spacing w:before="120" w:after="120" w:line="240" w:lineRule="auto"/>
              <w:rPr>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Microsoft YaHei"/>
                <w:sz w:val="20"/>
                <w:szCs w:val="20"/>
                <w:u w:val="single"/>
              </w:rPr>
            </w:pPr>
            <w:r>
              <w:rPr>
                <w:rFonts w:eastAsia="Microsoft YaHei"/>
                <w:sz w:val="20"/>
                <w:szCs w:val="20"/>
              </w:rPr>
              <w:t xml:space="preserve">Inter-slot repetition doesn’t bring much performance degradation if suitable symbol </w:t>
            </w:r>
            <w:r>
              <w:rPr>
                <w:rFonts w:eastAsia="Microsoft YaHei"/>
                <w:sz w:val="20"/>
                <w:szCs w:val="20"/>
              </w:rPr>
              <w:lastRenderedPageBreak/>
              <w:t>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7511" w:type="dxa"/>
            <w:shd w:val="clear" w:color="auto" w:fill="auto"/>
          </w:tcPr>
          <w:p w14:paraId="3226391C"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LLS results for coverage enhancement</w:t>
            </w:r>
          </w:p>
          <w:p w14:paraId="7F69B971"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All the three Classes can achieve gain on single-link performance compared with baseline.</w:t>
            </w:r>
          </w:p>
          <w:p w14:paraId="15FC0ED4"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time bundling is about 1-2dB over baseline.</w:t>
            </w:r>
          </w:p>
          <w:p w14:paraId="01D1885A"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partial frequency sounding is about 0.5-1dB over baseline.</w:t>
            </w:r>
          </w:p>
          <w:p w14:paraId="5E68940C"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8 repetitions is about 1-2dB over 4 repetitions.</w:t>
            </w:r>
          </w:p>
          <w:p w14:paraId="6D0488C5"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SLS results for coverage and capacity enhancement</w:t>
            </w:r>
          </w:p>
          <w:p w14:paraId="61FFDA6F"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Partial frequency sounding can bring significant system-level performance gain compared with baseline schemes.</w:t>
            </w:r>
          </w:p>
          <w:p w14:paraId="2F6BD1AE"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Performance loss of increasing repetition is significant if there is no way to compensate the loss of SRS capacity.</w:t>
            </w:r>
          </w:p>
          <w:p w14:paraId="5657D5A1" w14:textId="77777777" w:rsidR="008A23BD" w:rsidRDefault="00A93A50">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7511" w:type="dxa"/>
            <w:shd w:val="clear" w:color="auto" w:fill="auto"/>
          </w:tcPr>
          <w:p w14:paraId="3A5F29E5" w14:textId="77777777" w:rsidR="008A23BD" w:rsidRDefault="00A93A50">
            <w:pPr>
              <w:pStyle w:val="ListParagraph"/>
              <w:numPr>
                <w:ilvl w:val="0"/>
                <w:numId w:val="13"/>
              </w:numPr>
              <w:snapToGrid w:val="0"/>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14:paraId="6FD70289" w14:textId="77777777" w:rsidR="008A23BD" w:rsidRDefault="00A93A50">
            <w:pPr>
              <w:pStyle w:val="ListParagraph"/>
              <w:numPr>
                <w:ilvl w:val="0"/>
                <w:numId w:val="13"/>
              </w:numPr>
              <w:snapToGrid w:val="0"/>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511" w:type="dxa"/>
            <w:shd w:val="clear" w:color="auto" w:fill="auto"/>
          </w:tcPr>
          <w:p w14:paraId="51F46E64" w14:textId="77777777" w:rsidR="008A23BD" w:rsidRDefault="00A93A50">
            <w:pPr>
              <w:snapToGrid w:val="0"/>
              <w:spacing w:before="120" w:after="120"/>
              <w:rPr>
                <w:rFonts w:eastAsia="Microsoft YaHei"/>
                <w:sz w:val="20"/>
                <w:szCs w:val="20"/>
              </w:rPr>
            </w:pPr>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Microsoft YaHei"/>
          <w:sz w:val="20"/>
          <w:szCs w:val="20"/>
        </w:rPr>
        <w:t>non-coherency.</w:t>
      </w:r>
    </w:p>
    <w:p w14:paraId="3C55218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2 can achieve gain on link-level performance, but it may bring loss on system-level capacity.</w:t>
      </w:r>
    </w:p>
    <w:p w14:paraId="28F4D5A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98"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ListParagraph"/>
        <w:widowControl w:val="0"/>
        <w:numPr>
          <w:ilvl w:val="0"/>
          <w:numId w:val="22"/>
        </w:numPr>
        <w:snapToGrid w:val="0"/>
        <w:spacing w:before="120" w:after="120" w:line="240" w:lineRule="auto"/>
        <w:jc w:val="both"/>
        <w:rPr>
          <w:rFonts w:eastAsiaTheme="minorEastAsia"/>
          <w:i/>
          <w:sz w:val="20"/>
          <w:szCs w:val="20"/>
        </w:rPr>
      </w:pPr>
      <w:ins w:id="99" w:author="ZTE" w:date="2020-11-03T20:51:00Z">
        <w:r w:rsidRPr="00D13E8B">
          <w:rPr>
            <w:i/>
            <w:sz w:val="20"/>
            <w:szCs w:val="20"/>
          </w:rPr>
          <w:t xml:space="preserve">Note: Extensions of Rel-15/16 frequency hopping are </w:t>
        </w:r>
      </w:ins>
      <w:ins w:id="100" w:author="ZTE" w:date="2020-11-03T20:52:00Z">
        <w:r w:rsidR="002B5053">
          <w:rPr>
            <w:i/>
            <w:sz w:val="20"/>
            <w:szCs w:val="20"/>
          </w:rPr>
          <w:t>included</w:t>
        </w:r>
      </w:ins>
      <w:ins w:id="101"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02"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03" w:author="ZTE" w:date="2020-11-03T20:52:00Z"/>
          <w:rFonts w:eastAsiaTheme="minorEastAsia"/>
          <w:i/>
          <w:sz w:val="20"/>
          <w:szCs w:val="20"/>
        </w:rPr>
      </w:pPr>
      <w:ins w:id="104"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05" w:author="ZTE" w:date="2020-11-03T20:57:00Z">
        <w:r w:rsidR="00290435">
          <w:rPr>
            <w:rFonts w:eastAsiaTheme="minorEastAsia"/>
            <w:i/>
            <w:sz w:val="20"/>
            <w:szCs w:val="20"/>
          </w:rPr>
          <w:t>:</w:t>
        </w:r>
      </w:ins>
    </w:p>
    <w:p w14:paraId="2767BAEA" w14:textId="77777777" w:rsidR="001B3F42" w:rsidRPr="00DC4CA1" w:rsidRDefault="001465F3" w:rsidP="00DC4CA1">
      <w:pPr>
        <w:pStyle w:val="ListParagraph"/>
        <w:widowControl w:val="0"/>
        <w:numPr>
          <w:ilvl w:val="0"/>
          <w:numId w:val="22"/>
        </w:numPr>
        <w:snapToGrid w:val="0"/>
        <w:spacing w:before="120" w:after="120" w:line="240" w:lineRule="auto"/>
        <w:jc w:val="both"/>
        <w:rPr>
          <w:ins w:id="106" w:author="ZTE" w:date="2020-11-03T20:53:00Z"/>
          <w:rFonts w:eastAsiaTheme="minorEastAsia"/>
          <w:i/>
          <w:sz w:val="20"/>
          <w:szCs w:val="20"/>
        </w:rPr>
      </w:pPr>
      <w:ins w:id="107"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ListParagraph"/>
        <w:widowControl w:val="0"/>
        <w:numPr>
          <w:ilvl w:val="0"/>
          <w:numId w:val="22"/>
        </w:numPr>
        <w:snapToGrid w:val="0"/>
        <w:spacing w:before="120" w:after="120" w:line="240" w:lineRule="auto"/>
        <w:jc w:val="both"/>
        <w:rPr>
          <w:ins w:id="108" w:author="ZTE" w:date="2020-11-03T20:54:00Z"/>
          <w:rFonts w:eastAsiaTheme="minorEastAsia"/>
          <w:i/>
          <w:sz w:val="20"/>
          <w:szCs w:val="20"/>
        </w:rPr>
      </w:pPr>
      <w:ins w:id="109"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ListParagraph"/>
        <w:widowControl w:val="0"/>
        <w:numPr>
          <w:ilvl w:val="0"/>
          <w:numId w:val="22"/>
        </w:numPr>
        <w:snapToGrid w:val="0"/>
        <w:spacing w:before="120" w:after="120" w:line="240" w:lineRule="auto"/>
        <w:jc w:val="both"/>
        <w:rPr>
          <w:ins w:id="110" w:author="ZTE" w:date="2020-11-03T20:55:00Z"/>
          <w:rFonts w:eastAsiaTheme="minorEastAsia"/>
          <w:i/>
          <w:sz w:val="20"/>
          <w:szCs w:val="20"/>
        </w:rPr>
      </w:pPr>
      <w:ins w:id="111"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12" w:author="ZTE" w:date="2020-11-03T20:55:00Z">
        <w:r w:rsidR="00D42573" w:rsidRPr="00DC4CA1">
          <w:rPr>
            <w:rFonts w:eastAsiaTheme="minorEastAsia"/>
            <w:i/>
            <w:sz w:val="20"/>
            <w:szCs w:val="20"/>
          </w:rPr>
          <w:t>r</w:t>
        </w:r>
      </w:ins>
      <w:ins w:id="113"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ListParagraph"/>
        <w:widowControl w:val="0"/>
        <w:numPr>
          <w:ilvl w:val="0"/>
          <w:numId w:val="22"/>
        </w:numPr>
        <w:snapToGrid w:val="0"/>
        <w:spacing w:before="120" w:after="120" w:line="240" w:lineRule="auto"/>
        <w:jc w:val="both"/>
        <w:rPr>
          <w:ins w:id="114" w:author="ZTE" w:date="2020-11-03T20:52:00Z"/>
          <w:rFonts w:eastAsiaTheme="minorEastAsia"/>
          <w:sz w:val="20"/>
          <w:szCs w:val="20"/>
        </w:rPr>
      </w:pPr>
      <w:ins w:id="115" w:author="ZTE" w:date="2020-11-03T20:55:00Z">
        <w:r w:rsidRPr="00DC4CA1">
          <w:rPr>
            <w:rFonts w:eastAsiaTheme="minorEastAsia"/>
            <w:i/>
            <w:sz w:val="20"/>
            <w:szCs w:val="20"/>
          </w:rPr>
          <w:t>Scheme 2-3: Support inter-slot repetition</w:t>
        </w:r>
      </w:ins>
      <w:ins w:id="116"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17"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18" w:author="ZTE" w:date="2020-11-03T20:58:00Z"/>
          <w:rFonts w:eastAsiaTheme="minorEastAsia"/>
          <w:i/>
          <w:sz w:val="20"/>
          <w:szCs w:val="20"/>
        </w:rPr>
      </w:pPr>
      <w:ins w:id="119" w:author="ZTE" w:date="2020-11-03T20:58:00Z">
        <w:r w:rsidRPr="00A91ABA">
          <w:rPr>
            <w:rFonts w:eastAsiaTheme="minorEastAsia" w:hint="eastAsia"/>
            <w:b/>
            <w:i/>
            <w:sz w:val="20"/>
            <w:szCs w:val="20"/>
            <w:highlight w:val="yellow"/>
          </w:rPr>
          <w:lastRenderedPageBreak/>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ListParagraph"/>
        <w:widowControl w:val="0"/>
        <w:numPr>
          <w:ilvl w:val="0"/>
          <w:numId w:val="23"/>
        </w:numPr>
        <w:snapToGrid w:val="0"/>
        <w:spacing w:before="120" w:after="120" w:line="240" w:lineRule="auto"/>
        <w:jc w:val="both"/>
        <w:rPr>
          <w:ins w:id="120" w:author="ZTE" w:date="2020-11-03T20:59:00Z"/>
          <w:rFonts w:eastAsiaTheme="minorEastAsia"/>
          <w:i/>
          <w:sz w:val="20"/>
          <w:szCs w:val="20"/>
        </w:rPr>
      </w:pPr>
      <w:ins w:id="121" w:author="ZTE" w:date="2020-11-03T20:58:00Z">
        <w:r w:rsidRPr="00A91ABA">
          <w:rPr>
            <w:rFonts w:eastAsiaTheme="minorEastAsia"/>
            <w:i/>
            <w:sz w:val="20"/>
            <w:szCs w:val="20"/>
          </w:rPr>
          <w:t>Scheme 3-1</w:t>
        </w:r>
      </w:ins>
      <w:ins w:id="122" w:author="ZTE" w:date="2020-11-03T20:59:00Z">
        <w:r w:rsidRPr="00A91ABA">
          <w:rPr>
            <w:rFonts w:eastAsiaTheme="minorEastAsia"/>
            <w:i/>
            <w:sz w:val="20"/>
            <w:szCs w:val="20"/>
          </w:rPr>
          <w:t xml:space="preserve">: </w:t>
        </w:r>
      </w:ins>
      <w:ins w:id="123"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ListParagraph"/>
        <w:widowControl w:val="0"/>
        <w:numPr>
          <w:ilvl w:val="0"/>
          <w:numId w:val="23"/>
        </w:numPr>
        <w:snapToGrid w:val="0"/>
        <w:spacing w:before="120" w:after="120" w:line="240" w:lineRule="auto"/>
        <w:jc w:val="both"/>
        <w:rPr>
          <w:ins w:id="124" w:author="ZTE" w:date="2020-11-03T20:59:00Z"/>
          <w:rFonts w:eastAsiaTheme="minorEastAsia"/>
          <w:i/>
          <w:sz w:val="20"/>
          <w:szCs w:val="20"/>
        </w:rPr>
      </w:pPr>
      <w:ins w:id="125"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ListParagraph"/>
        <w:widowControl w:val="0"/>
        <w:numPr>
          <w:ilvl w:val="0"/>
          <w:numId w:val="23"/>
        </w:numPr>
        <w:snapToGrid w:val="0"/>
        <w:spacing w:before="120" w:after="120" w:line="240" w:lineRule="auto"/>
        <w:jc w:val="both"/>
        <w:rPr>
          <w:ins w:id="126" w:author="ZTE" w:date="2020-11-04T07:57:00Z"/>
          <w:rFonts w:eastAsiaTheme="minorEastAsia"/>
          <w:i/>
          <w:sz w:val="20"/>
          <w:szCs w:val="20"/>
        </w:rPr>
      </w:pPr>
      <w:ins w:id="127" w:author="ZTE" w:date="2020-11-03T20:59:00Z">
        <w:r w:rsidRPr="00A91ABA">
          <w:rPr>
            <w:rFonts w:eastAsiaTheme="minorEastAsia"/>
            <w:i/>
            <w:sz w:val="20"/>
            <w:szCs w:val="20"/>
          </w:rPr>
          <w:t xml:space="preserve">Scheme 3-3: Support </w:t>
        </w:r>
        <w:proofErr w:type="spellStart"/>
        <w:r w:rsidRPr="00A91ABA">
          <w:rPr>
            <w:rFonts w:eastAsiaTheme="minorEastAsia"/>
            <w:i/>
            <w:sz w:val="20"/>
            <w:szCs w:val="20"/>
          </w:rPr>
          <w:t>subband</w:t>
        </w:r>
        <w:proofErr w:type="spellEnd"/>
        <w:r w:rsidRPr="00A91ABA">
          <w:rPr>
            <w:rFonts w:eastAsiaTheme="minorEastAsia"/>
            <w:i/>
            <w:sz w:val="20"/>
            <w:szCs w:val="20"/>
          </w:rPr>
          <w:t>-level partial frequency sounding</w:t>
        </w:r>
      </w:ins>
    </w:p>
    <w:p w14:paraId="359F9C28" w14:textId="3AD4A0EE" w:rsidR="00B66D4B" w:rsidRDefault="00B66D4B" w:rsidP="00A91ABA">
      <w:pPr>
        <w:pStyle w:val="ListParagraph"/>
        <w:widowControl w:val="0"/>
        <w:numPr>
          <w:ilvl w:val="0"/>
          <w:numId w:val="23"/>
        </w:numPr>
        <w:snapToGrid w:val="0"/>
        <w:spacing w:before="120" w:after="120" w:line="240" w:lineRule="auto"/>
        <w:jc w:val="both"/>
        <w:rPr>
          <w:ins w:id="128" w:author="ZTE" w:date="2020-11-04T07:57:00Z"/>
          <w:rFonts w:eastAsiaTheme="minorEastAsia"/>
          <w:i/>
          <w:sz w:val="20"/>
          <w:szCs w:val="20"/>
        </w:rPr>
      </w:pPr>
      <w:ins w:id="129"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315755DC" w14:textId="30096041" w:rsidR="00E922D3" w:rsidRPr="00A91ABA" w:rsidRDefault="00E922D3" w:rsidP="00A91ABA">
      <w:pPr>
        <w:pStyle w:val="ListParagraph"/>
        <w:widowControl w:val="0"/>
        <w:numPr>
          <w:ilvl w:val="0"/>
          <w:numId w:val="23"/>
        </w:numPr>
        <w:snapToGrid w:val="0"/>
        <w:spacing w:before="120" w:after="120" w:line="240" w:lineRule="auto"/>
        <w:jc w:val="both"/>
        <w:rPr>
          <w:ins w:id="130" w:author="ZTE" w:date="2020-11-03T20:57:00Z"/>
          <w:rFonts w:eastAsiaTheme="minorEastAsia"/>
          <w:i/>
          <w:sz w:val="20"/>
          <w:szCs w:val="20"/>
        </w:rPr>
      </w:pPr>
      <w:ins w:id="131"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32A9DE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7344877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Microsoft YaHei"/>
                <w:sz w:val="20"/>
                <w:szCs w:val="20"/>
              </w:rPr>
            </w:pPr>
            <w:r>
              <w:rPr>
                <w:rFonts w:eastAsia="Microsoft YaHei"/>
                <w:b/>
                <w:bCs/>
                <w:sz w:val="20"/>
                <w:szCs w:val="20"/>
              </w:rPr>
              <w:t xml:space="preserve">Support the FL proposal, except that extensions to frequency hopping should be clarified. </w:t>
            </w:r>
            <w:r>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ListBullet"/>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Microsoft YaHei"/>
                <w:sz w:val="20"/>
                <w:szCs w:val="20"/>
              </w:rPr>
              <w:t xml:space="preserve"> </w:t>
            </w:r>
          </w:p>
          <w:p w14:paraId="017768BB" w14:textId="77777777" w:rsidR="008A23BD" w:rsidRDefault="008A23BD">
            <w:pPr>
              <w:widowControl w:val="0"/>
              <w:snapToGrid w:val="0"/>
              <w:spacing w:before="120" w:after="120" w:line="240" w:lineRule="auto"/>
              <w:rPr>
                <w:rFonts w:eastAsia="Microsoft YaHei"/>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Microsoft YaHei"/>
                <w:b/>
                <w:bCs/>
                <w:sz w:val="20"/>
                <w:szCs w:val="20"/>
              </w:rPr>
            </w:pPr>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Microsoft YaHei"/>
                <w:sz w:val="20"/>
                <w:szCs w:val="20"/>
              </w:rPr>
            </w:pPr>
            <w:r>
              <w:rPr>
                <w:rFonts w:eastAsia="Microsoft YaHei"/>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These two schemes are similar.</w:t>
            </w:r>
          </w:p>
          <w:p w14:paraId="7AF95016"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Microsoft YaHei"/>
                <w:sz w:val="20"/>
                <w:szCs w:val="20"/>
              </w:rPr>
            </w:pPr>
            <w:r>
              <w:rPr>
                <w:rFonts w:eastAsia="Microsoft YaHei"/>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Microsoft YaHei"/>
                <w:sz w:val="20"/>
                <w:szCs w:val="20"/>
              </w:rPr>
            </w:pPr>
            <w:r>
              <w:rPr>
                <w:rFonts w:eastAsia="Microsoft YaHei"/>
                <w:sz w:val="20"/>
                <w:szCs w:val="20"/>
              </w:rPr>
              <w:t>We agree with Ericson that frequency hopping should be considered for all schemes. From our evaluation, we see f</w:t>
            </w:r>
            <w:r w:rsidRPr="00462DA4">
              <w:rPr>
                <w:rFonts w:eastAsia="Microsoft YaHei"/>
                <w:sz w:val="20"/>
                <w:szCs w:val="20"/>
              </w:rPr>
              <w:t xml:space="preserve">requency hopping within SRS </w:t>
            </w:r>
            <w:r>
              <w:rPr>
                <w:rFonts w:eastAsia="Microsoft YaHei"/>
                <w:sz w:val="20"/>
                <w:szCs w:val="20"/>
              </w:rPr>
              <w:t>resource</w:t>
            </w:r>
            <w:r w:rsidRPr="00462DA4">
              <w:rPr>
                <w:rFonts w:eastAsia="Microsoft YaHei"/>
                <w:sz w:val="20"/>
                <w:szCs w:val="20"/>
              </w:rPr>
              <w:t xml:space="preserve"> </w:t>
            </w:r>
            <w:r>
              <w:rPr>
                <w:rFonts w:eastAsia="Microsoft YaHei"/>
                <w:sz w:val="20"/>
                <w:szCs w:val="20"/>
              </w:rPr>
              <w:t>improves</w:t>
            </w:r>
            <w:r w:rsidRPr="00462DA4">
              <w:rPr>
                <w:rFonts w:eastAsia="Microsoft YaHei"/>
                <w:sz w:val="20"/>
                <w:szCs w:val="20"/>
              </w:rPr>
              <w:t xml:space="preserve"> DL throughput while preserving the </w:t>
            </w:r>
            <w:r>
              <w:rPr>
                <w:rFonts w:eastAsia="Microsoft YaHei"/>
                <w:sz w:val="20"/>
                <w:szCs w:val="20"/>
              </w:rPr>
              <w:t xml:space="preserve">SRS </w:t>
            </w:r>
            <w:r w:rsidRPr="00462DA4">
              <w:rPr>
                <w:rFonts w:eastAsia="Microsoft YaHei"/>
                <w:sz w:val="20"/>
                <w:szCs w:val="20"/>
              </w:rPr>
              <w:t>capacity</w:t>
            </w:r>
            <w:r>
              <w:rPr>
                <w:rFonts w:eastAsia="Microsoft YaHei"/>
                <w:sz w:val="20"/>
                <w:szCs w:val="20"/>
              </w:rPr>
              <w:t xml:space="preserve">. </w:t>
            </w:r>
          </w:p>
          <w:p w14:paraId="47B4F0BB" w14:textId="77777777" w:rsidR="005138A2" w:rsidRDefault="005138A2" w:rsidP="005138A2">
            <w:pPr>
              <w:widowControl w:val="0"/>
              <w:snapToGrid w:val="0"/>
              <w:spacing w:before="120" w:after="120" w:line="240" w:lineRule="auto"/>
              <w:rPr>
                <w:rFonts w:eastAsia="Microsoft YaHei"/>
                <w:sz w:val="20"/>
                <w:szCs w:val="20"/>
              </w:rPr>
            </w:pPr>
            <w:r>
              <w:rPr>
                <w:rFonts w:eastAsia="Microsoft YaHei"/>
                <w:sz w:val="20"/>
                <w:szCs w:val="20"/>
              </w:rPr>
              <w:t xml:space="preserve">For partial frequency sounding schemes, we like to add a note that PAPR issues should be considered for the evaluation and comparison between the candidate </w:t>
            </w:r>
            <w:r>
              <w:rPr>
                <w:rFonts w:eastAsia="Microsoft YaHei"/>
                <w:sz w:val="20"/>
                <w:szCs w:val="20"/>
              </w:rPr>
              <w:lastRenderedPageBreak/>
              <w:t xml:space="preserve">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Microsoft YaHei"/>
                <w:bCs/>
                <w:iCs/>
                <w:sz w:val="20"/>
                <w:szCs w:val="20"/>
                <w:lang w:val="en-GB"/>
              </w:rPr>
            </w:pPr>
            <w:r>
              <w:rPr>
                <w:rFonts w:eastAsia="Microsoft YaHei"/>
                <w:sz w:val="20"/>
                <w:szCs w:val="20"/>
              </w:rPr>
              <w:t xml:space="preserve">One major issue with partial freq. sounding is </w:t>
            </w:r>
            <w:proofErr w:type="spellStart"/>
            <w:r>
              <w:rPr>
                <w:rFonts w:eastAsia="Microsoft YaHei"/>
                <w:sz w:val="20"/>
                <w:szCs w:val="20"/>
              </w:rPr>
              <w:t>gNB</w:t>
            </w:r>
            <w:proofErr w:type="spellEnd"/>
            <w:r>
              <w:rPr>
                <w:rFonts w:eastAsia="Microsoft YaHei"/>
                <w:sz w:val="20"/>
                <w:szCs w:val="20"/>
              </w:rPr>
              <w:t xml:space="preserve"> limited knowledge of channel and interference at the UE. To tackle this issue, we showed in our </w:t>
            </w:r>
            <w:proofErr w:type="spellStart"/>
            <w:r>
              <w:rPr>
                <w:rFonts w:eastAsia="Microsoft YaHei"/>
                <w:sz w:val="20"/>
                <w:szCs w:val="20"/>
              </w:rPr>
              <w:t>tdocs</w:t>
            </w:r>
            <w:proofErr w:type="spellEnd"/>
            <w:r>
              <w:rPr>
                <w:rFonts w:eastAsia="Microsoft YaHei"/>
                <w:sz w:val="20"/>
                <w:szCs w:val="20"/>
              </w:rPr>
              <w:t xml:space="preserve"> that SRS precoding (whitening) assisted with CSI-RS helps the network in reciprocity-based scenario to improve DL precoding by avoiding interference subspace </w:t>
            </w:r>
            <w:r>
              <w:rPr>
                <w:rFonts w:eastAsia="Microsoft YaHei"/>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Microsoft YaHei"/>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 xml:space="preserve">Scheme 3-3: Support </w:t>
            </w:r>
            <w:proofErr w:type="spellStart"/>
            <w:r w:rsidRPr="00A91ABA">
              <w:rPr>
                <w:rFonts w:eastAsiaTheme="minorEastAsia"/>
                <w:i/>
                <w:sz w:val="20"/>
                <w:szCs w:val="20"/>
              </w:rPr>
              <w:t>subband</w:t>
            </w:r>
            <w:proofErr w:type="spellEnd"/>
            <w:r w:rsidRPr="00A91ABA">
              <w:rPr>
                <w:rFonts w:eastAsiaTheme="minorEastAsia"/>
                <w:i/>
                <w:sz w:val="20"/>
                <w:szCs w:val="20"/>
              </w:rPr>
              <w:t>-level partial frequency sounding</w:t>
            </w:r>
          </w:p>
          <w:p w14:paraId="5813ED8E"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Microsoft YaHei"/>
                <w:sz w:val="20"/>
                <w:szCs w:val="20"/>
              </w:rPr>
            </w:pPr>
          </w:p>
        </w:tc>
      </w:tr>
    </w:tbl>
    <w:p w14:paraId="68FFB5F6" w14:textId="7777777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Microsoft YaHei"/>
          <w:b/>
          <w:i/>
          <w:sz w:val="20"/>
          <w:szCs w:val="20"/>
        </w:rPr>
      </w:pPr>
    </w:p>
    <w:p w14:paraId="035890A3" w14:textId="77777777" w:rsidR="008A23BD" w:rsidRDefault="008A23BD">
      <w:pPr>
        <w:widowControl w:val="0"/>
        <w:snapToGrid w:val="0"/>
        <w:spacing w:before="120" w:after="120" w:line="240" w:lineRule="auto"/>
        <w:jc w:val="both"/>
        <w:rPr>
          <w:rFonts w:eastAsia="Microsoft YaHei"/>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xml:space="preserve">. the total combinations PDCCH and SRS locations for </w:t>
            </w:r>
            <w:proofErr w:type="spellStart"/>
            <w:r>
              <w:rPr>
                <w:rFonts w:eastAsia="Microsoft YaHei"/>
                <w:sz w:val="20"/>
                <w:szCs w:val="20"/>
              </w:rPr>
              <w:t>gNB</w:t>
            </w:r>
            <w:proofErr w:type="spellEnd"/>
            <w:r>
              <w:rPr>
                <w:rFonts w:eastAsia="Microsoft YaHei"/>
                <w:sz w:val="20"/>
                <w:szCs w:val="20"/>
              </w:rPr>
              <w:t xml:space="preserve">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4F146C3"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Pr>
                <w:rFonts w:eastAsia="Microsoft YaHei"/>
                <w:sz w:val="20"/>
                <w:szCs w:val="20"/>
              </w:rPr>
              <w:lastRenderedPageBreak/>
              <w:t>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5D68877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Microsoft YaHei"/>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303C2896" w14:textId="77777777" w:rsidR="008A23BD" w:rsidRDefault="00A93A50">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0567" w14:textId="77777777" w:rsidR="006D5562" w:rsidRDefault="006D5562" w:rsidP="00DD1D10">
      <w:pPr>
        <w:spacing w:after="0" w:line="240" w:lineRule="auto"/>
      </w:pPr>
      <w:r>
        <w:separator/>
      </w:r>
    </w:p>
  </w:endnote>
  <w:endnote w:type="continuationSeparator" w:id="0">
    <w:p w14:paraId="14CE44AD" w14:textId="77777777" w:rsidR="006D5562" w:rsidRDefault="006D556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64570" w14:textId="77777777" w:rsidR="006D5562" w:rsidRDefault="006D5562" w:rsidP="00DD1D10">
      <w:pPr>
        <w:spacing w:after="0" w:line="240" w:lineRule="auto"/>
      </w:pPr>
      <w:r>
        <w:separator/>
      </w:r>
    </w:p>
  </w:footnote>
  <w:footnote w:type="continuationSeparator" w:id="0">
    <w:p w14:paraId="76FAC804" w14:textId="77777777" w:rsidR="006D5562" w:rsidRDefault="006D5562"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2"/>
  </w:num>
  <w:num w:numId="4">
    <w:abstractNumId w:val="13"/>
  </w:num>
  <w:num w:numId="5">
    <w:abstractNumId w:val="18"/>
  </w:num>
  <w:num w:numId="6">
    <w:abstractNumId w:val="21"/>
  </w:num>
  <w:num w:numId="7">
    <w:abstractNumId w:val="2"/>
  </w:num>
  <w:num w:numId="8">
    <w:abstractNumId w:val="0"/>
  </w:num>
  <w:num w:numId="9">
    <w:abstractNumId w:val="20"/>
  </w:num>
  <w:num w:numId="10">
    <w:abstractNumId w:val="6"/>
  </w:num>
  <w:num w:numId="11">
    <w:abstractNumId w:val="5"/>
  </w:num>
  <w:num w:numId="12">
    <w:abstractNumId w:val="9"/>
  </w:num>
  <w:num w:numId="13">
    <w:abstractNumId w:val="11"/>
  </w:num>
  <w:num w:numId="14">
    <w:abstractNumId w:val="23"/>
  </w:num>
  <w:num w:numId="15">
    <w:abstractNumId w:val="4"/>
  </w:num>
  <w:num w:numId="16">
    <w:abstractNumId w:val="10"/>
  </w:num>
  <w:num w:numId="17">
    <w:abstractNumId w:val="7"/>
  </w:num>
  <w:num w:numId="18">
    <w:abstractNumId w:val="12"/>
  </w:num>
  <w:num w:numId="19">
    <w:abstractNumId w:val="16"/>
  </w:num>
  <w:num w:numId="20">
    <w:abstractNumId w:val="14"/>
  </w:num>
  <w:num w:numId="21">
    <w:abstractNumId w:val="15"/>
  </w:num>
  <w:num w:numId="22">
    <w:abstractNumId w:val="8"/>
  </w:num>
  <w:num w:numId="23">
    <w:abstractNumId w:val="24"/>
  </w:num>
  <w:num w:numId="24">
    <w:abstractNumId w:val="1"/>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3BD"/>
    <w:rsid w:val="0000174C"/>
    <w:rsid w:val="000451D0"/>
    <w:rsid w:val="00067E79"/>
    <w:rsid w:val="0008069D"/>
    <w:rsid w:val="000807EB"/>
    <w:rsid w:val="000A23A7"/>
    <w:rsid w:val="000E688C"/>
    <w:rsid w:val="000E7912"/>
    <w:rsid w:val="00112F4E"/>
    <w:rsid w:val="0014048F"/>
    <w:rsid w:val="001465F3"/>
    <w:rsid w:val="00191E67"/>
    <w:rsid w:val="0019258E"/>
    <w:rsid w:val="001B3F42"/>
    <w:rsid w:val="001E05DF"/>
    <w:rsid w:val="001E3F56"/>
    <w:rsid w:val="00201223"/>
    <w:rsid w:val="00213D8E"/>
    <w:rsid w:val="0023169C"/>
    <w:rsid w:val="00237756"/>
    <w:rsid w:val="00247D37"/>
    <w:rsid w:val="0026397B"/>
    <w:rsid w:val="002843BD"/>
    <w:rsid w:val="00290435"/>
    <w:rsid w:val="002B5053"/>
    <w:rsid w:val="002C2069"/>
    <w:rsid w:val="002F57CF"/>
    <w:rsid w:val="0030672C"/>
    <w:rsid w:val="00367BB5"/>
    <w:rsid w:val="00391449"/>
    <w:rsid w:val="00397C41"/>
    <w:rsid w:val="00446C70"/>
    <w:rsid w:val="00453F26"/>
    <w:rsid w:val="004633C5"/>
    <w:rsid w:val="00473380"/>
    <w:rsid w:val="00494458"/>
    <w:rsid w:val="004D3143"/>
    <w:rsid w:val="004E0C27"/>
    <w:rsid w:val="005138A2"/>
    <w:rsid w:val="005212F8"/>
    <w:rsid w:val="00532F3C"/>
    <w:rsid w:val="005427E4"/>
    <w:rsid w:val="00550786"/>
    <w:rsid w:val="00554FBC"/>
    <w:rsid w:val="005964FE"/>
    <w:rsid w:val="005A691D"/>
    <w:rsid w:val="005B3C6B"/>
    <w:rsid w:val="005B4CCF"/>
    <w:rsid w:val="005C0A63"/>
    <w:rsid w:val="005C1229"/>
    <w:rsid w:val="00631202"/>
    <w:rsid w:val="00642E8C"/>
    <w:rsid w:val="00646FF7"/>
    <w:rsid w:val="00684ACD"/>
    <w:rsid w:val="00692005"/>
    <w:rsid w:val="006A7B8D"/>
    <w:rsid w:val="006B1534"/>
    <w:rsid w:val="006C611F"/>
    <w:rsid w:val="006D061E"/>
    <w:rsid w:val="006D5562"/>
    <w:rsid w:val="007111B7"/>
    <w:rsid w:val="007550A8"/>
    <w:rsid w:val="007B47BD"/>
    <w:rsid w:val="007C2032"/>
    <w:rsid w:val="007D4FF8"/>
    <w:rsid w:val="007E0F85"/>
    <w:rsid w:val="007F4515"/>
    <w:rsid w:val="008474B2"/>
    <w:rsid w:val="008679CE"/>
    <w:rsid w:val="008A1FF7"/>
    <w:rsid w:val="008A23BD"/>
    <w:rsid w:val="008A7402"/>
    <w:rsid w:val="008B2D4F"/>
    <w:rsid w:val="008C3784"/>
    <w:rsid w:val="008C76EF"/>
    <w:rsid w:val="00906D29"/>
    <w:rsid w:val="00910F06"/>
    <w:rsid w:val="00915CE7"/>
    <w:rsid w:val="009256F0"/>
    <w:rsid w:val="00965E69"/>
    <w:rsid w:val="009776E2"/>
    <w:rsid w:val="0098069A"/>
    <w:rsid w:val="009E5CCF"/>
    <w:rsid w:val="009E606E"/>
    <w:rsid w:val="00A0578F"/>
    <w:rsid w:val="00A05C13"/>
    <w:rsid w:val="00A164BE"/>
    <w:rsid w:val="00A2668A"/>
    <w:rsid w:val="00A673D3"/>
    <w:rsid w:val="00A678B1"/>
    <w:rsid w:val="00A8161E"/>
    <w:rsid w:val="00A90AD8"/>
    <w:rsid w:val="00A91ABA"/>
    <w:rsid w:val="00A93A50"/>
    <w:rsid w:val="00B1188D"/>
    <w:rsid w:val="00B66D4B"/>
    <w:rsid w:val="00C11B74"/>
    <w:rsid w:val="00C233F3"/>
    <w:rsid w:val="00C37469"/>
    <w:rsid w:val="00C41E20"/>
    <w:rsid w:val="00C62FAD"/>
    <w:rsid w:val="00C72770"/>
    <w:rsid w:val="00C83E18"/>
    <w:rsid w:val="00C922EE"/>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66908"/>
    <w:rsid w:val="00E839B8"/>
    <w:rsid w:val="00E906E0"/>
    <w:rsid w:val="00E922D3"/>
    <w:rsid w:val="00E9565B"/>
    <w:rsid w:val="00EE650E"/>
    <w:rsid w:val="00EF77F8"/>
    <w:rsid w:val="00F121CB"/>
    <w:rsid w:val="00F30843"/>
    <w:rsid w:val="00F572C4"/>
    <w:rsid w:val="00F726F9"/>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26C1BE-1886-4E75-B429-0C105C5C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9031</Words>
  <Characters>51482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cp:lastModifiedBy>
  <cp:revision>4</cp:revision>
  <dcterms:created xsi:type="dcterms:W3CDTF">2020-11-04T02:34:00Z</dcterms:created>
  <dcterms:modified xsi:type="dcterms:W3CDTF">2020-11-04T02:45:00Z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