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206659F"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1E55CC">
        <w:rPr>
          <w:rFonts w:eastAsia="宋体"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13E242A7" w:rsidR="008A23BD" w:rsidRDefault="00A341A7">
      <w:pPr>
        <w:pStyle w:val="1"/>
        <w:numPr>
          <w:ilvl w:val="0"/>
          <w:numId w:val="2"/>
        </w:numPr>
        <w:tabs>
          <w:tab w:val="clear" w:pos="432"/>
        </w:tabs>
        <w:snapToGrid w:val="0"/>
        <w:spacing w:before="120" w:after="120"/>
        <w:ind w:left="431" w:hanging="431"/>
        <w:rPr>
          <w:sz w:val="28"/>
          <w:lang w:val="en-US"/>
        </w:rPr>
      </w:pPr>
      <w:r>
        <w:rPr>
          <w:rFonts w:cs="Arial"/>
          <w:sz w:val="24"/>
          <w:szCs w:val="24"/>
        </w:rPr>
        <w:t>Usage/overhead reduction</w:t>
      </w:r>
    </w:p>
    <w:p w14:paraId="3BC1AEEB" w14:textId="6A3AA3F5" w:rsidR="004C4C69" w:rsidRDefault="00465C4F">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3E29E546"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For the purpose of Rel-17 SRS enhancement, the following is assumed:</w:t>
      </w:r>
    </w:p>
    <w:p w14:paraId="684D7BFA"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7F9A25F2" w14:textId="77777777" w:rsidR="00465C4F" w:rsidRPr="00465C4F" w:rsidRDefault="00465C4F" w:rsidP="00465C4F">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微软雅黑"/>
          <w:sz w:val="20"/>
          <w:szCs w:val="20"/>
        </w:rPr>
      </w:pPr>
    </w:p>
    <w:p w14:paraId="08516354" w14:textId="521E7FD5" w:rsidR="000B6A55" w:rsidRPr="00465C4F" w:rsidRDefault="000B6A55">
      <w:pPr>
        <w:widowControl w:val="0"/>
        <w:snapToGrid w:val="0"/>
        <w:spacing w:before="120" w:after="120" w:line="240" w:lineRule="auto"/>
        <w:jc w:val="both"/>
        <w:rPr>
          <w:rFonts w:eastAsia="微软雅黑" w:hint="eastAsia"/>
          <w:sz w:val="20"/>
          <w:szCs w:val="20"/>
        </w:rPr>
      </w:pPr>
      <w:r>
        <w:rPr>
          <w:rFonts w:eastAsia="微软雅黑"/>
          <w:sz w:val="20"/>
          <w:szCs w:val="20"/>
        </w:rPr>
        <w:t>Let’s focus on this nTnR</w:t>
      </w:r>
      <w:r>
        <w:rPr>
          <w:rFonts w:eastAsia="微软雅黑" w:hint="eastAsia"/>
          <w:sz w:val="20"/>
          <w:szCs w:val="20"/>
        </w:rPr>
        <w:t xml:space="preserve"> </w:t>
      </w:r>
      <w:r>
        <w:rPr>
          <w:rFonts w:eastAsia="微软雅黑"/>
          <w:sz w:val="20"/>
          <w:szCs w:val="20"/>
        </w:rPr>
        <w:t xml:space="preserve">case. </w:t>
      </w:r>
      <w:r>
        <w:rPr>
          <w:rFonts w:eastAsia="微软雅黑" w:hint="eastAsia"/>
          <w:sz w:val="20"/>
          <w:szCs w:val="20"/>
        </w:rPr>
        <w:t>C</w:t>
      </w:r>
      <w:r>
        <w:rPr>
          <w:rFonts w:eastAsia="微软雅黑"/>
          <w:sz w:val="20"/>
          <w:szCs w:val="20"/>
        </w:rPr>
        <w:t xml:space="preserve">ompanies are encouraged to indicate whether the proposed conclusion is acceptable, or </w:t>
      </w:r>
      <w:r w:rsidR="005127FD">
        <w:rPr>
          <w:rFonts w:eastAsia="微软雅黑"/>
          <w:sz w:val="20"/>
          <w:szCs w:val="20"/>
        </w:rPr>
        <w:t>any</w:t>
      </w:r>
      <w:r>
        <w:rPr>
          <w:rFonts w:eastAsia="微软雅黑"/>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微软雅黑" w:hint="eastAsia"/>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FFFFFF" w:themeFill="background1"/>
          </w:tcPr>
          <w:p w14:paraId="6738380D" w14:textId="28CA3E5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72CB4334" w14:textId="207AF9B4" w:rsidR="00255E7B" w:rsidRPr="00255E7B" w:rsidRDefault="00255E7B" w:rsidP="004C78E0">
            <w:pPr>
              <w:widowControl w:val="0"/>
              <w:snapToGrid w:val="0"/>
              <w:spacing w:before="120" w:after="120" w:line="240" w:lineRule="auto"/>
              <w:rPr>
                <w:rFonts w:eastAsia="微软雅黑"/>
                <w:sz w:val="20"/>
                <w:szCs w:val="20"/>
              </w:rPr>
            </w:pPr>
          </w:p>
        </w:tc>
      </w:tr>
      <w:tr w:rsidR="0025504C" w14:paraId="7F8DFCFD" w14:textId="77777777" w:rsidTr="0025504C">
        <w:tc>
          <w:tcPr>
            <w:tcW w:w="2404" w:type="dxa"/>
            <w:shd w:val="clear" w:color="auto" w:fill="FFFFFF" w:themeFill="background1"/>
          </w:tcPr>
          <w:p w14:paraId="070D1D51"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1D2A6C6B" w14:textId="77777777" w:rsidR="0025504C" w:rsidRDefault="0025504C">
            <w:pPr>
              <w:widowControl w:val="0"/>
              <w:snapToGrid w:val="0"/>
              <w:spacing w:before="120" w:after="120" w:line="240" w:lineRule="auto"/>
              <w:rPr>
                <w:rFonts w:eastAsia="微软雅黑"/>
                <w:sz w:val="20"/>
                <w:szCs w:val="20"/>
              </w:rPr>
            </w:pPr>
          </w:p>
        </w:tc>
      </w:tr>
      <w:tr w:rsidR="0025504C" w14:paraId="246E6F9A" w14:textId="77777777" w:rsidTr="0025504C">
        <w:tc>
          <w:tcPr>
            <w:tcW w:w="2404" w:type="dxa"/>
            <w:shd w:val="clear" w:color="auto" w:fill="FFFFFF" w:themeFill="background1"/>
          </w:tcPr>
          <w:p w14:paraId="67CF09E8"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0CBC073D" w14:textId="77777777" w:rsidR="0025504C" w:rsidRDefault="0025504C">
            <w:pPr>
              <w:widowControl w:val="0"/>
              <w:snapToGrid w:val="0"/>
              <w:spacing w:before="120" w:after="120" w:line="240" w:lineRule="auto"/>
              <w:rPr>
                <w:rFonts w:eastAsia="微软雅黑"/>
                <w:sz w:val="20"/>
                <w:szCs w:val="20"/>
              </w:rPr>
            </w:pP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063AA9F3" w14:textId="44D64873" w:rsidR="00886DC7" w:rsidRDefault="00886DC7">
      <w:pPr>
        <w:pStyle w:val="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is intended to </w:t>
      </w:r>
      <w:r w:rsidR="001753DA">
        <w:rPr>
          <w:rFonts w:eastAsia="微软雅黑"/>
          <w:sz w:val="20"/>
          <w:szCs w:val="20"/>
        </w:rPr>
        <w:t>give some</w:t>
      </w:r>
      <w:r w:rsidR="00D16E70">
        <w:rPr>
          <w:rFonts w:eastAsia="微软雅黑"/>
          <w:sz w:val="20"/>
          <w:szCs w:val="20"/>
        </w:rPr>
        <w:t xml:space="preserve"> general guidance on</w:t>
      </w:r>
      <w:r w:rsidR="001753DA">
        <w:rPr>
          <w:rFonts w:eastAsia="微软雅黑"/>
          <w:sz w:val="20"/>
          <w:szCs w:val="20"/>
        </w:rPr>
        <w:t xml:space="preserve"> further </w:t>
      </w:r>
      <w:r w:rsidR="000B386A">
        <w:rPr>
          <w:rFonts w:eastAsia="微软雅黑"/>
          <w:sz w:val="20"/>
          <w:szCs w:val="20"/>
        </w:rPr>
        <w:t xml:space="preserve">discussion points </w:t>
      </w:r>
      <w:r w:rsidR="00D16E70">
        <w:rPr>
          <w:rFonts w:eastAsia="微软雅黑"/>
          <w:sz w:val="20"/>
          <w:szCs w:val="20"/>
          <w:u w:val="single"/>
        </w:rPr>
        <w:t>in</w:t>
      </w:r>
      <w:r w:rsidR="000B386A" w:rsidRPr="000B386A">
        <w:rPr>
          <w:rFonts w:eastAsia="微软雅黑"/>
          <w:sz w:val="20"/>
          <w:szCs w:val="20"/>
          <w:u w:val="single"/>
        </w:rPr>
        <w:t xml:space="preserve"> next meeting</w:t>
      </w:r>
      <w:r w:rsidR="000B386A">
        <w:rPr>
          <w:rFonts w:eastAsia="微软雅黑"/>
          <w:sz w:val="20"/>
          <w:szCs w:val="20"/>
        </w:rPr>
        <w:t xml:space="preserve">. </w:t>
      </w:r>
      <w:r w:rsidR="00BD3EA6">
        <w:rPr>
          <w:rFonts w:eastAsia="微软雅黑"/>
          <w:sz w:val="20"/>
          <w:szCs w:val="20"/>
        </w:rPr>
        <w:t xml:space="preserve">These aspects are either </w:t>
      </w:r>
      <w:r w:rsidR="00854D80">
        <w:rPr>
          <w:rFonts w:eastAsia="微软雅黑"/>
          <w:sz w:val="20"/>
          <w:szCs w:val="20"/>
        </w:rPr>
        <w:t xml:space="preserve">relative hot </w:t>
      </w:r>
      <w:bookmarkStart w:id="2" w:name="_GoBack"/>
      <w:bookmarkEnd w:id="2"/>
      <w:r w:rsidR="00BD3EA6">
        <w:rPr>
          <w:rFonts w:eastAsia="微软雅黑"/>
          <w:sz w:val="20"/>
          <w:szCs w:val="20"/>
        </w:rPr>
        <w:t>discussion points in RAN1#103e w</w:t>
      </w:r>
      <w:r w:rsidR="0048567C">
        <w:rPr>
          <w:rFonts w:eastAsia="微软雅黑"/>
          <w:sz w:val="20"/>
          <w:szCs w:val="20"/>
        </w:rPr>
        <w:t xml:space="preserve">ithout clear conclusion, or </w:t>
      </w:r>
      <w:r w:rsidR="00BD3EA6">
        <w:rPr>
          <w:rFonts w:eastAsia="微软雅黑"/>
          <w:sz w:val="20"/>
          <w:szCs w:val="20"/>
        </w:rPr>
        <w:t xml:space="preserve">necessary components to complete the already agreed features. </w:t>
      </w:r>
      <w:r w:rsidR="000B386A">
        <w:rPr>
          <w:rFonts w:eastAsia="微软雅黑"/>
          <w:sz w:val="20"/>
          <w:szCs w:val="20"/>
        </w:rPr>
        <w:t>Companies are encouraged to share your views on th</w:t>
      </w:r>
      <w:r w:rsidR="002647B2">
        <w:rPr>
          <w:rFonts w:eastAsia="微软雅黑"/>
          <w:sz w:val="20"/>
          <w:szCs w:val="20"/>
        </w:rPr>
        <w:t>ese</w:t>
      </w:r>
      <w:r w:rsidR="000B386A">
        <w:rPr>
          <w:rFonts w:eastAsia="微软雅黑"/>
          <w:sz w:val="20"/>
          <w:szCs w:val="20"/>
        </w:rPr>
        <w:t xml:space="preserve"> aspects in your contribution </w:t>
      </w:r>
      <w:r w:rsidR="00814768">
        <w:rPr>
          <w:rFonts w:eastAsia="微软雅黑"/>
          <w:sz w:val="20"/>
          <w:szCs w:val="20"/>
        </w:rPr>
        <w:t xml:space="preserve">submitted </w:t>
      </w:r>
      <w:r w:rsidR="000B386A">
        <w:rPr>
          <w:rFonts w:eastAsia="微软雅黑"/>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微软雅黑"/>
          <w:sz w:val="20"/>
          <w:szCs w:val="20"/>
          <w:u w:val="single"/>
        </w:rPr>
      </w:pPr>
      <w:r w:rsidRPr="00015EF4">
        <w:rPr>
          <w:rFonts w:eastAsia="微软雅黑" w:hint="eastAsia"/>
          <w:sz w:val="20"/>
          <w:szCs w:val="20"/>
          <w:u w:val="single"/>
        </w:rPr>
        <w:t>For</w:t>
      </w:r>
      <w:r w:rsidRPr="00015EF4">
        <w:rPr>
          <w:rFonts w:eastAsia="微软雅黑"/>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sz w:val="20"/>
          <w:szCs w:val="20"/>
        </w:rPr>
        <w:t>SRS triggering flexibility enhancement</w:t>
      </w:r>
    </w:p>
    <w:p w14:paraId="12333616" w14:textId="77777777"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definition of available slot</w:t>
      </w:r>
    </w:p>
    <w:p w14:paraId="51AE9E5E" w14:textId="1EF35C60"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Down-selection between Opt. 1 and Opt. 2</w:t>
      </w:r>
      <w:r w:rsidR="00217D26">
        <w:rPr>
          <w:rFonts w:eastAsia="微软雅黑"/>
          <w:sz w:val="20"/>
          <w:szCs w:val="20"/>
        </w:rPr>
        <w:t xml:space="preserve"> for reference slot</w:t>
      </w:r>
    </w:p>
    <w:p w14:paraId="32FE54B7" w14:textId="2BE8C2BE" w:rsidR="000B386A" w:rsidRDefault="007E1CD8"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mechanism</w:t>
      </w:r>
      <w:r w:rsidR="000B386A">
        <w:rPr>
          <w:rFonts w:eastAsia="微软雅黑"/>
          <w:sz w:val="20"/>
          <w:szCs w:val="20"/>
        </w:rPr>
        <w:t xml:space="preserve"> o</w:t>
      </w:r>
      <w:r>
        <w:rPr>
          <w:rFonts w:eastAsia="微软雅黑"/>
          <w:sz w:val="20"/>
          <w:szCs w:val="20"/>
        </w:rPr>
        <w:t>n</w:t>
      </w:r>
      <w:r w:rsidR="000B386A">
        <w:rPr>
          <w:rFonts w:eastAsia="微软雅黑"/>
          <w:sz w:val="20"/>
          <w:szCs w:val="20"/>
        </w:rPr>
        <w:t xml:space="preserve"> DCI indication of t</w:t>
      </w:r>
    </w:p>
    <w:p w14:paraId="6204BEC7" w14:textId="7514757F"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Whether/how to re-purpose unused fields</w:t>
      </w:r>
      <w:r w:rsidR="0021425E">
        <w:rPr>
          <w:rFonts w:eastAsia="微软雅黑"/>
          <w:sz w:val="20"/>
          <w:szCs w:val="20"/>
        </w:rPr>
        <w:t xml:space="preserve"> in DCI format 0_1 and 0_2</w:t>
      </w:r>
      <w:r w:rsidR="00943711">
        <w:rPr>
          <w:rFonts w:eastAsia="微软雅黑"/>
          <w:sz w:val="20"/>
          <w:szCs w:val="20"/>
        </w:rPr>
        <w:t xml:space="preserve">, when </w:t>
      </w:r>
      <w:r w:rsidR="00943711" w:rsidRPr="00F5728A">
        <w:rPr>
          <w:rFonts w:eastAsia="微软雅黑"/>
          <w:sz w:val="20"/>
          <w:szCs w:val="20"/>
        </w:rPr>
        <w:t>aperiodic SRS</w:t>
      </w:r>
      <w:r w:rsidR="00943711">
        <w:rPr>
          <w:rFonts w:eastAsia="微软雅黑"/>
          <w:sz w:val="20"/>
          <w:szCs w:val="20"/>
        </w:rPr>
        <w:t xml:space="preserve"> is triggered</w:t>
      </w:r>
      <w:r w:rsidR="00943711" w:rsidRPr="00F5728A">
        <w:rPr>
          <w:rFonts w:eastAsia="微软雅黑"/>
          <w:sz w:val="20"/>
          <w:szCs w:val="20"/>
        </w:rPr>
        <w:t xml:space="preserve"> without data and without CSI</w:t>
      </w:r>
    </w:p>
    <w:p w14:paraId="253E4233" w14:textId="6EE799CD" w:rsidR="00F031B5" w:rsidRDefault="00F031B5"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 to support group-common DCI enhancements</w:t>
      </w:r>
      <w:r w:rsidR="00880FD6">
        <w:rPr>
          <w:rFonts w:eastAsia="微软雅黑"/>
          <w:sz w:val="20"/>
          <w:szCs w:val="20"/>
        </w:rPr>
        <w:t xml:space="preserve"> for SRS triggering</w:t>
      </w:r>
    </w:p>
    <w:p w14:paraId="26439B7E" w14:textId="342794E9" w:rsidR="00D1320B"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support specification enhancement for SRS resource reuse between the usages of nTmR antenna switching and codebook based UL</w:t>
      </w:r>
      <w:r w:rsidR="009350AE">
        <w:rPr>
          <w:rFonts w:eastAsia="微软雅黑"/>
          <w:sz w:val="20"/>
          <w:szCs w:val="20"/>
        </w:rPr>
        <w:t>, where n&lt;m</w:t>
      </w:r>
    </w:p>
    <w:p w14:paraId="107336E1" w14:textId="198064F2" w:rsidR="00D1320B" w:rsidRPr="00E876A9"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 xml:space="preserve">Whether to </w:t>
      </w:r>
      <w:r w:rsidR="00D15C89">
        <w:rPr>
          <w:rFonts w:eastAsia="微软雅黑"/>
          <w:sz w:val="20"/>
          <w:szCs w:val="20"/>
        </w:rPr>
        <w:t xml:space="preserve">support relevant enhancement </w:t>
      </w:r>
      <w:r w:rsidR="001A2858">
        <w:rPr>
          <w:rFonts w:eastAsia="微软雅黑"/>
          <w:sz w:val="20"/>
          <w:szCs w:val="20"/>
        </w:rPr>
        <w:t>for</w:t>
      </w:r>
      <w:r>
        <w:rPr>
          <w:rFonts w:eastAsia="微软雅黑"/>
          <w:sz w:val="20"/>
          <w:szCs w:val="20"/>
        </w:rPr>
        <w:t xml:space="preserve"> indicating </w:t>
      </w:r>
      <w:r w:rsidR="00D15C89" w:rsidRPr="00D15C89">
        <w:rPr>
          <w:rFonts w:eastAsia="微软雅黑"/>
          <w:sz w:val="20"/>
          <w:szCs w:val="20"/>
        </w:rPr>
        <w:t xml:space="preserve">a subset of Tx/Rx antennas </w:t>
      </w:r>
      <w:r w:rsidR="001A2858">
        <w:rPr>
          <w:rFonts w:eastAsia="微软雅黑"/>
          <w:sz w:val="20"/>
          <w:szCs w:val="20"/>
        </w:rPr>
        <w:t>in</w:t>
      </w:r>
      <w:r w:rsidR="00D15C89" w:rsidRPr="00D15C89">
        <w:rPr>
          <w:rFonts w:eastAsia="微软雅黑"/>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antenna switching for up to 8Rx</w:t>
      </w:r>
    </w:p>
    <w:p w14:paraId="3EF94C6F" w14:textId="0F36D7F2" w:rsidR="002A72BE" w:rsidRDefault="00CF1C70"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sz w:val="20"/>
          <w:szCs w:val="20"/>
        </w:rPr>
        <w:t>W</w:t>
      </w:r>
      <w:r w:rsidR="002A72BE">
        <w:rPr>
          <w:rFonts w:eastAsia="微软雅黑"/>
          <w:sz w:val="20"/>
          <w:szCs w:val="20"/>
        </w:rPr>
        <w:t>hether 4T6R is supported in addition</w:t>
      </w:r>
    </w:p>
    <w:p w14:paraId="0BC83E19" w14:textId="7A952729"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etailed SRS resource </w:t>
      </w:r>
      <w:r w:rsidR="00ED21C6">
        <w:rPr>
          <w:rFonts w:eastAsia="微软雅黑"/>
          <w:sz w:val="20"/>
          <w:szCs w:val="20"/>
        </w:rPr>
        <w:t xml:space="preserve">set </w:t>
      </w:r>
      <w:r>
        <w:rPr>
          <w:rFonts w:eastAsia="微软雅黑"/>
          <w:sz w:val="20"/>
          <w:szCs w:val="20"/>
        </w:rPr>
        <w:t>configuration for each xTyR</w:t>
      </w:r>
      <w:r w:rsidR="002A72BE">
        <w:rPr>
          <w:rFonts w:eastAsia="微软雅黑"/>
          <w:sz w:val="20"/>
          <w:szCs w:val="20"/>
        </w:rPr>
        <w:t xml:space="preserve"> in the agreed set of </w:t>
      </w:r>
      <w:r w:rsidR="002A72BE" w:rsidRPr="00D660AA">
        <w:rPr>
          <w:rFonts w:eastAsia="Malgun Gothic"/>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capacity and coverage</w:t>
      </w:r>
      <w:r w:rsidR="00CC2277">
        <w:rPr>
          <w:rFonts w:eastAsia="微软雅黑"/>
          <w:sz w:val="20"/>
          <w:szCs w:val="20"/>
        </w:rPr>
        <w:t xml:space="preserve"> enhancements</w:t>
      </w:r>
    </w:p>
    <w:p w14:paraId="3A25CAB0" w14:textId="2373BE43"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own-selection </w:t>
      </w:r>
      <w:r w:rsidR="009A766B">
        <w:rPr>
          <w:rFonts w:eastAsia="微软雅黑"/>
          <w:sz w:val="20"/>
          <w:szCs w:val="20"/>
        </w:rPr>
        <w:t>from</w:t>
      </w:r>
      <w:r>
        <w:rPr>
          <w:rFonts w:eastAsia="微软雅黑"/>
          <w:sz w:val="20"/>
          <w:szCs w:val="20"/>
        </w:rPr>
        <w:t xml:space="preserve"> </w:t>
      </w:r>
      <w:r w:rsidR="009A766B">
        <w:rPr>
          <w:rFonts w:eastAsia="微软雅黑"/>
          <w:sz w:val="20"/>
          <w:szCs w:val="20"/>
        </w:rPr>
        <w:t>Scheme 2-0 to Scheme 2-3</w:t>
      </w:r>
      <w:r>
        <w:rPr>
          <w:rFonts w:eastAsia="微软雅黑"/>
          <w:sz w:val="20"/>
          <w:szCs w:val="20"/>
        </w:rPr>
        <w:t xml:space="preserve"> in Class 2</w:t>
      </w:r>
      <w:r w:rsidR="003E5A5E">
        <w:rPr>
          <w:rFonts w:eastAsia="微软雅黑"/>
          <w:sz w:val="20"/>
          <w:szCs w:val="20"/>
        </w:rPr>
        <w:t>,</w:t>
      </w:r>
      <w:r>
        <w:rPr>
          <w:rFonts w:eastAsia="微软雅黑"/>
          <w:sz w:val="20"/>
          <w:szCs w:val="20"/>
        </w:rPr>
        <w:t xml:space="preserve"> and</w:t>
      </w:r>
      <w:r w:rsidR="009A766B">
        <w:rPr>
          <w:rFonts w:eastAsia="微软雅黑"/>
          <w:sz w:val="20"/>
          <w:szCs w:val="20"/>
        </w:rPr>
        <w:t>/or Scheme 3-1 to Scheme 3-5 in</w:t>
      </w:r>
      <w:r>
        <w:rPr>
          <w:rFonts w:eastAsia="微软雅黑"/>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微软雅黑" w:hint="eastAsia"/>
          <w:sz w:val="20"/>
          <w:szCs w:val="20"/>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lastRenderedPageBreak/>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aff0"/>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aff0"/>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 xml:space="preserve">Note: Extensions of Rel-15/16 frequency hopping are included in Classes 2 and 3, e.g. where UE hops once </w:t>
            </w:r>
            <w:r w:rsidRPr="00F5728A">
              <w:rPr>
                <w:sz w:val="20"/>
                <w:szCs w:val="20"/>
              </w:rPr>
              <w:lastRenderedPageBreak/>
              <w:t>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2:</w:t>
            </w:r>
          </w:p>
          <w:p w14:paraId="667F4CE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3:</w:t>
            </w:r>
          </w:p>
          <w:p w14:paraId="406D4E0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3-1: RB-level partial frequency sounding</w:t>
            </w:r>
          </w:p>
          <w:p w14:paraId="3C57F1F0"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3-3: Subband-level partial frequency sounding</w:t>
            </w:r>
          </w:p>
          <w:p w14:paraId="54EC0531"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3-5: Dynamic change of SRS bandwidth with RB-level subband size scaling</w:t>
            </w:r>
          </w:p>
          <w:p w14:paraId="1AF2A609"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Note: Consider issues like gNB receiver complexity,</w:t>
            </w:r>
            <w:r w:rsidRPr="00D04245" w:rsidDel="00B419B1">
              <w:rPr>
                <w:sz w:val="20"/>
                <w:szCs w:val="20"/>
              </w:rPr>
              <w:t xml:space="preserve"> </w:t>
            </w:r>
            <w:r w:rsidRPr="00D04245">
              <w:rPr>
                <w:sz w:val="20"/>
                <w:szCs w:val="20"/>
              </w:rPr>
              <w:t xml:space="preserve"> PAPR, etc., with above schemes</w:t>
            </w:r>
          </w:p>
          <w:p w14:paraId="69D85C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Malgun Gothic"/>
                <w:sz w:val="20"/>
                <w:szCs w:val="20"/>
              </w:rPr>
            </w:pPr>
            <w:r w:rsidRPr="00D660AA">
              <w:rPr>
                <w:rFonts w:eastAsia="Malgun Gothic"/>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微软雅黑" w:hint="eastAsia"/>
                <w:iCs/>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466A1" w14:textId="77777777" w:rsidR="0063365B" w:rsidRDefault="0063365B" w:rsidP="00DD1D10">
      <w:pPr>
        <w:spacing w:after="0" w:line="240" w:lineRule="auto"/>
      </w:pPr>
      <w:r>
        <w:separator/>
      </w:r>
    </w:p>
  </w:endnote>
  <w:endnote w:type="continuationSeparator" w:id="0">
    <w:p w14:paraId="29EBDA05" w14:textId="77777777" w:rsidR="0063365B" w:rsidRDefault="0063365B"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5728D" w14:textId="77777777" w:rsidR="0063365B" w:rsidRDefault="0063365B" w:rsidP="00DD1D10">
      <w:pPr>
        <w:spacing w:after="0" w:line="240" w:lineRule="auto"/>
      </w:pPr>
      <w:r>
        <w:separator/>
      </w:r>
    </w:p>
  </w:footnote>
  <w:footnote w:type="continuationSeparator" w:id="0">
    <w:p w14:paraId="340E7FB6" w14:textId="77777777" w:rsidR="0063365B" w:rsidRDefault="0063365B"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1">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8">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2">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3">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5">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7"/>
  </w:num>
  <w:num w:numId="3">
    <w:abstractNumId w:val="33"/>
  </w:num>
  <w:num w:numId="4">
    <w:abstractNumId w:val="16"/>
  </w:num>
  <w:num w:numId="5">
    <w:abstractNumId w:val="29"/>
  </w:num>
  <w:num w:numId="6">
    <w:abstractNumId w:val="32"/>
  </w:num>
  <w:num w:numId="7">
    <w:abstractNumId w:val="2"/>
  </w:num>
  <w:num w:numId="8">
    <w:abstractNumId w:val="0"/>
  </w:num>
  <w:num w:numId="9">
    <w:abstractNumId w:val="31"/>
  </w:num>
  <w:num w:numId="10">
    <w:abstractNumId w:val="6"/>
  </w:num>
  <w:num w:numId="11">
    <w:abstractNumId w:val="5"/>
  </w:num>
  <w:num w:numId="12">
    <w:abstractNumId w:val="10"/>
  </w:num>
  <w:num w:numId="13">
    <w:abstractNumId w:val="12"/>
  </w:num>
  <w:num w:numId="14">
    <w:abstractNumId w:val="34"/>
  </w:num>
  <w:num w:numId="15">
    <w:abstractNumId w:val="4"/>
  </w:num>
  <w:num w:numId="16">
    <w:abstractNumId w:val="11"/>
  </w:num>
  <w:num w:numId="17">
    <w:abstractNumId w:val="7"/>
  </w:num>
  <w:num w:numId="18">
    <w:abstractNumId w:val="13"/>
  </w:num>
  <w:num w:numId="19">
    <w:abstractNumId w:val="26"/>
  </w:num>
  <w:num w:numId="20">
    <w:abstractNumId w:val="21"/>
  </w:num>
  <w:num w:numId="21">
    <w:abstractNumId w:val="22"/>
  </w:num>
  <w:num w:numId="22">
    <w:abstractNumId w:val="8"/>
  </w:num>
  <w:num w:numId="23">
    <w:abstractNumId w:val="36"/>
  </w:num>
  <w:num w:numId="24">
    <w:abstractNumId w:val="1"/>
  </w:num>
  <w:num w:numId="25">
    <w:abstractNumId w:val="30"/>
  </w:num>
  <w:num w:numId="26">
    <w:abstractNumId w:val="18"/>
  </w:num>
  <w:num w:numId="27">
    <w:abstractNumId w:val="14"/>
  </w:num>
  <w:num w:numId="28">
    <w:abstractNumId w:val="35"/>
  </w:num>
  <w:num w:numId="29">
    <w:abstractNumId w:val="23"/>
  </w:num>
  <w:num w:numId="30">
    <w:abstractNumId w:val="24"/>
  </w:num>
  <w:num w:numId="31">
    <w:abstractNumId w:val="25"/>
  </w:num>
  <w:num w:numId="32">
    <w:abstractNumId w:val="17"/>
  </w:num>
  <w:num w:numId="33">
    <w:abstractNumId w:val="28"/>
  </w:num>
  <w:num w:numId="34">
    <w:abstractNumId w:val="9"/>
  </w:num>
  <w:num w:numId="35">
    <w:abstractNumId w:val="19"/>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3806"/>
    <w:rsid w:val="000451D0"/>
    <w:rsid w:val="00063E54"/>
    <w:rsid w:val="00067E79"/>
    <w:rsid w:val="00067F50"/>
    <w:rsid w:val="0008069D"/>
    <w:rsid w:val="000807EB"/>
    <w:rsid w:val="00093FB6"/>
    <w:rsid w:val="000A23A7"/>
    <w:rsid w:val="000A4A54"/>
    <w:rsid w:val="000B386A"/>
    <w:rsid w:val="000B6A55"/>
    <w:rsid w:val="000C6418"/>
    <w:rsid w:val="000D2C7E"/>
    <w:rsid w:val="000D35F1"/>
    <w:rsid w:val="000D5285"/>
    <w:rsid w:val="000E688C"/>
    <w:rsid w:val="000E7912"/>
    <w:rsid w:val="000F7B62"/>
    <w:rsid w:val="00107069"/>
    <w:rsid w:val="00112F4E"/>
    <w:rsid w:val="001217B7"/>
    <w:rsid w:val="001341B1"/>
    <w:rsid w:val="0014048F"/>
    <w:rsid w:val="001465F3"/>
    <w:rsid w:val="00151FDF"/>
    <w:rsid w:val="00160CCE"/>
    <w:rsid w:val="00165793"/>
    <w:rsid w:val="00165CFE"/>
    <w:rsid w:val="001721E3"/>
    <w:rsid w:val="001738F6"/>
    <w:rsid w:val="001753DA"/>
    <w:rsid w:val="00177F9B"/>
    <w:rsid w:val="00191E67"/>
    <w:rsid w:val="0019258E"/>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6EA4"/>
    <w:rsid w:val="00297F5F"/>
    <w:rsid w:val="002A72BE"/>
    <w:rsid w:val="002A7DFF"/>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5A5E"/>
    <w:rsid w:val="003F39BA"/>
    <w:rsid w:val="003F5482"/>
    <w:rsid w:val="003F5951"/>
    <w:rsid w:val="004066B7"/>
    <w:rsid w:val="004339C2"/>
    <w:rsid w:val="00435334"/>
    <w:rsid w:val="0044528C"/>
    <w:rsid w:val="00446C70"/>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601762"/>
    <w:rsid w:val="00613307"/>
    <w:rsid w:val="006134FD"/>
    <w:rsid w:val="00620817"/>
    <w:rsid w:val="006259D3"/>
    <w:rsid w:val="00631202"/>
    <w:rsid w:val="0063365B"/>
    <w:rsid w:val="00642E8C"/>
    <w:rsid w:val="00646F4F"/>
    <w:rsid w:val="00646FF7"/>
    <w:rsid w:val="006512BA"/>
    <w:rsid w:val="00664B16"/>
    <w:rsid w:val="006739BF"/>
    <w:rsid w:val="00680A31"/>
    <w:rsid w:val="00684ACD"/>
    <w:rsid w:val="00692005"/>
    <w:rsid w:val="006A7B8D"/>
    <w:rsid w:val="006B1534"/>
    <w:rsid w:val="006B67FB"/>
    <w:rsid w:val="006C611F"/>
    <w:rsid w:val="006D061E"/>
    <w:rsid w:val="006D5562"/>
    <w:rsid w:val="006E0555"/>
    <w:rsid w:val="006E3C14"/>
    <w:rsid w:val="006E4A86"/>
    <w:rsid w:val="00700339"/>
    <w:rsid w:val="007111B7"/>
    <w:rsid w:val="007113CA"/>
    <w:rsid w:val="00713C7A"/>
    <w:rsid w:val="00720B75"/>
    <w:rsid w:val="007550A8"/>
    <w:rsid w:val="0076292E"/>
    <w:rsid w:val="007711C5"/>
    <w:rsid w:val="00772455"/>
    <w:rsid w:val="007737DE"/>
    <w:rsid w:val="00793995"/>
    <w:rsid w:val="007A00D3"/>
    <w:rsid w:val="007A099B"/>
    <w:rsid w:val="007B08B4"/>
    <w:rsid w:val="007B47BD"/>
    <w:rsid w:val="007B51EB"/>
    <w:rsid w:val="007C2032"/>
    <w:rsid w:val="007D4F18"/>
    <w:rsid w:val="007D4FF8"/>
    <w:rsid w:val="007E0F85"/>
    <w:rsid w:val="007E1CD8"/>
    <w:rsid w:val="007F4515"/>
    <w:rsid w:val="00814768"/>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5AAC"/>
    <w:rsid w:val="00902455"/>
    <w:rsid w:val="00903112"/>
    <w:rsid w:val="009037D8"/>
    <w:rsid w:val="00905239"/>
    <w:rsid w:val="00906D29"/>
    <w:rsid w:val="00910F06"/>
    <w:rsid w:val="00915CE7"/>
    <w:rsid w:val="009256F0"/>
    <w:rsid w:val="009350AE"/>
    <w:rsid w:val="00943711"/>
    <w:rsid w:val="00953687"/>
    <w:rsid w:val="009612C5"/>
    <w:rsid w:val="00961537"/>
    <w:rsid w:val="00965E69"/>
    <w:rsid w:val="009674A8"/>
    <w:rsid w:val="009776E2"/>
    <w:rsid w:val="0098069A"/>
    <w:rsid w:val="009A1964"/>
    <w:rsid w:val="009A5E5B"/>
    <w:rsid w:val="009A766B"/>
    <w:rsid w:val="009C2C3B"/>
    <w:rsid w:val="009C7276"/>
    <w:rsid w:val="009D3EBA"/>
    <w:rsid w:val="009D4C4D"/>
    <w:rsid w:val="009E1E9A"/>
    <w:rsid w:val="009E4382"/>
    <w:rsid w:val="009E5CCF"/>
    <w:rsid w:val="009E606E"/>
    <w:rsid w:val="009F5BF9"/>
    <w:rsid w:val="00A034BC"/>
    <w:rsid w:val="00A0578F"/>
    <w:rsid w:val="00A05C13"/>
    <w:rsid w:val="00A164BE"/>
    <w:rsid w:val="00A2050A"/>
    <w:rsid w:val="00A2668A"/>
    <w:rsid w:val="00A341A7"/>
    <w:rsid w:val="00A36A04"/>
    <w:rsid w:val="00A673D3"/>
    <w:rsid w:val="00A678B1"/>
    <w:rsid w:val="00A8161E"/>
    <w:rsid w:val="00A90AD8"/>
    <w:rsid w:val="00A91ABA"/>
    <w:rsid w:val="00A93A50"/>
    <w:rsid w:val="00AC3C65"/>
    <w:rsid w:val="00AD32E1"/>
    <w:rsid w:val="00AF7D09"/>
    <w:rsid w:val="00B00DA2"/>
    <w:rsid w:val="00B1188D"/>
    <w:rsid w:val="00B375C5"/>
    <w:rsid w:val="00B37C00"/>
    <w:rsid w:val="00B4014E"/>
    <w:rsid w:val="00B50870"/>
    <w:rsid w:val="00B520F9"/>
    <w:rsid w:val="00B54702"/>
    <w:rsid w:val="00B65BFF"/>
    <w:rsid w:val="00B66D4B"/>
    <w:rsid w:val="00B71BC6"/>
    <w:rsid w:val="00B736B5"/>
    <w:rsid w:val="00B768E1"/>
    <w:rsid w:val="00B77CF2"/>
    <w:rsid w:val="00BA1670"/>
    <w:rsid w:val="00BB55A7"/>
    <w:rsid w:val="00BD3EA6"/>
    <w:rsid w:val="00BF0228"/>
    <w:rsid w:val="00C11B74"/>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B5239"/>
    <w:rsid w:val="00CB6A86"/>
    <w:rsid w:val="00CC2277"/>
    <w:rsid w:val="00CD5CAC"/>
    <w:rsid w:val="00CD6CE3"/>
    <w:rsid w:val="00CF1C70"/>
    <w:rsid w:val="00CF37EC"/>
    <w:rsid w:val="00D04245"/>
    <w:rsid w:val="00D1320B"/>
    <w:rsid w:val="00D13E8B"/>
    <w:rsid w:val="00D15C89"/>
    <w:rsid w:val="00D16E70"/>
    <w:rsid w:val="00D250C6"/>
    <w:rsid w:val="00D37087"/>
    <w:rsid w:val="00D37D3A"/>
    <w:rsid w:val="00D42573"/>
    <w:rsid w:val="00D458D8"/>
    <w:rsid w:val="00D55356"/>
    <w:rsid w:val="00D660AA"/>
    <w:rsid w:val="00D807FC"/>
    <w:rsid w:val="00D85822"/>
    <w:rsid w:val="00D92243"/>
    <w:rsid w:val="00D92365"/>
    <w:rsid w:val="00D94DC8"/>
    <w:rsid w:val="00DB5897"/>
    <w:rsid w:val="00DC0E55"/>
    <w:rsid w:val="00DC3DCE"/>
    <w:rsid w:val="00DC4CA1"/>
    <w:rsid w:val="00DC7C3C"/>
    <w:rsid w:val="00DD1D10"/>
    <w:rsid w:val="00DD694A"/>
    <w:rsid w:val="00E32851"/>
    <w:rsid w:val="00E55E34"/>
    <w:rsid w:val="00E572EE"/>
    <w:rsid w:val="00E66908"/>
    <w:rsid w:val="00E839B8"/>
    <w:rsid w:val="00E840DF"/>
    <w:rsid w:val="00E85180"/>
    <w:rsid w:val="00E906E0"/>
    <w:rsid w:val="00E922D3"/>
    <w:rsid w:val="00E9565B"/>
    <w:rsid w:val="00EB1466"/>
    <w:rsid w:val="00EB2D49"/>
    <w:rsid w:val="00EB7774"/>
    <w:rsid w:val="00ED0C60"/>
    <w:rsid w:val="00ED21C6"/>
    <w:rsid w:val="00EE650E"/>
    <w:rsid w:val="00EF77F8"/>
    <w:rsid w:val="00F031B5"/>
    <w:rsid w:val="00F11CED"/>
    <w:rsid w:val="00F121CB"/>
    <w:rsid w:val="00F1508D"/>
    <w:rsid w:val="00F2775D"/>
    <w:rsid w:val="00F30843"/>
    <w:rsid w:val="00F5728A"/>
    <w:rsid w:val="00F572C4"/>
    <w:rsid w:val="00F60A87"/>
    <w:rsid w:val="00F61162"/>
    <w:rsid w:val="00F62256"/>
    <w:rsid w:val="00F717B5"/>
    <w:rsid w:val="00F726F9"/>
    <w:rsid w:val="00F74664"/>
    <w:rsid w:val="00F76BFA"/>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033F43-D1C4-4875-ABEF-654F091D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555</cp:revision>
  <dcterms:created xsi:type="dcterms:W3CDTF">2020-11-04T12:07:00Z</dcterms:created>
  <dcterms:modified xsi:type="dcterms:W3CDTF">2020-11-11T09:56:00Z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