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[103-e-NR-Mob-Enh-02]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4" w:lineRule="auto"/>
        <w:rPr>
          <w:lang w:val="en-GB" w:eastAsia="zh-CN"/>
        </w:rPr>
      </w:pPr>
      <w:r>
        <w:rPr>
          <w:lang w:val="en-GB" w:eastAsia="zh-CN"/>
        </w:rPr>
        <w:t>[103-e-NR-Mob-Enh-02] Email discussion/approval on the following until 10/29 – Daewon (Intel)</w:t>
      </w:r>
    </w:p>
    <w:p>
      <w:pPr>
        <w:pStyle w:val="115"/>
        <w:numPr>
          <w:ilvl w:val="1"/>
          <w:numId w:val="6"/>
        </w:numPr>
        <w:spacing w:line="254" w:lineRule="auto"/>
        <w:rPr>
          <w:lang w:val="en-GB" w:eastAsia="zh-CN"/>
        </w:rPr>
      </w:pPr>
      <w:r>
        <w:rPr>
          <w:lang w:val="en-GB" w:eastAsia="zh-CN"/>
        </w:rPr>
        <w:t>Issue#5 in R1-2008871, issue on handling of SUL and DAPS operation</w:t>
      </w:r>
    </w:p>
    <w:p>
      <w:pPr>
        <w:pStyle w:val="115"/>
        <w:spacing w:line="254" w:lineRule="auto"/>
        <w:ind w:left="1296"/>
        <w:rPr>
          <w:lang w:val="en-GB" w:eastAsia="zh-CN"/>
        </w:rPr>
      </w:pP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Recap of issue from R1-2008871</w:t>
      </w:r>
    </w:p>
    <w:p>
      <w:pPr>
        <w:pStyle w:val="3"/>
        <w:rPr>
          <w:lang w:val="en-US"/>
        </w:rPr>
      </w:pPr>
      <w:r>
        <w:t>Issue #5) Handling of SUL and DAPS capability [6]</w:t>
      </w:r>
    </w:p>
    <w:p>
      <w:pPr>
        <w:pStyle w:val="32"/>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rFonts w:ascii="Arial" w:hAnsi="Arial" w:cs="Arial"/>
                <w:b/>
              </w:rPr>
            </w:pPr>
            <w:r>
              <w:rPr>
                <w:rFonts w:ascii="Arial" w:hAnsi="Arial" w:cs="Arial"/>
                <w:b/>
              </w:rPr>
              <w:t>1. Overall Description:</w:t>
            </w:r>
          </w:p>
          <w:p>
            <w:pPr>
              <w:spacing w:before="0" w:after="0" w:line="240" w:lineRule="auto"/>
              <w:jc w:val="both"/>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pPr>
              <w:pStyle w:val="38"/>
              <w:spacing w:before="0" w:after="0" w:line="240" w:lineRule="auto"/>
              <w:jc w:val="both"/>
              <w:rPr>
                <w:rFonts w:cs="Arial"/>
              </w:rPr>
            </w:pPr>
          </w:p>
          <w:p>
            <w:pPr>
              <w:spacing w:before="0" w:after="0" w:line="240" w:lineRule="auto"/>
              <w:jc w:val="both"/>
              <w:rPr>
                <w:rFonts w:ascii="Arial" w:hAnsi="Arial" w:cs="Arial"/>
                <w:b/>
              </w:rPr>
            </w:pPr>
            <w:r>
              <w:rPr>
                <w:rFonts w:ascii="Arial" w:hAnsi="Arial" w:cs="Arial"/>
                <w:b/>
              </w:rPr>
              <w:t>2. Actions:</w:t>
            </w:r>
          </w:p>
          <w:p>
            <w:pPr>
              <w:spacing w:before="0" w:after="0" w:line="240" w:lineRule="auto"/>
              <w:ind w:left="1985" w:hanging="1985"/>
              <w:jc w:val="both"/>
              <w:rPr>
                <w:rFonts w:ascii="Arial" w:hAnsi="Arial" w:cs="Arial"/>
                <w:b/>
              </w:rPr>
            </w:pPr>
            <w:r>
              <w:rPr>
                <w:rFonts w:ascii="Arial" w:hAnsi="Arial" w:cs="Arial"/>
                <w:b/>
              </w:rPr>
              <w:t>To RAN2:</w:t>
            </w:r>
          </w:p>
          <w:p>
            <w:pPr>
              <w:spacing w:before="0" w:after="0" w:line="240" w:lineRule="auto"/>
              <w:ind w:left="993" w:hanging="993"/>
              <w:jc w:val="both"/>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Email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791"/>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bookmarkStart w:id="1" w:name="_Hlk54706470"/>
            <w:r>
              <w:rPr>
                <w:lang w:val="sv-SE"/>
              </w:rPr>
              <w:t> </w:t>
            </w:r>
            <w:r>
              <w:rPr>
                <w:b/>
                <w:bCs/>
                <w:lang w:val="sv-SE"/>
              </w:rPr>
              <w:t>Company</w:t>
            </w:r>
          </w:p>
        </w:tc>
        <w:tc>
          <w:tcPr>
            <w:tcW w:w="17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rPr>
              <w:t>Agree? (Yes/No)</w:t>
            </w:r>
          </w:p>
        </w:tc>
        <w:tc>
          <w:tcPr>
            <w:tcW w:w="667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Acceptable</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also agree on QC’s clarification text on BWP and HW/Apple’s suggestion to discuss the remaining details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bookmarkStart w:id="2" w:name="_Hlk54707908"/>
            <w:r>
              <w:rPr>
                <w:lang w:eastAsia="zh-CN"/>
              </w:rPr>
              <w:t>Nokia</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pPr>
              <w:overflowPunct/>
              <w:autoSpaceDE/>
              <w:adjustRightInd/>
              <w:spacing w:after="0"/>
              <w:rPr>
                <w:lang w:val="en-GB" w:eastAsia="zh-CN"/>
              </w:rPr>
            </w:pPr>
            <w:r>
              <w:rPr>
                <w:lang w:val="en-GB" w:eastAsia="zh-CN"/>
              </w:rPr>
              <w:t xml:space="preserve">This may be difficult from UE implementation and definition perspective. </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r>
            <w:r>
              <w:rPr>
                <w:i/>
                <w:iCs/>
              </w:rPr>
              <w:t>the subcarrier spacing of the two SSBs are also the same</w:t>
            </w:r>
            <w:r>
              <w:rPr>
                <w:lang w:val="en-GB" w:eastAsia="zh-CN"/>
              </w:rPr>
              <w:t>”), but also assumes that the target(/source) UL BWPs need to be confined within source(/target) UL BWP (see below).</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pPr>
              <w:rPr>
                <w:lang w:val="en-GB"/>
              </w:rPr>
            </w:pPr>
            <w:r>
              <w:rPr>
                <w:lang w:val="en-GB"/>
              </w:rPr>
              <w:t>In Section 6.1.3 (of 38.133):</w:t>
            </w:r>
          </w:p>
          <w:p>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
              <w:t>And then in 6.1.3.2:</w:t>
            </w:r>
          </w:p>
          <w:p>
            <w:pPr>
              <w:pStyle w:val="69"/>
              <w:rPr>
                <w:lang w:eastAsia="zh-CN"/>
              </w:rPr>
            </w:pPr>
            <w:r>
              <w:t>“</w:t>
            </w:r>
            <w:r>
              <w:rPr>
                <w:lang w:eastAsia="zh-CN"/>
              </w:rPr>
              <w:t>Note:       For intra-frequency DAPS handover, no requirement applies if active DL and UL BWP of target cell is not confined within the active DL and UL BWP of the source cell respectively.</w:t>
            </w:r>
          </w:p>
          <w:p>
            <w:pPr>
              <w:pStyle w:val="69"/>
            </w:pPr>
            <w:r>
              <w:rPr>
                <w:lang w:eastAsia="zh-CN"/>
              </w:rPr>
              <w:t xml:space="preserve">Note:         For inter-frequency DAPS handover, no requirement applies if </w:t>
            </w:r>
            <w:r>
              <w:t>the BWP of target cell is overlaped with the BWP of source cell in frequency domain.”</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79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73"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val="en-GB" w:eastAsia="zh-CN"/>
              </w:rPr>
            </w:pPr>
            <w:r>
              <w:rPr>
                <w:lang w:val="en-GB" w:eastAsia="zh-CN"/>
              </w:rPr>
              <w:t>Summary of discussion so far:</w:t>
            </w:r>
          </w:p>
          <w:p>
            <w:pPr>
              <w:pStyle w:val="115"/>
              <w:numPr>
                <w:ilvl w:val="0"/>
                <w:numId w:val="8"/>
              </w:numPr>
              <w:rPr>
                <w:lang w:val="en-GB" w:eastAsia="zh-CN"/>
              </w:rPr>
            </w:pPr>
            <w:r>
              <w:rPr>
                <w:lang w:val="en-GB" w:eastAsia="zh-CN"/>
              </w:rPr>
              <w:t>In case UE is configured with both NUL and SUL, companies seems to think DAPS should not be used simultaneously.</w:t>
            </w:r>
          </w:p>
          <w:p>
            <w:pPr>
              <w:pStyle w:val="115"/>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pPr>
              <w:pStyle w:val="115"/>
              <w:numPr>
                <w:ilvl w:val="0"/>
                <w:numId w:val="8"/>
              </w:numPr>
              <w:rPr>
                <w:lang w:val="en-GB" w:eastAsia="zh-CN"/>
              </w:rPr>
            </w:pPr>
            <w:r>
              <w:rPr>
                <w:lang w:val="en-GB" w:eastAsia="zh-CN"/>
              </w:rPr>
              <w:t>BWP related aspects seems to be clarified by RAN4 specification.</w:t>
            </w:r>
          </w:p>
          <w:p>
            <w:pPr>
              <w:pStyle w:val="115"/>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88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88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lang w:val="sv-SE"/>
              </w:rPr>
              <w:t>Send LS (Yes/No)</w:t>
            </w:r>
          </w:p>
        </w:tc>
        <w:tc>
          <w:tcPr>
            <w:tcW w:w="663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further discuss whether LS to RAN2 is needed after resolving discussions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An LS is slightly preferred if Q1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Depends on the discussion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889"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35"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See moderator comments from Q1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pPr>
        <w:pStyle w:val="32"/>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pPr>
              <w:overflowPunct/>
              <w:autoSpaceDE/>
              <w:adjustRightInd/>
              <w:spacing w:after="0"/>
              <w:rPr>
                <w:lang w:val="sv-SE" w:eastAsia="zh-CN"/>
              </w:rPr>
            </w:pPr>
            <w:r>
              <w:rPr>
                <w:lang w:val="sv-SE" w:eastAsia="zh-CN"/>
              </w:rPr>
              <w:t>---------</w:t>
            </w:r>
          </w:p>
          <w:p>
            <w:pPr>
              <w:pStyle w:val="4"/>
            </w:pPr>
            <w:bookmarkStart w:id="3" w:name="_Toc20387928"/>
            <w:bookmarkStart w:id="4" w:name="_Toc37231880"/>
            <w:bookmarkStart w:id="5" w:name="_Toc29376007"/>
            <w:bookmarkStart w:id="6" w:name="_Toc46501935"/>
            <w:r>
              <w:t>“5.4.2</w:t>
            </w:r>
            <w:r>
              <w:rPr>
                <w:rFonts w:ascii="Calibri" w:hAnsi="Calibri" w:eastAsia="MS Mincho"/>
                <w:sz w:val="22"/>
                <w:szCs w:val="22"/>
              </w:rPr>
              <w:tab/>
            </w:r>
            <w:r>
              <w:t>Supplementary Uplink</w:t>
            </w:r>
            <w:bookmarkEnd w:id="3"/>
            <w:bookmarkEnd w:id="4"/>
            <w:bookmarkEnd w:id="5"/>
            <w:bookmarkEnd w:id="6"/>
          </w:p>
          <w:p>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pPr>
              <w:overflowPunct/>
              <w:autoSpaceDE/>
              <w:adjustRightInd/>
              <w:spacing w:after="0"/>
              <w:rPr>
                <w:lang w:val="sv-SE" w:eastAsia="zh-CN"/>
              </w:rPr>
            </w:pPr>
          </w:p>
          <w:p>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t>
            </w:r>
          </w:p>
          <w:p>
            <w:pPr>
              <w:rPr>
                <w:lang w:eastAsia="zh-CN"/>
              </w:rPr>
            </w:pPr>
            <w:r>
              <w:rPr>
                <w:highlight w:val="green"/>
                <w:lang w:eastAsia="zh-CN"/>
              </w:rPr>
              <w:t>Agreement:</w:t>
            </w:r>
          </w:p>
          <w:p>
            <w:pPr>
              <w:pStyle w:val="115"/>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pPr>
              <w:pStyle w:val="115"/>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make the clarification, perhap we can make the following update:</w:t>
            </w:r>
          </w:p>
          <w:p>
            <w:pPr>
              <w:overflowPunct/>
              <w:autoSpaceDE/>
              <w:adjustRightInd/>
              <w:spacing w:after="0"/>
              <w:rPr>
                <w:lang w:val="sv-SE" w:eastAsia="zh-CN"/>
              </w:rPr>
            </w:pPr>
          </w:p>
          <w:p>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pPr>
              <w:overflowPunct/>
              <w:autoSpaceDE/>
              <w:adjustRightInd/>
              <w:spacing w:after="120"/>
              <w:rPr>
                <w:lang w:val="sv-SE" w:eastAsia="zh-CN"/>
              </w:rPr>
            </w:pPr>
            <w:r>
              <w:rPr>
                <w:lang w:val="sv-SE" w:eastAsia="zh-CN"/>
              </w:rPr>
              <w:t>We are fine with QC’s clarification on UL BWP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p>
          <w:p>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pPr>
              <w:pStyle w:val="115"/>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pPr>
              <w:pStyle w:val="115"/>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pPr>
              <w:pStyle w:val="115"/>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pPr>
              <w:pStyle w:val="115"/>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pPr>
              <w:pStyle w:val="115"/>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pStyle w:val="115"/>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pPr>
              <w:pStyle w:val="115"/>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pPr>
              <w:pStyle w:val="115"/>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pPr>
              <w:pStyle w:val="115"/>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pPr>
              <w:pStyle w:val="115"/>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pPr>
              <w:ind w:left="45"/>
              <w:rPr>
                <w:rFonts w:ascii="Calibri" w:hAnsi="Calibri" w:cs="Calibri"/>
                <w:sz w:val="22"/>
                <w:szCs w:val="22"/>
                <w:lang w:val="en-GB"/>
              </w:rPr>
            </w:pPr>
          </w:p>
          <w:p>
            <w:pPr>
              <w:overflowPunct/>
              <w:autoSpaceDE/>
              <w:adjustRightInd/>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pPr>
              <w:rPr>
                <w:rFonts w:ascii="Calibri" w:hAnsi="Calibri" w:cs="Calibri"/>
                <w:color w:val="1F497D"/>
                <w:sz w:val="21"/>
                <w:szCs w:val="21"/>
                <w:lang w:val="en-GB"/>
              </w:rPr>
            </w:pP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pPr>
              <w:rPr>
                <w:rFonts w:ascii="Calibri" w:hAnsi="Calibri" w:cs="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pPr>
              <w:rPr>
                <w:rFonts w:ascii="Calibri" w:hAnsi="Calibri" w:cs="Calibri"/>
                <w:color w:val="1F497D"/>
                <w:sz w:val="22"/>
                <w:szCs w:val="22"/>
              </w:rPr>
            </w:pPr>
            <w:r>
              <w:rPr>
                <w:rFonts w:ascii="Calibri" w:hAnsi="Calibri" w:cs="Calibri"/>
                <w:color w:val="1F497D"/>
                <w:sz w:val="22"/>
                <w:szCs w:val="22"/>
              </w:rPr>
              <w:t>To Huawei:</w:t>
            </w:r>
          </w:p>
          <w:p>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3"/>
                    <w:jc w:val="both"/>
                    <w:outlineLvl w:val="1"/>
                    <w:rPr>
                      <w:lang w:eastAsia="zh-CN"/>
                    </w:rPr>
                  </w:pPr>
                  <w:r>
                    <w:rPr>
                      <w:lang w:eastAsia="zh-CN"/>
                    </w:rPr>
                    <w:t>6.9</w:t>
                  </w:r>
                  <w:r>
                    <w:rPr>
                      <w:lang w:eastAsia="zh-CN"/>
                    </w:rPr>
                    <w:tab/>
                  </w:r>
                  <w:r>
                    <w:rPr>
                      <w:lang w:eastAsia="zh-CN"/>
                    </w:rPr>
                    <w:t>Supplementary Uplink</w:t>
                  </w:r>
                </w:p>
                <w:p>
                  <w:pPr>
                    <w:spacing w:before="120"/>
                    <w:jc w:val="both"/>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pPr>
              <w:pStyle w:val="45"/>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66"/>
                    <w:spacing w:before="120"/>
                    <w:jc w:val="both"/>
                    <w:rPr>
                      <w:b/>
                      <w:bCs/>
                      <w:i/>
                      <w:iCs/>
                      <w:lang w:eastAsia="sv-SE"/>
                    </w:rPr>
                  </w:pPr>
                  <w:r>
                    <w:rPr>
                      <w:b/>
                      <w:bCs/>
                      <w:i/>
                      <w:iCs/>
                      <w:lang w:eastAsia="sv-SE"/>
                    </w:rPr>
                    <w:t>supplementaryUplinkConfig</w:t>
                  </w:r>
                </w:p>
                <w:p>
                  <w:pPr>
                    <w:spacing w:before="120"/>
                    <w:jc w:val="both"/>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pPr>
              <w:rPr>
                <w:lang w:eastAsia="zh-CN"/>
              </w:rPr>
            </w:pPr>
          </w:p>
          <w:p>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pPr>
              <w:pStyle w:val="45"/>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pPr>
              <w:pStyle w:val="45"/>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pPr>
              <w:pStyle w:val="45"/>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pPr>
              <w:pStyle w:val="45"/>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pPr>
              <w:pStyle w:val="122"/>
              <w:pBdr>
                <w:top w:val="single" w:color="auto" w:sz="4" w:space="1"/>
                <w:left w:val="single" w:color="auto" w:sz="4" w:space="4"/>
                <w:bottom w:val="single" w:color="auto" w:sz="4" w:space="1"/>
                <w:right w:val="single" w:color="auto" w:sz="4" w:space="4"/>
              </w:pBdr>
              <w:rPr>
                <w:b/>
              </w:rPr>
            </w:pPr>
            <w:r>
              <w:rPr>
                <w:b/>
              </w:rPr>
              <w:t>Agreements</w:t>
            </w:r>
          </w:p>
          <w:p>
            <w:pPr>
              <w:pStyle w:val="122"/>
              <w:pBdr>
                <w:top w:val="single" w:color="auto" w:sz="4" w:space="1"/>
                <w:left w:val="single" w:color="auto" w:sz="4" w:space="4"/>
                <w:bottom w:val="single" w:color="auto" w:sz="4" w:space="1"/>
                <w:right w:val="single" w:color="auto" w:sz="4" w:space="4"/>
              </w:pBdr>
            </w:pPr>
            <w:r>
              <w:t>1:</w:t>
            </w:r>
            <w:r>
              <w:tab/>
            </w:r>
            <w:r>
              <w:t>Common configuration and dedicated configuration for the UL and SUL can be independent. (Agreement is not meant to preclude any discussion in UP session)</w:t>
            </w:r>
          </w:p>
          <w:p>
            <w:pPr>
              <w:pStyle w:val="122"/>
              <w:pBdr>
                <w:top w:val="single" w:color="auto" w:sz="4" w:space="1"/>
                <w:left w:val="single" w:color="auto" w:sz="4" w:space="4"/>
                <w:bottom w:val="single" w:color="auto" w:sz="4" w:space="1"/>
                <w:right w:val="single" w:color="auto" w:sz="4" w:space="4"/>
              </w:pBdr>
            </w:pPr>
            <w:r>
              <w:t>2</w:t>
            </w:r>
            <w:r>
              <w:tab/>
            </w:r>
            <w:r>
              <w:t>Common configurations for both non-SUL and SUL can be provided to the UE</w:t>
            </w:r>
          </w:p>
          <w:p>
            <w:pPr>
              <w:pStyle w:val="122"/>
              <w:pBdr>
                <w:top w:val="single" w:color="auto" w:sz="4" w:space="1"/>
                <w:left w:val="single" w:color="auto" w:sz="4" w:space="4"/>
                <w:bottom w:val="single" w:color="auto" w:sz="4" w:space="1"/>
                <w:right w:val="single" w:color="auto" w:sz="4" w:space="4"/>
              </w:pBdr>
            </w:pPr>
            <w:r>
              <w:t>3</w:t>
            </w:r>
            <w:r>
              <w:tab/>
            </w:r>
            <w:r>
              <w:rPr>
                <w:highlight w:val="yellow"/>
              </w:rPr>
              <w:t>UE is configured with PUCCH and PUSCH dedicated configuration for either UL or SUL</w:t>
            </w:r>
          </w:p>
          <w:p>
            <w:pPr>
              <w:pStyle w:val="122"/>
              <w:pBdr>
                <w:top w:val="single" w:color="auto" w:sz="4" w:space="1"/>
                <w:left w:val="single" w:color="auto" w:sz="4" w:space="4"/>
                <w:bottom w:val="single" w:color="auto" w:sz="4" w:space="1"/>
                <w:right w:val="single" w:color="auto" w:sz="4" w:space="4"/>
              </w:pBdr>
            </w:pPr>
            <w:r>
              <w:t>4</w:t>
            </w:r>
            <w:r>
              <w:tab/>
            </w:r>
            <w:r>
              <w:t>UE can additionally be configured a PUSCH on the other carrier.</w:t>
            </w:r>
          </w:p>
          <w:p>
            <w:pPr>
              <w:pStyle w:val="122"/>
              <w:pBdr>
                <w:top w:val="single" w:color="auto" w:sz="4" w:space="1"/>
                <w:left w:val="single" w:color="auto" w:sz="4" w:space="4"/>
                <w:bottom w:val="single" w:color="auto" w:sz="4" w:space="1"/>
                <w:right w:val="single" w:color="auto" w:sz="4" w:space="4"/>
              </w:pBdr>
            </w:pPr>
            <w:r>
              <w:t xml:space="preserve">5 </w:t>
            </w:r>
            <w:r>
              <w:tab/>
            </w:r>
            <w:r>
              <w:t>For reconfiguration with synchronisation, the UE can be provided with RACH dedicated configuration for either UL or SUL.</w:t>
            </w:r>
          </w:p>
          <w:p>
            <w:pPr>
              <w:pStyle w:val="45"/>
              <w:spacing w:before="75" w:beforeAutospacing="0" w:after="75" w:afterAutospacing="0" w:line="315" w:lineRule="atLeast"/>
              <w:rPr>
                <w:sz w:val="20"/>
                <w:szCs w:val="20"/>
                <w:lang w:eastAsia="sv-SE"/>
              </w:rPr>
            </w:pPr>
          </w:p>
          <w:p>
            <w:pPr>
              <w:pStyle w:val="45"/>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pPr>
              <w:pStyle w:val="45"/>
              <w:spacing w:before="75" w:beforeAutospacing="0" w:after="75" w:afterAutospacing="0" w:line="315" w:lineRule="atLeast"/>
              <w:rPr>
                <w:sz w:val="20"/>
                <w:szCs w:val="20"/>
                <w:lang w:eastAsia="sv-SE"/>
              </w:rPr>
            </w:pPr>
          </w:p>
          <w:p>
            <w:pPr>
              <w:pStyle w:val="45"/>
              <w:spacing w:before="75" w:beforeAutospacing="0" w:after="75" w:afterAutospacing="0" w:line="315" w:lineRule="atLeast"/>
              <w:rPr>
                <w:sz w:val="20"/>
                <w:szCs w:val="20"/>
                <w:lang w:eastAsia="zh-CN"/>
              </w:rPr>
            </w:pPr>
            <w:r>
              <w:rPr>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pPr>
              <w:pStyle w:val="45"/>
              <w:spacing w:before="75" w:beforeAutospacing="0" w:after="75" w:afterAutospacing="0" w:line="315" w:lineRule="atLeast"/>
              <w:rPr>
                <w:sz w:val="20"/>
                <w:szCs w:val="20"/>
                <w:lang w:val="en-GB" w:eastAsia="zh-CN"/>
              </w:rPr>
            </w:pPr>
          </w:p>
          <w:p>
            <w:pPr>
              <w:pStyle w:val="45"/>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pPr>
              <w:pStyle w:val="45"/>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pPr>
              <w:pStyle w:val="45"/>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pPr>
              <w:pStyle w:val="45"/>
              <w:spacing w:before="75" w:beforeAutospacing="0" w:after="75" w:afterAutospacing="0" w:line="315" w:lineRule="atLeast"/>
              <w:rPr>
                <w:rFonts w:hint="default"/>
                <w:sz w:val="20"/>
                <w:szCs w:val="20"/>
                <w:lang w:val="en-US"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pPr>
              <w:pStyle w:val="45"/>
              <w:spacing w:before="75" w:beforeAutospacing="0" w:after="75" w:afterAutospacing="0" w:line="315" w:lineRule="atLeast"/>
              <w:rPr>
                <w:rFonts w:hint="default"/>
                <w:sz w:val="20"/>
                <w:szCs w:val="20"/>
                <w:lang w:val="en-US" w:eastAsia="zh-CN"/>
              </w:rPr>
            </w:pPr>
            <w:r>
              <w:rPr>
                <w:sz w:val="20"/>
                <w:szCs w:val="20"/>
                <w:lang w:eastAsia="zh-CN"/>
              </w:rPr>
              <w:t xml:space="preserve">Also, what is the corner case? I will laugh if people argue UE being configured with SUL is the corner case. </w:t>
            </w:r>
          </w:p>
          <w:p>
            <w:pPr>
              <w:pStyle w:val="45"/>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pPr>
              <w:pStyle w:val="45"/>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pPr>
              <w:pStyle w:val="45"/>
              <w:spacing w:before="75" w:beforeAutospacing="0" w:after="75" w:afterAutospacing="0" w:line="315" w:lineRule="atLeast"/>
              <w:ind w:left="720"/>
              <w:rPr>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pPr>
              <w:pStyle w:val="45"/>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type="textWrapping"/>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overflowPunct/>
                    <w:autoSpaceDE/>
                    <w:adjustRightInd/>
                    <w:spacing w:before="120" w:after="0"/>
                    <w:jc w:val="both"/>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pPr>
              <w:pStyle w:val="45"/>
              <w:spacing w:before="75" w:beforeAutospacing="0" w:after="75" w:afterAutospacing="0" w:line="315" w:lineRule="atLeast"/>
              <w:rPr>
                <w:rFonts w:hint="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val="en-US" w:eastAsia="zh-CN"/>
              </w:rPr>
              <w:t>[HW</w:t>
            </w:r>
            <w:r>
              <w:rPr>
                <w:rFonts w:hint="default"/>
                <w:sz w:val="20"/>
                <w:szCs w:val="20"/>
                <w:lang w:val="en-US" w:eastAsia="zh-CN"/>
              </w:rPr>
              <w:t>’</w:t>
            </w:r>
            <w:r>
              <w:rPr>
                <w:rFonts w:hint="eastAsia"/>
                <w:sz w:val="20"/>
                <w:szCs w:val="20"/>
                <w:lang w:val="en-US"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pPr>
              <w:pStyle w:val="45"/>
              <w:spacing w:before="75" w:beforeAutospacing="0" w:after="75" w:afterAutospacing="0" w:line="315" w:lineRule="atLeast"/>
              <w:rPr>
                <w:rFonts w:hint="default" w:eastAsia="宋体"/>
                <w:sz w:val="20"/>
                <w:szCs w:val="20"/>
                <w:lang w:val="en-US" w:eastAsia="zh-CN"/>
              </w:rPr>
            </w:pPr>
            <w:r>
              <w:rPr>
                <w:rFonts w:hint="eastAsia"/>
                <w:sz w:val="20"/>
                <w:szCs w:val="20"/>
                <w:lang w:val="en-US"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pPr>
              <w:pStyle w:val="45"/>
              <w:spacing w:before="75" w:beforeAutospacing="0" w:after="75" w:afterAutospacing="0" w:line="315" w:lineRule="atLeast"/>
              <w:rPr>
                <w:sz w:val="20"/>
                <w:szCs w:val="20"/>
                <w:lang w:eastAsia="zh-CN"/>
              </w:rPr>
            </w:pPr>
            <w:r>
              <w:rPr>
                <w:rFonts w:hint="eastAsia"/>
                <w:sz w:val="20"/>
                <w:szCs w:val="20"/>
                <w:lang w:val="en-US" w:eastAsia="zh-CN"/>
              </w:rPr>
              <w:t>[HW</w:t>
            </w:r>
            <w:r>
              <w:rPr>
                <w:rFonts w:hint="default"/>
                <w:sz w:val="20"/>
                <w:szCs w:val="20"/>
                <w:lang w:val="en-US" w:eastAsia="zh-CN"/>
              </w:rPr>
              <w:t>’</w:t>
            </w:r>
            <w:r>
              <w:rPr>
                <w:rFonts w:hint="eastAsia"/>
                <w:sz w:val="20"/>
                <w:szCs w:val="20"/>
                <w:lang w:val="en-US" w:eastAsia="zh-CN"/>
              </w:rPr>
              <w:t>s comments</w:t>
            </w:r>
            <w:bookmarkStart w:id="7" w:name="_GoBack"/>
            <w:bookmarkEnd w:id="7"/>
            <w:r>
              <w:rPr>
                <w:rFonts w:hint="eastAsia"/>
                <w:sz w:val="20"/>
                <w:szCs w:val="20"/>
                <w:lang w:val="en-US" w:eastAsia="zh-CN"/>
              </w:rPr>
              <w:t xml:space="preserve">] </w:t>
            </w:r>
            <w:r>
              <w:rPr>
                <w:sz w:val="20"/>
                <w:szCs w:val="20"/>
                <w:lang w:eastAsia="zh-CN"/>
              </w:rPr>
              <w:t xml:space="preserve">Also, what is the corner case? I will laugh if people argue UE being configured with SUL is the corner case. </w:t>
            </w:r>
          </w:p>
          <w:p>
            <w:pPr>
              <w:pStyle w:val="45"/>
              <w:spacing w:before="75" w:beforeAutospacing="0" w:after="75" w:afterAutospacing="0" w:line="315" w:lineRule="atLeast"/>
              <w:rPr>
                <w:rFonts w:hint="eastAsia"/>
                <w:sz w:val="20"/>
                <w:szCs w:val="20"/>
                <w:lang w:val="en-US" w:eastAsia="zh-CN"/>
              </w:rPr>
            </w:pPr>
            <w:r>
              <w:rPr>
                <w:rFonts w:hint="eastAsia"/>
                <w:sz w:val="20"/>
                <w:szCs w:val="20"/>
                <w:lang w:val="en-US"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val="en-US" w:eastAsia="zh-CN"/>
              </w:rPr>
              <w:t>SUL-only</w:t>
            </w:r>
            <w:r>
              <w:rPr>
                <w:rFonts w:hint="eastAsia"/>
                <w:sz w:val="20"/>
                <w:szCs w:val="20"/>
                <w:lang w:val="en-US" w:eastAsia="zh-CN"/>
              </w:rPr>
              <w:t xml:space="preserve"> is the corner case since we can</w:t>
            </w:r>
            <w:r>
              <w:rPr>
                <w:rFonts w:hint="default"/>
                <w:sz w:val="20"/>
                <w:szCs w:val="20"/>
                <w:lang w:val="en-US" w:eastAsia="zh-CN"/>
              </w:rPr>
              <w:t>’</w:t>
            </w:r>
            <w:r>
              <w:rPr>
                <w:rFonts w:hint="eastAsia"/>
                <w:sz w:val="20"/>
                <w:szCs w:val="20"/>
                <w:lang w:val="en-US" w:eastAsia="zh-CN"/>
              </w:rPr>
              <w:t xml:space="preserve">t imagine the reason for such configuration and thus there is no need to discuss </w:t>
            </w:r>
            <w:r>
              <w:rPr>
                <w:rFonts w:hint="eastAsia"/>
                <w:sz w:val="20"/>
                <w:szCs w:val="20"/>
                <w:highlight w:val="yellow"/>
                <w:lang w:val="en-US" w:eastAsia="zh-CN"/>
              </w:rPr>
              <w:t>SUL-only</w:t>
            </w:r>
            <w:r>
              <w:rPr>
                <w:rFonts w:hint="eastAsia"/>
                <w:sz w:val="20"/>
                <w:szCs w:val="20"/>
                <w:lang w:val="en-US" w:eastAsia="zh-CN"/>
              </w:rPr>
              <w:t>.</w:t>
            </w:r>
          </w:p>
          <w:p>
            <w:pPr>
              <w:pStyle w:val="45"/>
              <w:spacing w:before="75" w:beforeAutospacing="0" w:after="75" w:afterAutospacing="0" w:line="315" w:lineRule="atLeast"/>
              <w:rPr>
                <w:rFonts w:hint="eastAsia"/>
                <w:sz w:val="20"/>
                <w:szCs w:val="20"/>
                <w:lang w:val="en-US" w:eastAsia="zh-CN"/>
              </w:rPr>
            </w:pPr>
          </w:p>
          <w:p>
            <w:pPr>
              <w:pStyle w:val="45"/>
              <w:spacing w:before="75" w:beforeAutospacing="0" w:after="75" w:afterAutospacing="0" w:line="315" w:lineRule="atLeast"/>
              <w:rPr>
                <w:rFonts w:hint="default"/>
                <w:sz w:val="20"/>
                <w:szCs w:val="20"/>
                <w:lang w:val="en-US" w:eastAsia="zh-CN"/>
              </w:rPr>
            </w:pPr>
            <w:r>
              <w:rPr>
                <w:rFonts w:hint="eastAsia"/>
                <w:sz w:val="20"/>
                <w:szCs w:val="20"/>
                <w:lang w:val="en-US"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pPr>
              <w:pStyle w:val="45"/>
              <w:spacing w:before="75" w:beforeAutospacing="0" w:after="75" w:afterAutospacing="0" w:line="315" w:lineRule="atLeast"/>
              <w:rPr>
                <w:rFonts w:hint="eastAsia"/>
                <w:sz w:val="20"/>
                <w:szCs w:val="20"/>
                <w:lang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6" w:lineRule="auto"/>
      </w:pPr>
      <w:r>
        <w:rPr>
          <w:highlight w:val="yellow"/>
        </w:rPr>
        <w:t>To be filled once agreements/conclusions are made in RAN1.</w:t>
      </w: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5"/>
        </w:numPr>
        <w:ind w:left="450" w:hanging="450"/>
        <w:rPr>
          <w:rFonts w:eastAsia="Calibri"/>
          <w:lang w:eastAsia="zh-CN"/>
        </w:rPr>
      </w:pPr>
      <w:r>
        <w:rPr>
          <w:rFonts w:eastAsia="Calibri"/>
          <w:lang w:eastAsia="zh-CN"/>
        </w:rPr>
        <w:t>R1-2007593, “Remaining issues on DAPS,” Huawei, HiSilicon</w:t>
      </w:r>
    </w:p>
    <w:p>
      <w:pPr>
        <w:pStyle w:val="115"/>
        <w:numPr>
          <w:ilvl w:val="0"/>
          <w:numId w:val="15"/>
        </w:numPr>
        <w:ind w:left="450" w:hanging="450"/>
        <w:rPr>
          <w:rFonts w:eastAsia="Calibri"/>
          <w:lang w:eastAsia="zh-CN"/>
        </w:rPr>
      </w:pPr>
      <w:r>
        <w:rPr>
          <w:rFonts w:eastAsia="Calibri"/>
          <w:lang w:eastAsia="zh-CN"/>
        </w:rPr>
        <w:t>R1-2007738, “Draft CR on intra-frequency DAPS handover,” ZTE</w:t>
      </w:r>
    </w:p>
    <w:p>
      <w:pPr>
        <w:pStyle w:val="115"/>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15"/>
        </w:numPr>
        <w:ind w:left="450" w:hanging="450"/>
        <w:rPr>
          <w:rFonts w:eastAsia="Calibri"/>
          <w:lang w:eastAsia="zh-CN"/>
        </w:rPr>
      </w:pPr>
      <w:r>
        <w:rPr>
          <w:rFonts w:eastAsia="Calibri"/>
          <w:lang w:eastAsia="zh-CN"/>
        </w:rPr>
        <w:t>R1-2008209, “Correction to DAPS HO,” Ericsson</w:t>
      </w:r>
    </w:p>
    <w:p>
      <w:pPr>
        <w:pStyle w:val="115"/>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pPr>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13</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570CD7"/>
    <w:multiLevelType w:val="multilevel"/>
    <w:tmpl w:val="10570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EB5CEF"/>
    <w:multiLevelType w:val="multilevel"/>
    <w:tmpl w:val="22EB5C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8CA606D"/>
    <w:multiLevelType w:val="multilevel"/>
    <w:tmpl w:val="38CA6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B42CB3"/>
    <w:multiLevelType w:val="multilevel"/>
    <w:tmpl w:val="55B42CB3"/>
    <w:lvl w:ilvl="0" w:tentative="0">
      <w:start w:val="20"/>
      <w:numFmt w:val="bullet"/>
      <w:lvlText w:val="-"/>
      <w:lvlJc w:val="left"/>
      <w:pPr>
        <w:ind w:left="405" w:hanging="360"/>
      </w:pPr>
      <w:rPr>
        <w:rFonts w:hint="default" w:ascii="Calibri" w:hAnsi="Calibri" w:eastAsia="Calibri" w:cs="Calibri"/>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abstractNum w:abstractNumId="9">
    <w:nsid w:val="5904786B"/>
    <w:multiLevelType w:val="singleLevel"/>
    <w:tmpl w:val="5904786B"/>
    <w:lvl w:ilvl="0" w:tentative="0">
      <w:start w:val="1"/>
      <w:numFmt w:val="bullet"/>
      <w:lvlText w:val=""/>
      <w:lvlJc w:val="left"/>
      <w:pPr>
        <w:ind w:left="420" w:hanging="420"/>
      </w:pPr>
      <w:rPr>
        <w:rFonts w:hint="default" w:ascii="Wingdings" w:hAnsi="Wingdings"/>
      </w:rPr>
    </w:lvl>
  </w:abstractNum>
  <w:abstractNum w:abstractNumId="1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2871150"/>
    <w:multiLevelType w:val="multilevel"/>
    <w:tmpl w:val="6287115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4747790"/>
    <w:multiLevelType w:val="multilevel"/>
    <w:tmpl w:val="64747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51F2184"/>
    <w:multiLevelType w:val="multilevel"/>
    <w:tmpl w:val="651F2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3"/>
  </w:num>
  <w:num w:numId="7">
    <w:abstractNumId w:val="2"/>
  </w:num>
  <w:num w:numId="8">
    <w:abstractNumId w:val="12"/>
  </w:num>
  <w:num w:numId="9">
    <w:abstractNumId w:val="1"/>
  </w:num>
  <w:num w:numId="10">
    <w:abstractNumId w:val="5"/>
  </w:num>
  <w:num w:numId="11">
    <w:abstractNumId w:val="8"/>
  </w:num>
  <w:num w:numId="12">
    <w:abstractNumId w:val="1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AD5AD-B053-4402-83D5-CBBE67B60E1B}">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B5D9DAFB-025E-419D-A1A6-0EF925D9E463}">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36C3CE62-6023-48CB-99DE-D1E9C1AE70C2}">
  <ds:schemaRefs/>
</ds:datastoreItem>
</file>

<file path=customXml/itemProps7.xml><?xml version="1.0" encoding="utf-8"?>
<ds:datastoreItem xmlns:ds="http://schemas.openxmlformats.org/officeDocument/2006/customXml" ds:itemID="{E7A2A490-FF33-409A-9CEE-A4ACD5BE189B}">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14</Pages>
  <Words>5571</Words>
  <Characters>31756</Characters>
  <Lines>264</Lines>
  <Paragraphs>74</Paragraphs>
  <TotalTime>23</TotalTime>
  <ScaleCrop>false</ScaleCrop>
  <LinksUpToDate>false</LinksUpToDate>
  <CharactersWithSpaces>37253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2020-11-02T21:56:00Z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2020-11-03T02:53:15Z</dcterms:modified>
  <dc:subject>R1-2009354</dc:subject>
  <dc:title>[103-e-NR-Mob-Enh-02] Discussions Summary #1</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