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0477" w14:textId="77777777"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0DF939C7" w14:textId="77777777"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2D2A342D" w14:textId="77777777" w:rsidR="00076871" w:rsidRDefault="00076871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720749E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4326BC2C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400DB79B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[103-e-NR-IAB-02] Issue with IAB-DU “serving” cell terminology</w:t>
      </w:r>
    </w:p>
    <w:p w14:paraId="6949840E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445C099E" w14:textId="77777777" w:rsidR="00076871" w:rsidRDefault="004D04F0">
      <w:pPr>
        <w:pStyle w:val="Heading1"/>
      </w:pPr>
      <w:r>
        <w:t>Introduction</w:t>
      </w:r>
    </w:p>
    <w:p w14:paraId="19E9C7E5" w14:textId="77777777" w:rsidR="00076871" w:rsidRDefault="004D04F0">
      <w:pPr>
        <w:pStyle w:val="BodyText"/>
      </w:pPr>
      <w:r>
        <w:t>This contribution provides a summary of the following email discussion:</w:t>
      </w:r>
    </w:p>
    <w:p w14:paraId="38A65955" w14:textId="77777777" w:rsidR="00076871" w:rsidRDefault="004D04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60BDF41C" w14:textId="77777777"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724AB507" w14:textId="77777777"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370FCC19" w14:textId="77777777" w:rsidR="00076871" w:rsidRDefault="00076871">
      <w:pPr>
        <w:pStyle w:val="BodyText"/>
      </w:pPr>
    </w:p>
    <w:p w14:paraId="7415ACFA" w14:textId="77777777" w:rsidR="00076871" w:rsidRDefault="004D04F0">
      <w:pPr>
        <w:pStyle w:val="Heading1"/>
      </w:pPr>
      <w:r>
        <w:rPr>
          <w:lang w:val="en-GB"/>
        </w:rPr>
        <w:t>Issue with IAB-DU “serving” cell terminology</w:t>
      </w:r>
    </w:p>
    <w:p w14:paraId="7E99E11C" w14:textId="77777777" w:rsidR="00076871" w:rsidRDefault="004D04F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>: R1-2008742</w:t>
      </w:r>
    </w:p>
    <w:p w14:paraId="705DFDC2" w14:textId="77777777" w:rsidR="00076871" w:rsidRDefault="0007687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60DCEECA" w14:textId="77777777" w:rsidR="00076871" w:rsidRDefault="004D04F0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 xml:space="preserve">In 38.213 Section 14, multiple references to a “serving cell” in relation to an IAB-DU are made, which are consistent with the terminology used for UEs and IAB-MTs. However, this is inconsistent with other specifications where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 xml:space="preserve">-DUs do not use the term “serving” for associated cells, including for IAB-DUs (see 38.331 and 38.401 for examples from RAN2 and RAN3 respectively). Unless a clear motivation is made for keeping the term “serving cells,” since the IAB-DU hosts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>-DU functionality, it seems more appropriate to remove the instances of “IAB-DU serving cell(s)” or “serving cell(s) of an IAB-DU.” Since there does not appear to be any functional impact, an editorial correction of the specification could be used to make the update instead of a CR.</w:t>
      </w:r>
    </w:p>
    <w:p w14:paraId="16C1AA34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1EAB592C" w14:textId="77777777"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Remove all references to “serving” in relation of IAB-DU cell(s) in TS 38.213 Section 14. </w:t>
      </w:r>
    </w:p>
    <w:p w14:paraId="2E889D04" w14:textId="77777777"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Note: This will be done via editorial update of the alignment CR </w:t>
      </w:r>
    </w:p>
    <w:p w14:paraId="49FC667D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72F4A08D" w14:textId="77777777" w:rsidR="00076871" w:rsidRDefault="004D04F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076871" w14:paraId="5DAAE072" w14:textId="77777777">
        <w:tc>
          <w:tcPr>
            <w:tcW w:w="1696" w:type="dxa"/>
          </w:tcPr>
          <w:p w14:paraId="2DC02494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F481636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4B88E44B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076871" w14:paraId="2DFF7F22" w14:textId="77777777">
        <w:tc>
          <w:tcPr>
            <w:tcW w:w="1696" w:type="dxa"/>
          </w:tcPr>
          <w:p w14:paraId="7F714F06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38F1A2AD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28FA8650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076871" w14:paraId="3667F8E0" w14:textId="77777777">
        <w:tc>
          <w:tcPr>
            <w:tcW w:w="1696" w:type="dxa"/>
          </w:tcPr>
          <w:p w14:paraId="3DBD0D8C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18BD97AB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3C702C80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076871" w14:paraId="4D3E2345" w14:textId="77777777">
        <w:tc>
          <w:tcPr>
            <w:tcW w:w="1696" w:type="dxa"/>
          </w:tcPr>
          <w:p w14:paraId="4DC38310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6087E6E9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58B25A46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 w14:paraId="64D89012" w14:textId="77777777">
        <w:tc>
          <w:tcPr>
            <w:tcW w:w="1696" w:type="dxa"/>
          </w:tcPr>
          <w:p w14:paraId="63DBE0DC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14:paraId="054E4D1D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14:paraId="27F1084F" w14:textId="77777777"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 w:rsidR="00076871" w14:paraId="73C94CAA" w14:textId="77777777">
        <w:tc>
          <w:tcPr>
            <w:tcW w:w="1696" w:type="dxa"/>
          </w:tcPr>
          <w:p w14:paraId="631BE66B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40637595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42A29F62" w14:textId="77777777" w:rsidR="00076871" w:rsidRDefault="004D04F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 w14:paraId="06361DF4" w14:textId="77777777">
        <w:tc>
          <w:tcPr>
            <w:tcW w:w="1696" w:type="dxa"/>
          </w:tcPr>
          <w:p w14:paraId="0C8EFC5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64733C5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33DED24A" w14:textId="77777777"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None</w:t>
            </w:r>
          </w:p>
        </w:tc>
      </w:tr>
      <w:tr w:rsidR="00076871" w14:paraId="580048B6" w14:textId="77777777">
        <w:tc>
          <w:tcPr>
            <w:tcW w:w="1696" w:type="dxa"/>
          </w:tcPr>
          <w:p w14:paraId="6527CE8A" w14:textId="77777777" w:rsidR="00076871" w:rsidRDefault="004D04F0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14:paraId="432B671D" w14:textId="77777777" w:rsidR="00076871" w:rsidRDefault="00076871">
            <w:pPr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31F9B59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After checking 38.331, the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is also used for a IAB DU related cell in the following text:</w:t>
            </w:r>
          </w:p>
          <w:p w14:paraId="1E97A10A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----------------------------------------------------</w:t>
            </w:r>
          </w:p>
          <w:p w14:paraId="3A09D247" w14:textId="77777777" w:rsidR="00076871" w:rsidRDefault="004D04F0">
            <w:pPr>
              <w:rPr>
                <w:rFonts w:ascii="Arial" w:hAnsi="Arial"/>
                <w:i/>
                <w:iCs/>
                <w:lang w:val="en-GB" w:eastAsia="ja-JP"/>
              </w:rPr>
            </w:pPr>
            <w:r>
              <w:rPr>
                <w:rFonts w:ascii="Arial" w:eastAsia="SimSun" w:hAnsi="Arial" w:hint="eastAsia"/>
                <w:lang w:eastAsia="zh-CN"/>
              </w:rPr>
              <w:t xml:space="preserve"> -  </w:t>
            </w:r>
            <w:proofErr w:type="spellStart"/>
            <w:r>
              <w:rPr>
                <w:rFonts w:ascii="Arial" w:hAnsi="Arial"/>
                <w:i/>
                <w:iCs/>
                <w:lang w:val="en-GB" w:eastAsia="ja-JP"/>
              </w:rPr>
              <w:t>AvailabilityCombinationsPerCell</w:t>
            </w:r>
            <w:proofErr w:type="spellEnd"/>
          </w:p>
          <w:p w14:paraId="25D4B8DF" w14:textId="77777777" w:rsidR="00076871" w:rsidRDefault="00076871">
            <w:pPr>
              <w:rPr>
                <w:rFonts w:ascii="Arial" w:hAnsi="Arial"/>
                <w:i/>
                <w:iCs/>
                <w:lang w:eastAsia="zh-CN"/>
              </w:rPr>
            </w:pPr>
          </w:p>
          <w:p w14:paraId="6CC51D00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The IE </w:t>
            </w:r>
            <w:proofErr w:type="spellStart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AvailabiltyCombinationsPerCell</w:t>
            </w:r>
            <w:proofErr w:type="spellEnd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is used to configure the </w:t>
            </w:r>
            <w:proofErr w:type="spellStart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</w:t>
            </w:r>
            <w:proofErr w:type="spellEnd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applicable for a</w:t>
            </w:r>
            <w:r>
              <w:rPr>
                <w:rStyle w:val="apple-converted-space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mphasis"/>
                <w:rFonts w:ascii="Arial" w:eastAsia="SimSun" w:hAnsi="Arial" w:cs="Arial"/>
                <w:color w:val="FF0000"/>
                <w:sz w:val="22"/>
                <w:szCs w:val="22"/>
                <w:shd w:val="clear" w:color="auto" w:fill="FFFFFF"/>
              </w:rPr>
              <w:t>serving cell of the IAB-node DU</w:t>
            </w:r>
            <w:r>
              <w:rPr>
                <w:rStyle w:val="apple-converted-space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mphasis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(see TS 38.213 [13], clause 14).</w:t>
            </w:r>
          </w:p>
          <w:p w14:paraId="60F6689B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lastRenderedPageBreak/>
              <w:t>-----------------------------------------------------</w:t>
            </w:r>
          </w:p>
          <w:p w14:paraId="6817F9D1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The inconsistent issue may still there if just RAN1 chooses to remove </w:t>
            </w:r>
            <w:r>
              <w:rPr>
                <w:rFonts w:ascii="Calibri" w:eastAsia="Calibri" w:hAnsi="Calibri"/>
                <w:sz w:val="22"/>
                <w:szCs w:val="22"/>
              </w:rPr>
              <w:t>all references to “serving” in relation of IAB-DU cell(s) in TS 38.213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Given 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both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RAN1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and RAN2 spec have used 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 for IAB DU, the following either way is OK for us:</w:t>
            </w:r>
          </w:p>
          <w:p w14:paraId="7AD7BC43" w14:textId="77777777" w:rsidR="00076871" w:rsidRDefault="004D04F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SimSun" w:hAnsi="Calibri" w:hint="eastAsia"/>
                <w:b/>
                <w:sz w:val="22"/>
                <w:szCs w:val="22"/>
                <w:lang w:eastAsia="zh-CN"/>
              </w:rPr>
              <w:t>Option 1: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Remove all references to “serving” in relation of IAB-DU cell(s) in TS 38.213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, also inform RAN2 to update its spec accordingly.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</w:t>
            </w:r>
          </w:p>
          <w:p w14:paraId="415E416A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/>
                <w:sz w:val="22"/>
                <w:szCs w:val="22"/>
                <w:lang w:eastAsia="zh-CN"/>
              </w:rPr>
              <w:t xml:space="preserve">Option 2: 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Do nothing, since current text does not cause any misunderstanding.</w:t>
            </w:r>
          </w:p>
        </w:tc>
      </w:tr>
      <w:tr w:rsidR="00076871" w14:paraId="0CB54B98" w14:textId="77777777">
        <w:tc>
          <w:tcPr>
            <w:tcW w:w="1696" w:type="dxa"/>
          </w:tcPr>
          <w:p w14:paraId="1DF259B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lastRenderedPageBreak/>
              <w:t>Vivo</w:t>
            </w:r>
          </w:p>
        </w:tc>
        <w:tc>
          <w:tcPr>
            <w:tcW w:w="2265" w:type="dxa"/>
          </w:tcPr>
          <w:p w14:paraId="75689506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4829F553" w14:textId="77777777" w:rsidR="00076871" w:rsidRDefault="004D04F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As commented by ZTE, RAN1 and RAN2 should align the name.</w:t>
            </w:r>
          </w:p>
        </w:tc>
      </w:tr>
      <w:tr w:rsidR="00076871" w14:paraId="55497504" w14:textId="77777777">
        <w:tc>
          <w:tcPr>
            <w:tcW w:w="1696" w:type="dxa"/>
          </w:tcPr>
          <w:p w14:paraId="2221C2EA" w14:textId="07050A18" w:rsidR="00076871" w:rsidRDefault="0047635B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043F436F" w14:textId="77777777"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A0AA430" w14:textId="35755B30" w:rsidR="00076871" w:rsidRDefault="0047635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ZTE’s comments. Either Option 1 or Option 2 is Ok. </w:t>
            </w:r>
          </w:p>
        </w:tc>
      </w:tr>
      <w:tr w:rsidR="00076871" w14:paraId="7A8D4C7E" w14:textId="77777777">
        <w:tc>
          <w:tcPr>
            <w:tcW w:w="1696" w:type="dxa"/>
          </w:tcPr>
          <w:p w14:paraId="7E1B0167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6D11BC49" w14:textId="77777777"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C711DB3" w14:textId="77777777"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076871" w14:paraId="4AC7AC87" w14:textId="77777777">
        <w:tc>
          <w:tcPr>
            <w:tcW w:w="1696" w:type="dxa"/>
          </w:tcPr>
          <w:p w14:paraId="19BC7044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6D2BA928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3F05562C" w14:textId="77777777"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69328903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52BF2D5A" w14:textId="77777777" w:rsidR="00076871" w:rsidRDefault="00076871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0B3BB9CE" w14:textId="77777777" w:rsidR="00076871" w:rsidRDefault="004D04F0">
      <w:pPr>
        <w:pStyle w:val="Heading1"/>
      </w:pPr>
      <w:r>
        <w:t>Summary</w:t>
      </w:r>
    </w:p>
    <w:p w14:paraId="0D53BABA" w14:textId="77777777" w:rsidR="00076871" w:rsidRDefault="004D04F0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02F2F76" w14:textId="77777777" w:rsidR="00076871" w:rsidRDefault="00076871">
      <w:pPr>
        <w:rPr>
          <w:rFonts w:ascii="Calibri" w:hAnsi="Calibri" w:cs="Calibri"/>
          <w:color w:val="000000"/>
          <w:sz w:val="22"/>
          <w:szCs w:val="22"/>
        </w:rPr>
      </w:pPr>
      <w:bookmarkStart w:id="2" w:name="_GoBack"/>
      <w:bookmarkEnd w:id="2"/>
    </w:p>
    <w:p w14:paraId="0D3C9D0F" w14:textId="77777777" w:rsidR="00076871" w:rsidRDefault="00076871">
      <w:pPr>
        <w:rPr>
          <w:rFonts w:ascii="Arial" w:hAnsi="Arial"/>
          <w:b/>
          <w:sz w:val="32"/>
          <w:szCs w:val="20"/>
        </w:rPr>
      </w:pPr>
    </w:p>
    <w:sectPr w:rsidR="000768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F236F" w14:textId="77777777" w:rsidR="0047635B" w:rsidRDefault="0047635B" w:rsidP="0047635B">
      <w:r>
        <w:separator/>
      </w:r>
    </w:p>
  </w:endnote>
  <w:endnote w:type="continuationSeparator" w:id="0">
    <w:p w14:paraId="01A5911F" w14:textId="77777777" w:rsidR="0047635B" w:rsidRDefault="0047635B" w:rsidP="0047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AC83" w14:textId="77777777" w:rsidR="0047635B" w:rsidRDefault="0047635B" w:rsidP="0047635B">
      <w:r>
        <w:separator/>
      </w:r>
    </w:p>
  </w:footnote>
  <w:footnote w:type="continuationSeparator" w:id="0">
    <w:p w14:paraId="1ECA184A" w14:textId="77777777" w:rsidR="0047635B" w:rsidRDefault="0047635B" w:rsidP="0047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687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35B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04F0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2F87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233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097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  <w:rsid w:val="79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E104"/>
  <w15:docId w15:val="{CD3D9651-211D-4E05-9EDD-D22B9C9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qFormat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qFormat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7FC8337-D076-4448-B3CE-829CAD10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Company>AT&amp;T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Wei, Lili</cp:lastModifiedBy>
  <cp:revision>2</cp:revision>
  <cp:lastPrinted>2016-02-23T10:51:00Z</cp:lastPrinted>
  <dcterms:created xsi:type="dcterms:W3CDTF">2020-10-27T06:20:00Z</dcterms:created>
  <dcterms:modified xsi:type="dcterms:W3CDTF">2020-10-27T06:20:00Z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