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bl>
    <w:p w14:paraId="4B7D4C43" w14:textId="77777777" w:rsidR="006B296B" w:rsidRDefault="006B296B"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4B7D4C46" w14:textId="77777777" w:rsidR="00677495" w:rsidRDefault="00677495" w:rsidP="00677495">
      <w:pPr>
        <w:pStyle w:val="Heading1"/>
      </w:pPr>
      <w:r>
        <w:t>Round 3</w:t>
      </w:r>
      <w:bookmarkStart w:id="0" w:name="_GoBack"/>
      <w:bookmarkEnd w:id="0"/>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 xml:space="preserve">Annex: proposals from </w:t>
      </w:r>
      <w:proofErr w:type="spellStart"/>
      <w:r>
        <w:t>Tdocs</w:t>
      </w:r>
      <w:proofErr w:type="spellEnd"/>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meeting about excluding retransmissions from the existing rel-15 OOO </w:t>
            </w:r>
            <w:proofErr w:type="spellStart"/>
            <w:r w:rsidRPr="006F2473">
              <w:t>behavior</w:t>
            </w:r>
            <w:proofErr w:type="spellEnd"/>
            <w:r w:rsidRPr="006F2473">
              <w:t>.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lastRenderedPageBreak/>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the UE multiplexes the corresponding HARQ-ACK information in a PUCCH or PUSCH transmission in a slot that is indicated by a 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D4C96" w14:textId="77777777" w:rsidR="00CD22A2" w:rsidRDefault="00CD22A2">
      <w:r>
        <w:separator/>
      </w:r>
    </w:p>
  </w:endnote>
  <w:endnote w:type="continuationSeparator" w:id="0">
    <w:p w14:paraId="4B7D4C97" w14:textId="77777777" w:rsidR="00CD22A2" w:rsidRDefault="00CD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D4C94" w14:textId="77777777" w:rsidR="00CD22A2" w:rsidRDefault="00CD22A2">
      <w:r>
        <w:separator/>
      </w:r>
    </w:p>
  </w:footnote>
  <w:footnote w:type="continuationSeparator" w:id="0">
    <w:p w14:paraId="4B7D4C95" w14:textId="77777777" w:rsidR="00CD22A2" w:rsidRDefault="00CD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7878-6A1D-45E1-812F-B5CAE440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4</Pages>
  <Words>2124</Words>
  <Characters>11449</Characters>
  <Application>Microsoft Office Word</Application>
  <DocSecurity>0</DocSecurity>
  <Lines>95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13546</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Karol Schober</cp:lastModifiedBy>
  <cp:revision>4</cp:revision>
  <cp:lastPrinted>2013-05-13T04:37:00Z</cp:lastPrinted>
  <dcterms:created xsi:type="dcterms:W3CDTF">2020-10-27T06:58:00Z</dcterms:created>
  <dcterms:modified xsi:type="dcterms:W3CDTF">2020-10-27T07:19:00Z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y fmtid="{D5CDD505-2E9C-101B-9397-08002B2CF9AE}" pid="7" name="NSCPROP_SA">
    <vt:lpwstr>D:\work\Contributions\RAN1\RAN1_103E\NR-U CR email\NRU HARQ [103-e-NR-NRU-05] v004_Sharp_Intel.docx</vt:lpwstr>
  </property>
</Properties>
</file>