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 xml:space="preserve">[103-e-LTE-6.1CRs-02] Email discussion/approval on R1-2008341 (NB-IOT) by 10/29 – </w:t>
      </w:r>
      <w:proofErr w:type="spellStart"/>
      <w:r>
        <w:rPr>
          <w:highlight w:val="cyan"/>
          <w:lang w:eastAsia="x-none"/>
        </w:rPr>
        <w:t>Jinhuan</w:t>
      </w:r>
      <w:proofErr w:type="spellEnd"/>
      <w:r>
        <w:rPr>
          <w:highlight w:val="cyan"/>
          <w:lang w:eastAsia="x-none"/>
        </w:rPr>
        <w:t xml:space="preserve"> (Huawei)</w:t>
      </w:r>
    </w:p>
    <w:p w14:paraId="186BD2D1" w14:textId="77777777" w:rsidR="00DE432A" w:rsidRDefault="003C05B2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18.15pt" o:ole="">
            <v:imagedata r:id="rId9" o:title=""/>
          </v:shape>
          <o:OLEObject Type="Embed" ProgID="Equation.3" ShapeID="_x0000_i1025" DrawAspect="Content" ObjectID="_1665402490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to </w:t>
      </w:r>
      <w:r w:rsidRPr="00ED514C">
        <w:rPr>
          <w:sz w:val="20"/>
          <w:szCs w:val="20"/>
          <w:lang w:val="en-GB"/>
        </w:rPr>
        <w:lastRenderedPageBreak/>
        <w:t xml:space="preserve">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9pt;height:18.15pt" o:ole="">
            <v:imagedata r:id="rId11" o:title=""/>
          </v:shape>
          <o:OLEObject Type="Embed" ProgID="Equation.3" ShapeID="_x0000_i1026" DrawAspect="Content" ObjectID="_1665402491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8.8pt;height:21.3pt" o:ole="">
            <v:imagedata r:id="rId13" o:title=""/>
          </v:shape>
          <o:OLEObject Type="Embed" ProgID="Equation.3" ShapeID="_x0000_i1027" DrawAspect="Content" ObjectID="_1665402492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1.3pt;height:18.15pt" o:ole="">
            <v:imagedata r:id="rId15" o:title=""/>
          </v:shape>
          <o:OLEObject Type="Embed" ProgID="Equation.3" ShapeID="_x0000_i1028" DrawAspect="Content" ObjectID="_1665402493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.2pt;height:64.5pt" o:ole="">
            <v:imagedata r:id="rId17" o:title=""/>
          </v:shape>
          <o:OLEObject Type="Embed" ProgID="Equation.3" ShapeID="_x0000_i1029" DrawAspect="Content" ObjectID="_1665402494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.15pt;height:18.15pt" o:ole="">
            <v:imagedata r:id="rId19" o:title=""/>
          </v:shape>
          <o:OLEObject Type="Embed" ProgID="Equation.3" ShapeID="_x0000_i1030" DrawAspect="Content" ObjectID="_1665402495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pt;height:18.15pt" o:ole="">
            <v:imagedata r:id="rId21" o:title=""/>
          </v:shape>
          <o:OLEObject Type="Embed" ProgID="Equation.3" ShapeID="_x0000_i1031" DrawAspect="Content" ObjectID="_1665402496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5.75pt;height:18.15pt" o:ole="">
            <v:imagedata r:id="rId23" o:title=""/>
          </v:shape>
          <o:OLEObject Type="Embed" ProgID="Equation.3" ShapeID="_x0000_i1032" DrawAspect="Content" ObjectID="_1665402497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.3pt;height:16.9pt" o:ole="">
            <v:imagedata r:id="rId25" o:title=""/>
          </v:shape>
          <o:OLEObject Type="Embed" ProgID="Equation.3" ShapeID="_x0000_i1033" DrawAspect="Content" ObjectID="_1665402498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.3pt;height:16.9pt" o:ole="">
            <v:imagedata r:id="rId27" o:title=""/>
          </v:shape>
          <o:OLEObject Type="Embed" ProgID="Equation.3" ShapeID="_x0000_i1034" DrawAspect="Content" ObjectID="_1665402499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</w:t>
      </w:r>
      <w:proofErr w:type="gramStart"/>
      <w:r w:rsidRPr="00ED514C">
        <w:rPr>
          <w:sz w:val="20"/>
          <w:szCs w:val="20"/>
          <w:lang w:val="en-GB"/>
        </w:rPr>
        <w:t>NSSS ,</w:t>
      </w:r>
      <w:proofErr w:type="gramEnd"/>
      <w:r w:rsidRPr="00ED514C">
        <w:rPr>
          <w:sz w:val="20"/>
          <w:szCs w:val="20"/>
          <w:lang w:val="en-GB"/>
        </w:rPr>
        <w:t xml:space="preserve">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9pt;height:11.9pt" o:ole="">
            <v:imagedata r:id="rId29" o:title=""/>
          </v:shape>
          <o:OLEObject Type="Embed" ProgID="Equation.3" ShapeID="_x0000_i1035" DrawAspect="Content" ObjectID="_1665402500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pt;height:17.55pt" o:ole="">
            <v:imagedata r:id="rId31" o:title=""/>
          </v:shape>
          <o:OLEObject Type="Embed" ProgID="Equation.3" ShapeID="_x0000_i1036" DrawAspect="Content" ObjectID="_1665402501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2pt;height:17.55pt" o:ole="">
            <v:imagedata r:id="rId33" o:title=""/>
          </v:shape>
          <o:OLEObject Type="Embed" ProgID="Equation.3" ShapeID="_x0000_i1037" DrawAspect="Content" ObjectID="_1665402502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one subframe, they are in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 xml:space="preserve">they are not NRS locations when the subframe is not a special </w:t>
      </w:r>
      <w:proofErr w:type="gramStart"/>
      <w:r w:rsidRPr="00ED514C">
        <w:rPr>
          <w:sz w:val="20"/>
          <w:szCs w:val="20"/>
        </w:rPr>
        <w:t>subframe</w:t>
      </w:r>
      <w:r w:rsidRPr="00ED514C">
        <w:rPr>
          <w:sz w:val="20"/>
          <w:szCs w:val="20"/>
          <w:lang w:val="en-GB"/>
        </w:rPr>
        <w:t>..</w:t>
      </w:r>
      <w:proofErr w:type="gramEnd"/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.3pt;height:17.55pt" o:ole="">
            <v:imagedata r:id="rId27" o:title=""/>
          </v:shape>
          <o:OLEObject Type="Embed" ProgID="Equation.3" ShapeID="_x0000_i1038" DrawAspect="Content" ObjectID="_1665402503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4pt;height:11.9pt" o:ole="">
            <v:imagedata r:id="rId36" o:title=""/>
          </v:shape>
          <o:OLEObject Type="Embed" ProgID="Equation.3" ShapeID="_x0000_i1039" DrawAspect="Content" ObjectID="_1665402504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75pt;height:11.9pt" o:ole="">
            <v:imagedata r:id="rId38" o:title=""/>
          </v:shape>
          <o:OLEObject Type="Embed" ProgID="Equation.3" ShapeID="_x0000_i1040" DrawAspect="Content" ObjectID="_1665402505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9pt;height:11.9pt" o:ole="">
            <v:imagedata r:id="rId40" o:title=""/>
          </v:shape>
          <o:OLEObject Type="Embed" ProgID="Equation.3" ShapeID="_x0000_i1041" DrawAspect="Content" ObjectID="_1665402506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05pt;height:18.15pt" o:ole="">
            <v:imagedata r:id="rId42" o:title=""/>
          </v:shape>
          <o:OLEObject Type="Embed" ProgID="Equation.3" ShapeID="_x0000_i1042" DrawAspect="Content" ObjectID="_1665402507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  <w:r w:rsidRPr="00ED514C">
        <w:rPr>
          <w:sz w:val="20"/>
          <w:szCs w:val="20"/>
          <w:lang w:val="en-GB"/>
        </w:rPr>
        <w:t xml:space="preserve">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i/>
          <w:iCs/>
          <w:sz w:val="20"/>
          <w:szCs w:val="20"/>
          <w:lang w:val="en-GB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8pt;height:20.05pt" o:ole="">
            <v:imagedata r:id="rId44" o:title=""/>
          </v:shape>
          <o:OLEObject Type="Embed" ProgID="Equation.3" ShapeID="_x0000_i1043" DrawAspect="Content" ObjectID="_1665402508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pt;height:16.3pt" o:ole="">
            <v:imagedata r:id="rId46" o:title=""/>
          </v:shape>
          <o:OLEObject Type="Embed" ProgID="Equation.3" ShapeID="_x0000_i1044" DrawAspect="Content" ObjectID="_1665402509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2pt;height:18.15pt" o:ole="">
            <v:imagedata r:id="rId48" o:title=""/>
          </v:shape>
          <o:OLEObject Type="Embed" ProgID="Equation.3" ShapeID="_x0000_i1045" DrawAspect="Content" ObjectID="_1665402510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pt;height:16.3pt" o:ole="">
            <v:imagedata r:id="rId46" o:title=""/>
          </v:shape>
          <o:OLEObject Type="Embed" ProgID="Equation.3" ShapeID="_x0000_i1046" DrawAspect="Content" ObjectID="_1665402511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2pt;height:64.5pt" o:ole="">
            <v:imagedata r:id="rId17" o:title=""/>
          </v:shape>
          <o:OLEObject Type="Embed" ProgID="Equation.3" ShapeID="_x0000_i1047" DrawAspect="Content" ObjectID="_1665402512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9.55pt;height:20.05pt" o:ole="">
            <v:imagedata r:id="rId52" o:title=""/>
          </v:shape>
          <o:OLEObject Type="Embed" ProgID="Equation.3" ShapeID="_x0000_i1048" DrawAspect="Content" ObjectID="_1665402513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pt;height:18.15pt" o:ole="">
            <v:imagedata r:id="rId54" o:title=""/>
          </v:shape>
          <o:OLEObject Type="Embed" ProgID="Equation.3" ShapeID="_x0000_i1049" DrawAspect="Content" ObjectID="_1665402514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9pt;height:11.9pt" o:ole="">
            <v:imagedata r:id="rId56" o:title=""/>
          </v:shape>
          <o:OLEObject Type="Embed" ProgID="Equation.3" ShapeID="_x0000_i1050" DrawAspect="Content" ObjectID="_1665402515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they are not used for transmission of NPBCH, NPSS, or </w:t>
            </w:r>
            <w:proofErr w:type="gramStart"/>
            <w:r w:rsidRPr="00930DE1">
              <w:rPr>
                <w:sz w:val="22"/>
                <w:szCs w:val="22"/>
                <w:lang w:val="en-GB"/>
              </w:rPr>
              <w:t>NSSS ,</w:t>
            </w:r>
            <w:proofErr w:type="gramEnd"/>
            <w:r w:rsidRPr="00930DE1">
              <w:rPr>
                <w:sz w:val="22"/>
                <w:szCs w:val="22"/>
                <w:lang w:val="en-GB"/>
              </w:rPr>
              <w:t xml:space="preserve">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ListParagraph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 xml:space="preserve">they are not NRS locations when the subframe is not a special </w:t>
            </w:r>
            <w:proofErr w:type="gramStart"/>
            <w:r w:rsidRPr="00930DE1">
              <w:rPr>
                <w:sz w:val="22"/>
                <w:szCs w:val="22"/>
              </w:rPr>
              <w:t>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proofErr w:type="gramEnd"/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  <w:tr w:rsidR="00A514C9" w14:paraId="79C4DB3A" w14:textId="77777777">
        <w:tc>
          <w:tcPr>
            <w:tcW w:w="2547" w:type="dxa"/>
          </w:tcPr>
          <w:p w14:paraId="7D00DEE7" w14:textId="53EBC086" w:rsidR="00A514C9" w:rsidRPr="00A514C9" w:rsidRDefault="00A514C9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6760" w:type="dxa"/>
          </w:tcPr>
          <w:p w14:paraId="0BF87270" w14:textId="77777777" w:rsidR="00A514C9" w:rsidRDefault="00A514C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</w:t>
            </w:r>
            <w:r>
              <w:rPr>
                <w:szCs w:val="20"/>
                <w:lang w:eastAsia="zh-CN"/>
              </w:rPr>
              <w:t>support the CR.</w:t>
            </w:r>
          </w:p>
          <w:p w14:paraId="25744D43" w14:textId="051CC24F" w:rsidR="003A5607" w:rsidRPr="00AA785E" w:rsidRDefault="003A560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On the </w:t>
            </w:r>
            <w:r>
              <w:rPr>
                <w:szCs w:val="20"/>
                <w:lang w:eastAsia="zh-CN"/>
              </w:rPr>
              <w:t xml:space="preserve">proposed change to </w:t>
            </w:r>
            <w:r w:rsidRPr="003A5607">
              <w:rPr>
                <w:szCs w:val="20"/>
                <w:lang w:eastAsia="zh-CN"/>
              </w:rPr>
              <w:t>“Consequences if not approved”</w:t>
            </w:r>
            <w:r>
              <w:rPr>
                <w:szCs w:val="20"/>
                <w:lang w:eastAsia="zh-CN"/>
              </w:rPr>
              <w:t>, although it’s already been clear combined with “reason for change”, we don’t have strong view on this.</w:t>
            </w:r>
          </w:p>
        </w:tc>
      </w:tr>
      <w:tr w:rsidR="00447A05" w14:paraId="31446CFB" w14:textId="77777777">
        <w:tc>
          <w:tcPr>
            <w:tcW w:w="2547" w:type="dxa"/>
          </w:tcPr>
          <w:p w14:paraId="5CFF070E" w14:textId="287578F7" w:rsidR="00447A05" w:rsidRDefault="00447A05">
            <w:pPr>
              <w:rPr>
                <w:szCs w:val="20"/>
                <w:lang w:eastAsia="zh-CN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(v006))</w:t>
            </w:r>
          </w:p>
        </w:tc>
        <w:tc>
          <w:tcPr>
            <w:tcW w:w="6760" w:type="dxa"/>
          </w:tcPr>
          <w:p w14:paraId="59BF5E9F" w14:textId="4271695B" w:rsidR="00447A05" w:rsidRPr="00447A05" w:rsidRDefault="00447A05">
            <w:pPr>
              <w:rPr>
                <w:color w:val="4472C4" w:themeColor="accent5"/>
                <w:szCs w:val="20"/>
              </w:rPr>
            </w:pPr>
            <w:r w:rsidRPr="00447A05">
              <w:rPr>
                <w:color w:val="4472C4" w:themeColor="accent5"/>
                <w:szCs w:val="20"/>
              </w:rPr>
              <w:t xml:space="preserve">The need to explicitly write “SPS C-RNTI” has been questioned </w:t>
            </w:r>
            <w:r>
              <w:rPr>
                <w:color w:val="4472C4" w:themeColor="accent5"/>
                <w:szCs w:val="20"/>
              </w:rPr>
              <w:t xml:space="preserve">by one company </w:t>
            </w:r>
            <w:r w:rsidRPr="00447A05">
              <w:rPr>
                <w:color w:val="4472C4" w:themeColor="accent5"/>
                <w:szCs w:val="20"/>
              </w:rPr>
              <w:t>in some other e-mail discussion</w:t>
            </w:r>
            <w:r>
              <w:rPr>
                <w:color w:val="4472C4" w:themeColor="accent5"/>
                <w:szCs w:val="20"/>
              </w:rPr>
              <w:t>:</w:t>
            </w:r>
          </w:p>
          <w:p w14:paraId="34313870" w14:textId="77777777" w:rsidR="00447A05" w:rsidRPr="00447A05" w:rsidRDefault="00447A05" w:rsidP="00447A05">
            <w:pPr>
              <w:jc w:val="left"/>
              <w:rPr>
                <w:sz w:val="20"/>
                <w:szCs w:val="18"/>
              </w:rPr>
            </w:pPr>
            <w:r w:rsidRPr="00447A05">
              <w:rPr>
                <w:szCs w:val="20"/>
                <w:lang w:eastAsia="zh-CN"/>
              </w:rPr>
              <w:t>“</w:t>
            </w:r>
            <w:r w:rsidRPr="00447A05">
              <w:rPr>
                <w:sz w:val="20"/>
                <w:szCs w:val="18"/>
              </w:rPr>
              <w:t>Even when the UE monitors SPS C-RNTI, the search space is given by the C-RNTI, as specified in 213:</w:t>
            </w:r>
          </w:p>
          <w:p w14:paraId="4797DDF1" w14:textId="77777777" w:rsidR="00447A05" w:rsidRDefault="00447A05" w:rsidP="00447A05">
            <w:pPr>
              <w:jc w:val="left"/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802604D" wp14:editId="5E352397">
                  <wp:extent cx="3684270" cy="44767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eastAsia="zh-CN"/>
              </w:rPr>
              <w:t>”</w:t>
            </w:r>
          </w:p>
          <w:p w14:paraId="3EBE9AC6" w14:textId="7B80114E" w:rsidR="00447A05" w:rsidRPr="00447A05" w:rsidRDefault="00592C15" w:rsidP="00447A05">
            <w:pPr>
              <w:jc w:val="left"/>
              <w:rPr>
                <w:sz w:val="20"/>
                <w:szCs w:val="18"/>
              </w:rPr>
            </w:pPr>
            <w:r>
              <w:rPr>
                <w:color w:val="4472C4" w:themeColor="accent5"/>
                <w:szCs w:val="20"/>
              </w:rPr>
              <w:t>B</w:t>
            </w:r>
            <w:r w:rsidR="00447A05">
              <w:rPr>
                <w:color w:val="4472C4" w:themeColor="accent5"/>
                <w:szCs w:val="20"/>
              </w:rPr>
              <w:t xml:space="preserve">ased on the above, </w:t>
            </w:r>
            <w:r>
              <w:rPr>
                <w:color w:val="4472C4" w:themeColor="accent5"/>
                <w:szCs w:val="20"/>
              </w:rPr>
              <w:t xml:space="preserve">we wonder if </w:t>
            </w:r>
            <w:r w:rsidR="00447A05">
              <w:rPr>
                <w:color w:val="4472C4" w:themeColor="accent5"/>
                <w:szCs w:val="20"/>
              </w:rPr>
              <w:t>the</w:t>
            </w:r>
            <w:r>
              <w:rPr>
                <w:color w:val="4472C4" w:themeColor="accent5"/>
                <w:szCs w:val="20"/>
              </w:rPr>
              <w:t xml:space="preserve"> explicit mention of “</w:t>
            </w:r>
            <w:r w:rsidRPr="00447A05">
              <w:rPr>
                <w:color w:val="4472C4" w:themeColor="accent5"/>
                <w:szCs w:val="20"/>
              </w:rPr>
              <w:t>SPS C-RNTI</w:t>
            </w:r>
            <w:r>
              <w:rPr>
                <w:color w:val="4472C4" w:themeColor="accent5"/>
                <w:szCs w:val="20"/>
              </w:rPr>
              <w:t>” is needed.</w:t>
            </w:r>
          </w:p>
        </w:tc>
      </w:tr>
      <w:tr w:rsidR="005F770B" w14:paraId="3B8D8032" w14:textId="77777777">
        <w:tc>
          <w:tcPr>
            <w:tcW w:w="2547" w:type="dxa"/>
          </w:tcPr>
          <w:p w14:paraId="451D2891" w14:textId="3E7BC3EC" w:rsidR="005F770B" w:rsidRPr="005F770B" w:rsidRDefault="005F770B">
            <w:pPr>
              <w:rPr>
                <w:szCs w:val="20"/>
              </w:rPr>
            </w:pPr>
            <w:r w:rsidRPr="005F770B">
              <w:rPr>
                <w:rFonts w:hint="eastAsia"/>
                <w:szCs w:val="20"/>
              </w:rPr>
              <w:t xml:space="preserve">Huawei, </w:t>
            </w:r>
            <w:proofErr w:type="spellStart"/>
            <w:r w:rsidRPr="005F770B">
              <w:rPr>
                <w:rFonts w:hint="eastAsia"/>
                <w:szCs w:val="20"/>
              </w:rPr>
              <w:t>HiSilicon</w:t>
            </w:r>
            <w:proofErr w:type="spellEnd"/>
            <w:r w:rsidRPr="005F770B">
              <w:rPr>
                <w:rFonts w:hint="eastAsia"/>
                <w:szCs w:val="20"/>
              </w:rPr>
              <w:t xml:space="preserve"> 2</w:t>
            </w:r>
          </w:p>
        </w:tc>
        <w:tc>
          <w:tcPr>
            <w:tcW w:w="6760" w:type="dxa"/>
          </w:tcPr>
          <w:p w14:paraId="0657D9C4" w14:textId="2B25D178" w:rsidR="005F770B" w:rsidRDefault="00471F96" w:rsidP="00B5484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Regarding the comments of Ericsson (v006)</w:t>
            </w:r>
            <w:r>
              <w:rPr>
                <w:szCs w:val="20"/>
              </w:rPr>
              <w:t xml:space="preserve">, </w:t>
            </w:r>
            <w:r w:rsidR="00B5484C">
              <w:rPr>
                <w:szCs w:val="20"/>
              </w:rPr>
              <w:t xml:space="preserve">the wording </w:t>
            </w:r>
            <w:proofErr w:type="gramStart"/>
            <w:r w:rsidR="00B5484C">
              <w:rPr>
                <w:szCs w:val="20"/>
              </w:rPr>
              <w:t>are</w:t>
            </w:r>
            <w:proofErr w:type="gramEnd"/>
            <w:r w:rsidR="00B5484C">
              <w:rPr>
                <w:szCs w:val="20"/>
              </w:rPr>
              <w:t xml:space="preserve"> different that one is “search space by C-RNTI”, which by 36.213 can cover both C-RNTI and SPS C-RNTI. And the other in this CR is “</w:t>
            </w:r>
            <w:r w:rsidR="00B5484C" w:rsidRPr="00ED514C">
              <w:rPr>
                <w:sz w:val="20"/>
                <w:szCs w:val="20"/>
                <w:lang w:val="en-GB"/>
              </w:rPr>
              <w:t>associated with C-RNTI or SPS C-RNTI</w:t>
            </w:r>
            <w:r w:rsidR="00B5484C">
              <w:rPr>
                <w:szCs w:val="20"/>
              </w:rPr>
              <w:t>”, which in 36.211 has been used many places</w:t>
            </w:r>
            <w:r w:rsidR="00F30BEA">
              <w:rPr>
                <w:szCs w:val="20"/>
              </w:rPr>
              <w:t xml:space="preserve"> to mean C-RNTI and SPS C-RNTI separately</w:t>
            </w:r>
            <w:r w:rsidR="00B5484C">
              <w:rPr>
                <w:szCs w:val="20"/>
              </w:rPr>
              <w:t>, such as below:</w:t>
            </w:r>
          </w:p>
          <w:p w14:paraId="31309B1F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</w:t>
            </w:r>
            <w:proofErr w:type="spellStart"/>
            <w:r w:rsidRPr="00B5484C">
              <w:rPr>
                <w:i/>
                <w:sz w:val="20"/>
              </w:rPr>
              <w:t>subframeBitmap</w:t>
            </w:r>
            <w:proofErr w:type="spellEnd"/>
            <w:r w:rsidRPr="00B5484C">
              <w:rPr>
                <w:i/>
                <w:sz w:val="20"/>
              </w:rPr>
              <w:t xml:space="preserve"> or </w:t>
            </w:r>
            <w:proofErr w:type="spellStart"/>
            <w:r w:rsidRPr="00B5484C">
              <w:rPr>
                <w:i/>
                <w:sz w:val="20"/>
              </w:rPr>
              <w:t>slotBitmap</w:t>
            </w:r>
            <w:proofErr w:type="spellEnd"/>
            <w:r w:rsidRPr="00B5484C">
              <w:rPr>
                <w:i/>
                <w:sz w:val="20"/>
              </w:rPr>
              <w:t xml:space="preserve"> in higher layer parameter </w:t>
            </w:r>
            <w:r w:rsidRPr="00B5484C">
              <w:rPr>
                <w:rFonts w:eastAsia="DengXian"/>
                <w:i/>
                <w:sz w:val="20"/>
              </w:rPr>
              <w:t>ul-</w:t>
            </w:r>
            <w:proofErr w:type="spellStart"/>
            <w:r w:rsidRPr="00B5484C">
              <w:rPr>
                <w:rFonts w:eastAsia="DengXian"/>
                <w:i/>
                <w:sz w:val="20"/>
              </w:rPr>
              <w:t>ResourceReservationConfig</w:t>
            </w:r>
            <w:proofErr w:type="spellEnd"/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with the Resource reservation field in the DCI </w:t>
            </w:r>
            <w:r w:rsidRPr="00B5484C">
              <w:rPr>
                <w:i/>
                <w:color w:val="000000" w:themeColor="text1"/>
                <w:sz w:val="20"/>
              </w:rPr>
              <w:t xml:space="preserve">set to 1 including NPUSCH format 1 transmission without a corresponding NPDCCH, </w:t>
            </w:r>
            <w:r w:rsidRPr="00B5484C">
              <w:rPr>
                <w:i/>
                <w:color w:val="000000" w:themeColor="text1"/>
                <w:sz w:val="20"/>
                <w:lang w:eastAsia="ko-KR"/>
              </w:rPr>
              <w:t>or in case of NPUSCH format 2 transmission associated with C-RNTI using UE-specific NPDCCH search space</w:t>
            </w:r>
            <w:r w:rsidRPr="00B5484C">
              <w:rPr>
                <w:i/>
                <w:sz w:val="20"/>
              </w:rPr>
              <w:t>,</w:t>
            </w:r>
          </w:p>
          <w:p w14:paraId="75CB2A0F" w14:textId="77777777" w:rsidR="00B5484C" w:rsidRDefault="00B5484C" w:rsidP="00B5484C">
            <w:pPr>
              <w:rPr>
                <w:szCs w:val="20"/>
              </w:rPr>
            </w:pPr>
          </w:p>
          <w:p w14:paraId="5347607E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</w:t>
            </w:r>
            <w:proofErr w:type="spellStart"/>
            <w:r w:rsidRPr="00B5484C">
              <w:rPr>
                <w:i/>
                <w:sz w:val="20"/>
              </w:rPr>
              <w:t>subframeBitmap</w:t>
            </w:r>
            <w:proofErr w:type="spellEnd"/>
            <w:r w:rsidRPr="00B5484C">
              <w:rPr>
                <w:i/>
                <w:sz w:val="20"/>
              </w:rPr>
              <w:t xml:space="preserve"> or </w:t>
            </w:r>
            <w:proofErr w:type="spellStart"/>
            <w:r w:rsidRPr="00B5484C">
              <w:rPr>
                <w:i/>
                <w:sz w:val="20"/>
              </w:rPr>
              <w:t>slotBitmap</w:t>
            </w:r>
            <w:proofErr w:type="spellEnd"/>
            <w:r w:rsidRPr="00B5484C">
              <w:rPr>
                <w:i/>
                <w:sz w:val="20"/>
              </w:rPr>
              <w:t xml:space="preserve"> in higher layer parameter </w:t>
            </w:r>
            <w:r w:rsidRPr="00B5484C">
              <w:rPr>
                <w:rFonts w:eastAsia="DengXian"/>
                <w:i/>
                <w:sz w:val="20"/>
              </w:rPr>
              <w:t>ul-</w:t>
            </w:r>
            <w:proofErr w:type="spellStart"/>
            <w:r w:rsidRPr="00B5484C">
              <w:rPr>
                <w:rFonts w:eastAsia="DengXian"/>
                <w:i/>
                <w:sz w:val="20"/>
              </w:rPr>
              <w:t>ResourceReservationConfig</w:t>
            </w:r>
            <w:proofErr w:type="spellEnd"/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and the Resource reservation field in the DCI is set to 1</w:t>
            </w:r>
            <w:r w:rsidRPr="00B5484C">
              <w:rPr>
                <w:i/>
                <w:color w:val="000000" w:themeColor="text1"/>
                <w:sz w:val="20"/>
              </w:rPr>
              <w:t xml:space="preserve"> including NPUSCH format 1 transmission without a corresponding NPDCCH</w:t>
            </w:r>
            <w:r w:rsidRPr="00B5484C">
              <w:rPr>
                <w:i/>
                <w:sz w:val="20"/>
              </w:rPr>
              <w:t>, or in case of NPUSCH format 2 transmission associated with C-RNTI using UE-specific NPDCCH search space,</w:t>
            </w:r>
          </w:p>
          <w:p w14:paraId="2C40F6C3" w14:textId="77777777" w:rsidR="00B5484C" w:rsidRDefault="00B5484C" w:rsidP="00B5484C">
            <w:pPr>
              <w:rPr>
                <w:szCs w:val="20"/>
              </w:rPr>
            </w:pPr>
          </w:p>
          <w:p w14:paraId="05A0B348" w14:textId="77777777" w:rsidR="00B5484C" w:rsidRPr="00B5484C" w:rsidRDefault="00B5484C" w:rsidP="00B5484C">
            <w:pPr>
              <w:autoSpaceDE/>
              <w:autoSpaceDN/>
              <w:adjustRightInd/>
              <w:snapToGrid/>
              <w:spacing w:after="180"/>
              <w:ind w:leftChars="100" w:left="220"/>
              <w:jc w:val="left"/>
              <w:rPr>
                <w:rFonts w:eastAsia="DengXian"/>
                <w:i/>
                <w:sz w:val="20"/>
                <w:szCs w:val="20"/>
                <w:lang w:val="en-GB"/>
              </w:rPr>
            </w:pPr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subframeBitmap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slotBitmap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in higher layer parameter dl-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ResourceReservationConfig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is configured, then in case of NPDCCH transmission </w:t>
            </w:r>
            <w:r w:rsidRPr="00B5484C">
              <w:rPr>
                <w:rFonts w:eastAsia="DengXian"/>
                <w:i/>
                <w:sz w:val="20"/>
                <w:szCs w:val="20"/>
                <w:highlight w:val="yellow"/>
                <w:lang w:val="en-GB"/>
              </w:rPr>
              <w:t>associated with C-RNTI or SPS C-RNTI</w:t>
            </w:r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using UE-specific NPDCCH search space,</w:t>
            </w:r>
          </w:p>
          <w:p w14:paraId="0AAA1FAA" w14:textId="27E7E563" w:rsidR="00B5484C" w:rsidRPr="005F770B" w:rsidRDefault="00B5484C" w:rsidP="00B5484C">
            <w:pPr>
              <w:rPr>
                <w:szCs w:val="20"/>
              </w:rPr>
            </w:pPr>
          </w:p>
        </w:tc>
      </w:tr>
      <w:tr w:rsidR="00AB2E89" w14:paraId="2864002D" w14:textId="77777777">
        <w:tc>
          <w:tcPr>
            <w:tcW w:w="2547" w:type="dxa"/>
          </w:tcPr>
          <w:p w14:paraId="46CEC1A0" w14:textId="48B4E078" w:rsidR="00AB2E89" w:rsidRPr="005F770B" w:rsidRDefault="00AB2E89">
            <w:pPr>
              <w:rPr>
                <w:rFonts w:hint="eastAsia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</w:t>
            </w:r>
            <w:r>
              <w:rPr>
                <w:color w:val="4472C4" w:themeColor="accent5"/>
                <w:szCs w:val="20"/>
              </w:rPr>
              <w:t>8</w:t>
            </w:r>
            <w:r>
              <w:rPr>
                <w:color w:val="4472C4" w:themeColor="accent5"/>
                <w:szCs w:val="20"/>
              </w:rPr>
              <w:t>)</w:t>
            </w:r>
          </w:p>
        </w:tc>
        <w:tc>
          <w:tcPr>
            <w:tcW w:w="6760" w:type="dxa"/>
          </w:tcPr>
          <w:p w14:paraId="7F858A53" w14:textId="77777777" w:rsidR="00AB2E89" w:rsidRDefault="00AB2E89" w:rsidP="00B5484C">
            <w:pPr>
              <w:rPr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t>The wording in this CR is aiming to say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ins w:id="10" w:author="Huawei" w:date="2020-09-29T11:04:00Z">
              <w:r w:rsidRPr="00ED514C">
                <w:rPr>
                  <w:sz w:val="20"/>
                  <w:szCs w:val="20"/>
                  <w:lang w:val="en-GB"/>
                </w:rPr>
                <w:t xml:space="preserve"> or SPS C-RNTI</w:t>
              </w:r>
            </w:ins>
            <w:r>
              <w:rPr>
                <w:color w:val="4472C4" w:themeColor="accent5"/>
                <w:szCs w:val="20"/>
              </w:rPr>
              <w:t>”, which might</w:t>
            </w:r>
            <w:r>
              <w:rPr>
                <w:color w:val="4472C4" w:themeColor="accent5"/>
                <w:szCs w:val="20"/>
              </w:rPr>
              <w:t xml:space="preserve"> be argued that is different</w:t>
            </w:r>
            <w:r>
              <w:rPr>
                <w:color w:val="4472C4" w:themeColor="accent5"/>
                <w:szCs w:val="20"/>
              </w:rPr>
              <w:t xml:space="preserve"> than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>”, but note that the title of Table 16.5.1-5 says “</w:t>
            </w:r>
            <w:r w:rsidRPr="00ED514C">
              <w:rPr>
                <w:sz w:val="20"/>
                <w:szCs w:val="20"/>
                <w:lang w:val="en-GB"/>
              </w:rPr>
              <w:t>NPDCCH</w:t>
            </w:r>
            <w:r>
              <w:rPr>
                <w:sz w:val="20"/>
                <w:szCs w:val="20"/>
                <w:lang w:val="en-GB"/>
              </w:rPr>
              <w:t xml:space="preserve"> … configured by SPS C-RNTI</w:t>
            </w:r>
            <w:r>
              <w:rPr>
                <w:color w:val="4472C4" w:themeColor="accent5"/>
                <w:szCs w:val="20"/>
              </w:rPr>
              <w:t>” which covers what is intended to be added in this CR.</w:t>
            </w:r>
          </w:p>
          <w:p w14:paraId="04E6E175" w14:textId="133D2312" w:rsidR="00AB2E89" w:rsidRPr="00AB2E89" w:rsidRDefault="00BF31E1" w:rsidP="00B5484C">
            <w:pPr>
              <w:rPr>
                <w:rFonts w:hint="eastAsia"/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lastRenderedPageBreak/>
              <w:t>Aiming at being constructive, we</w:t>
            </w:r>
            <w:r w:rsidR="00AB2E89">
              <w:rPr>
                <w:color w:val="4472C4" w:themeColor="accent5"/>
                <w:szCs w:val="20"/>
              </w:rPr>
              <w:t xml:space="preserve"> do not have a strong view, especially if “SPS C-RNTI” has already been explicitly captured in the specification regardless of what one can infer from Table 16.5.1-5. But it would be to understand why </w:t>
            </w:r>
            <w:r>
              <w:rPr>
                <w:color w:val="4472C4" w:themeColor="accent5"/>
                <w:szCs w:val="20"/>
              </w:rPr>
              <w:t>for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r>
              <w:rPr>
                <w:color w:val="4472C4" w:themeColor="accent5"/>
                <w:szCs w:val="20"/>
              </w:rPr>
              <w:t>” and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 xml:space="preserve">” a different criteria is followed if in both cases one can use </w:t>
            </w:r>
            <w:r>
              <w:rPr>
                <w:color w:val="4472C4" w:themeColor="accent5"/>
                <w:szCs w:val="20"/>
              </w:rPr>
              <w:t>Table 16.5.1-5</w:t>
            </w:r>
            <w:r>
              <w:rPr>
                <w:color w:val="4472C4" w:themeColor="accent5"/>
                <w:szCs w:val="20"/>
              </w:rPr>
              <w:t>.</w:t>
            </w:r>
            <w:bookmarkStart w:id="11" w:name="_GoBack"/>
            <w:bookmarkEnd w:id="11"/>
          </w:p>
        </w:tc>
      </w:tr>
    </w:tbl>
    <w:p w14:paraId="3E200F94" w14:textId="7349EB0C" w:rsidR="00F64CCB" w:rsidRDefault="00F64CCB"/>
    <w:p w14:paraId="6F0285EB" w14:textId="77777777" w:rsidR="00DE432A" w:rsidRDefault="003C05B2">
      <w:pPr>
        <w:pStyle w:val="Heading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ex="http://schemas.microsoft.com/office/word/2018/wordml/c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ListParagraph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563FD1">
        <w:rPr>
          <w:rFonts w:ascii="Times New Roman" w:hAnsi="Times New Roman" w:cs="Times New Roman"/>
          <w:sz w:val="22"/>
        </w:rPr>
        <w:t>HiSilicon</w:t>
      </w:r>
      <w:proofErr w:type="spellEnd"/>
      <w:r w:rsidRPr="00563FD1">
        <w:rPr>
          <w:rFonts w:ascii="Times New Roman" w:hAnsi="Times New Roman" w:cs="Times New Roman"/>
          <w:sz w:val="22"/>
        </w:rPr>
        <w:t>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6D31E" w14:textId="77777777" w:rsidR="004E697C" w:rsidRDefault="004E697C" w:rsidP="0076570C">
      <w:pPr>
        <w:spacing w:after="0"/>
      </w:pPr>
      <w:r>
        <w:separator/>
      </w:r>
    </w:p>
  </w:endnote>
  <w:endnote w:type="continuationSeparator" w:id="0">
    <w:p w14:paraId="38EC27FC" w14:textId="77777777" w:rsidR="004E697C" w:rsidRDefault="004E697C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894AE" w14:textId="77777777" w:rsidR="004E697C" w:rsidRDefault="004E697C" w:rsidP="0076570C">
      <w:pPr>
        <w:spacing w:after="0"/>
      </w:pPr>
      <w:r>
        <w:separator/>
      </w:r>
    </w:p>
  </w:footnote>
  <w:footnote w:type="continuationSeparator" w:id="0">
    <w:p w14:paraId="51C753AA" w14:textId="77777777" w:rsidR="004E697C" w:rsidRDefault="004E697C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7F2F0E"/>
    <w:multiLevelType w:val="hybridMultilevel"/>
    <w:tmpl w:val="80D27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5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607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47A05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F96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97C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15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5F770B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4C9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A785E"/>
    <w:rsid w:val="00AB0A53"/>
    <w:rsid w:val="00AB1396"/>
    <w:rsid w:val="00AB20A4"/>
    <w:rsid w:val="00AB2E89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4C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1E1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EDD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09D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0BEA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3B1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132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6CFC9-2BF4-4F14-ACA3-B840E17F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1680</Words>
  <Characters>8909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Ericsson</cp:lastModifiedBy>
  <cp:revision>2</cp:revision>
  <dcterms:created xsi:type="dcterms:W3CDTF">2020-10-28T13:12:00Z</dcterms:created>
  <dcterms:modified xsi:type="dcterms:W3CDTF">2020-10-28T13:12:00Z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