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45ADD2" w14:textId="4AB7E0AB"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10</w:t>
      </w:r>
      <w:r w:rsidR="000D4678">
        <w:rPr>
          <w:rFonts w:cs="Arial"/>
          <w:bCs/>
          <w:sz w:val="20"/>
          <w:lang w:eastAsia="ja-JP"/>
        </w:rPr>
        <w:t>3</w:t>
      </w:r>
      <w:r w:rsidR="00CE3E04">
        <w:rPr>
          <w:rFonts w:cs="Arial"/>
          <w:bCs/>
          <w:sz w:val="20"/>
          <w:lang w:eastAsia="ja-JP"/>
        </w:rPr>
        <w:t>-e</w:t>
      </w:r>
      <w:r w:rsidR="001B69D7">
        <w:rPr>
          <w:rFonts w:cs="Arial" w:hint="eastAsia"/>
          <w:bCs/>
          <w:sz w:val="20"/>
          <w:lang w:eastAsia="ja-JP"/>
        </w:rPr>
        <w:tab/>
      </w:r>
      <w:r w:rsidR="001B69D7">
        <w:rPr>
          <w:rFonts w:cs="Arial" w:hint="eastAsia"/>
          <w:bCs/>
          <w:sz w:val="20"/>
          <w:lang w:eastAsia="ja-JP"/>
        </w:rPr>
        <w:tab/>
      </w:r>
      <w:r w:rsidR="00344BBA" w:rsidRPr="00344BBA">
        <w:rPr>
          <w:sz w:val="20"/>
        </w:rPr>
        <w:t>R1-2008954</w:t>
      </w:r>
      <w:bookmarkStart w:id="0" w:name="_GoBack"/>
      <w:bookmarkEnd w:id="0"/>
    </w:p>
    <w:p w14:paraId="552A328C" w14:textId="295A5226" w:rsidR="00941D27" w:rsidRPr="0093682F" w:rsidRDefault="00CE3E04" w:rsidP="00941D27">
      <w:pPr>
        <w:pStyle w:val="TdocHeader2"/>
        <w:jc w:val="left"/>
        <w:rPr>
          <w:rFonts w:eastAsiaTheme="minorEastAsia"/>
          <w:lang w:val="en-US"/>
        </w:rPr>
      </w:pPr>
      <w:r>
        <w:rPr>
          <w:rFonts w:eastAsia="ＭＳ 明朝" w:cs="Arial"/>
          <w:bCs/>
          <w:sz w:val="20"/>
          <w:lang w:val="en-US" w:eastAsia="ja-JP"/>
        </w:rPr>
        <w:t>e-Meeting</w:t>
      </w:r>
      <w:r w:rsidR="0027062E" w:rsidRPr="007D67B4">
        <w:rPr>
          <w:rFonts w:eastAsia="ＭＳ 明朝" w:cs="Arial"/>
          <w:bCs/>
          <w:sz w:val="20"/>
          <w:lang w:val="en-US" w:eastAsia="ja-JP"/>
        </w:rPr>
        <w:t xml:space="preserve">, </w:t>
      </w:r>
      <w:r w:rsidR="000D4678">
        <w:rPr>
          <w:rFonts w:eastAsia="ＭＳ 明朝" w:cs="Arial"/>
          <w:bCs/>
          <w:sz w:val="20"/>
          <w:lang w:val="en-US" w:eastAsia="ja-JP"/>
        </w:rPr>
        <w:t xml:space="preserve">October 26th </w:t>
      </w:r>
      <w:r w:rsidR="0027062E" w:rsidRPr="00B556BF">
        <w:rPr>
          <w:rFonts w:cs="Arial"/>
          <w:bCs/>
          <w:sz w:val="20"/>
          <w:lang w:val="en-US" w:eastAsia="ja-JP"/>
        </w:rPr>
        <w:t>–</w:t>
      </w:r>
      <w:r w:rsidR="00761CB5">
        <w:rPr>
          <w:rFonts w:cs="Arial"/>
          <w:bCs/>
          <w:sz w:val="20"/>
          <w:lang w:val="en-US" w:eastAsia="ja-JP"/>
        </w:rPr>
        <w:t xml:space="preserve"> </w:t>
      </w:r>
      <w:r w:rsidR="000D4678">
        <w:rPr>
          <w:rFonts w:cs="Arial"/>
          <w:bCs/>
          <w:sz w:val="20"/>
          <w:lang w:val="en-US" w:eastAsia="ja-JP"/>
        </w:rPr>
        <w:t>November 13</w:t>
      </w:r>
      <w:r w:rsidR="000D4678">
        <w:rPr>
          <w:rFonts w:eastAsiaTheme="minorEastAsia" w:cs="Arial"/>
          <w:bCs/>
          <w:sz w:val="20"/>
          <w:lang w:val="en-US" w:eastAsia="ja-JP"/>
        </w:rPr>
        <w:t>th</w:t>
      </w:r>
      <w:r>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Pr>
          <w:rFonts w:eastAsiaTheme="minorEastAsia" w:cs="Arial"/>
          <w:bCs/>
          <w:sz w:val="20"/>
          <w:lang w:val="en-US" w:eastAsia="ja-JP"/>
        </w:rPr>
        <w:t>20</w:t>
      </w:r>
    </w:p>
    <w:p w14:paraId="4EE1F5DB" w14:textId="77777777" w:rsidR="005479EF" w:rsidRDefault="005479EF" w:rsidP="001455E4">
      <w:pPr>
        <w:pStyle w:val="a6"/>
        <w:widowControl w:val="0"/>
      </w:pPr>
    </w:p>
    <w:p w14:paraId="4DA1B9F6" w14:textId="77777777"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33A71E5A"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A00FC6" w:rsidRPr="00324784">
        <w:rPr>
          <w:b w:val="0"/>
          <w:sz w:val="20"/>
        </w:rPr>
        <w:t>Enhancements for unlicensed band URLLC/IIoT</w:t>
      </w:r>
    </w:p>
    <w:p w14:paraId="3BEF152C" w14:textId="0DD0C51D"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E877FC">
        <w:rPr>
          <w:rFonts w:ascii="Arial" w:hAnsi="Arial"/>
          <w:lang w:eastAsia="ja-JP"/>
        </w:rPr>
        <w:t>8</w:t>
      </w:r>
      <w:r w:rsidR="007513EF">
        <w:rPr>
          <w:rFonts w:ascii="Arial" w:hAnsi="Arial" w:hint="eastAsia"/>
          <w:lang w:eastAsia="ja-JP"/>
        </w:rPr>
        <w:t>.</w:t>
      </w:r>
      <w:r w:rsidR="00E877FC">
        <w:rPr>
          <w:rFonts w:ascii="Arial" w:hAnsi="Arial"/>
          <w:lang w:eastAsia="ja-JP"/>
        </w:rPr>
        <w:t>3</w:t>
      </w:r>
      <w:r w:rsidR="00BD77C5">
        <w:rPr>
          <w:rFonts w:ascii="Arial" w:hAnsi="Arial"/>
          <w:lang w:eastAsia="ja-JP"/>
        </w:rPr>
        <w:t>.</w:t>
      </w:r>
      <w:r w:rsidR="00A00FC6">
        <w:rPr>
          <w:rFonts w:ascii="Arial" w:hAnsi="Arial"/>
          <w:lang w:eastAsia="ja-JP"/>
        </w:rPr>
        <w:t>2</w:t>
      </w:r>
    </w:p>
    <w:p w14:paraId="5E0BFE4B" w14:textId="77777777"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14:paraId="3385DBEA" w14:textId="772748EF" w:rsidR="00545E21" w:rsidRDefault="00C14103" w:rsidP="0045023B">
      <w:pPr>
        <w:spacing w:after="0"/>
        <w:rPr>
          <w:lang w:eastAsia="ja-JP"/>
        </w:rPr>
      </w:pPr>
      <w:r>
        <w:rPr>
          <w:rFonts w:hint="eastAsia"/>
          <w:lang w:eastAsia="ja-JP"/>
        </w:rPr>
        <w:t>A</w:t>
      </w:r>
      <w:r>
        <w:rPr>
          <w:lang w:eastAsia="ja-JP"/>
        </w:rPr>
        <w:t xml:space="preserve"> work item on enhanced IIoT and URLLC was approved [1]. One of objectives of this work item is </w:t>
      </w:r>
      <w:r w:rsidR="00545E21">
        <w:rPr>
          <w:lang w:eastAsia="ja-JP"/>
        </w:rPr>
        <w:t>uplink enhancements for URLLC in unlicensed controlled environments such as</w:t>
      </w:r>
    </w:p>
    <w:p w14:paraId="3925EB77" w14:textId="7FAC51E2" w:rsidR="00545E21" w:rsidRDefault="00545E21" w:rsidP="00545E21">
      <w:pPr>
        <w:pStyle w:val="aff1"/>
        <w:numPr>
          <w:ilvl w:val="0"/>
          <w:numId w:val="25"/>
        </w:numPr>
        <w:spacing w:after="0"/>
        <w:ind w:leftChars="0"/>
        <w:rPr>
          <w:lang w:eastAsia="ja-JP"/>
        </w:rPr>
      </w:pPr>
      <w:r>
        <w:rPr>
          <w:rFonts w:hint="eastAsia"/>
          <w:lang w:eastAsia="ja-JP"/>
        </w:rPr>
        <w:t>S</w:t>
      </w:r>
      <w:r>
        <w:rPr>
          <w:lang w:eastAsia="ja-JP"/>
        </w:rPr>
        <w:t>pecify support for UE-initiated COT for FBE with minimum specification effort</w:t>
      </w:r>
    </w:p>
    <w:p w14:paraId="10CE52CD" w14:textId="715AEE96" w:rsidR="00545E21" w:rsidRDefault="00545E21" w:rsidP="00545E21">
      <w:pPr>
        <w:pStyle w:val="aff1"/>
        <w:numPr>
          <w:ilvl w:val="0"/>
          <w:numId w:val="25"/>
        </w:numPr>
        <w:spacing w:afterLines="50" w:after="120"/>
        <w:ind w:leftChars="0"/>
        <w:rPr>
          <w:lang w:eastAsia="ja-JP"/>
        </w:rPr>
      </w:pPr>
      <w:r>
        <w:rPr>
          <w:rFonts w:hint="eastAsia"/>
          <w:lang w:eastAsia="ja-JP"/>
        </w:rPr>
        <w:t>H</w:t>
      </w:r>
      <w:r>
        <w:rPr>
          <w:lang w:eastAsia="ja-JP"/>
        </w:rPr>
        <w:t>armonizing UL configured-grant enhancements in NR-U and URLLC introduced in Rel.16 to be applicable for unlicensed spectrum</w:t>
      </w:r>
    </w:p>
    <w:p w14:paraId="50563783" w14:textId="2F364B9C" w:rsidR="00CD5D21" w:rsidRDefault="00DC50EB" w:rsidP="0045023B">
      <w:pPr>
        <w:spacing w:after="0"/>
        <w:rPr>
          <w:lang w:eastAsia="ja-JP"/>
        </w:rPr>
      </w:pPr>
      <w:r>
        <w:rPr>
          <w:lang w:eastAsia="ja-JP"/>
        </w:rPr>
        <w:t xml:space="preserve">This document provides our view on </w:t>
      </w:r>
      <w:r w:rsidR="0068033D">
        <w:rPr>
          <w:lang w:eastAsia="ja-JP"/>
        </w:rPr>
        <w:t xml:space="preserve">potential </w:t>
      </w:r>
      <w:r w:rsidR="00545E21">
        <w:rPr>
          <w:lang w:eastAsia="ja-JP"/>
        </w:rPr>
        <w:t>enhancements</w:t>
      </w:r>
      <w:r w:rsidR="0068033D">
        <w:rPr>
          <w:lang w:eastAsia="ja-JP"/>
        </w:rPr>
        <w:t xml:space="preserve"> related to </w:t>
      </w:r>
      <w:r w:rsidR="00545E21">
        <w:rPr>
          <w:lang w:eastAsia="ja-JP"/>
        </w:rPr>
        <w:t>unlicensed band URLLC/IIoT</w:t>
      </w:r>
      <w:r>
        <w:rPr>
          <w:lang w:eastAsia="ja-JP"/>
        </w:rPr>
        <w:t>.</w:t>
      </w:r>
    </w:p>
    <w:p w14:paraId="1DDC8F42" w14:textId="50B11DB8" w:rsidR="00861975" w:rsidRDefault="00A0035D" w:rsidP="00861975">
      <w:pPr>
        <w:pStyle w:val="1"/>
        <w:tabs>
          <w:tab w:val="num" w:pos="426"/>
        </w:tabs>
        <w:ind w:left="426" w:hanging="426"/>
        <w:rPr>
          <w:lang w:val="en-US" w:eastAsia="ja-JP"/>
        </w:rPr>
      </w:pPr>
      <w:r>
        <w:rPr>
          <w:lang w:val="en-US" w:eastAsia="ja-JP"/>
        </w:rPr>
        <w:t>Support of UE-initiated COT for FBE</w:t>
      </w:r>
    </w:p>
    <w:p w14:paraId="5654BD3A" w14:textId="48BF5156" w:rsidR="009C5691" w:rsidRPr="009C5691" w:rsidRDefault="004A53DE" w:rsidP="003656FB">
      <w:pPr>
        <w:spacing w:beforeLines="50" w:before="120" w:after="0"/>
        <w:rPr>
          <w:b/>
          <w:bCs/>
          <w:u w:val="single"/>
          <w:lang w:eastAsia="ja-JP"/>
        </w:rPr>
      </w:pPr>
      <w:r>
        <w:rPr>
          <w:b/>
          <w:bCs/>
          <w:u w:val="single"/>
          <w:lang w:eastAsia="ja-JP"/>
        </w:rPr>
        <w:t>Starting offsets for UL configured grant</w:t>
      </w:r>
    </w:p>
    <w:p w14:paraId="3217E12B" w14:textId="1922791F" w:rsidR="00672F25" w:rsidRDefault="00672F25" w:rsidP="003656FB">
      <w:pPr>
        <w:spacing w:beforeLines="50" w:before="120" w:after="0"/>
        <w:rPr>
          <w:lang w:eastAsia="ja-JP"/>
        </w:rPr>
      </w:pPr>
      <w:r>
        <w:rPr>
          <w:rFonts w:hint="eastAsia"/>
          <w:lang w:eastAsia="ja-JP"/>
        </w:rPr>
        <w:t>I</w:t>
      </w:r>
      <w:r>
        <w:rPr>
          <w:lang w:eastAsia="ja-JP"/>
        </w:rPr>
        <w:t xml:space="preserve">n Rel.16, for operation with unlicensed band, when a UE is performing uplink transmission with </w:t>
      </w:r>
      <w:r w:rsidR="00A86C24">
        <w:rPr>
          <w:lang w:eastAsia="ja-JP"/>
        </w:rPr>
        <w:t>CG</w:t>
      </w:r>
      <w:r>
        <w:rPr>
          <w:lang w:eastAsia="ja-JP"/>
        </w:rPr>
        <w:t xml:space="preserve">s in contiguous OFDM symbols on all resource blocks of an RB set, for the first such UL transmission, the UE determines a duration of a cyclic prefix extension where the value of cyclic prefix extension (i.e., starting offset) is chosen randomly from a set of values configure by higher layers. On the other hand, when a UE is performing uplink transmission with </w:t>
      </w:r>
      <w:r w:rsidR="00A86C24">
        <w:rPr>
          <w:lang w:eastAsia="ja-JP"/>
        </w:rPr>
        <w:t>CG</w:t>
      </w:r>
      <w:r>
        <w:rPr>
          <w:lang w:eastAsia="ja-JP"/>
        </w:rPr>
        <w:t xml:space="preserve">s in contiguous OFDM symbols on fewer than all resource blocks of an RB set, for the first such transmission, the UE determines a duration of a cyclic prefix extension </w:t>
      </w:r>
      <w:r w:rsidR="00AE463F">
        <w:rPr>
          <w:lang w:eastAsia="ja-JP"/>
        </w:rPr>
        <w:t xml:space="preserve">to fixed value indicated by higher layers. In RAN#102e, it was agreed that for operation with semi-static channel access, the Rel.16 random starting offsets for UL </w:t>
      </w:r>
      <w:r w:rsidR="00A86C24">
        <w:rPr>
          <w:lang w:eastAsia="ja-JP"/>
        </w:rPr>
        <w:t>CG</w:t>
      </w:r>
      <w:r w:rsidR="00AE463F">
        <w:rPr>
          <w:lang w:eastAsia="ja-JP"/>
        </w:rPr>
        <w:t xml:space="preserve"> with full bandwidth allocation when UE initiates a COT, is not supported. </w:t>
      </w:r>
      <w:r w:rsidR="00BA786E">
        <w:rPr>
          <w:lang w:eastAsia="ja-JP"/>
        </w:rPr>
        <w:t xml:space="preserve">The remaining discussion point would be whether/how to support the Rel.16 fixed (configured) starting offsets for UL </w:t>
      </w:r>
      <w:r w:rsidR="00A86C24">
        <w:rPr>
          <w:lang w:eastAsia="ja-JP"/>
        </w:rPr>
        <w:t>CG</w:t>
      </w:r>
      <w:r w:rsidR="00BA786E">
        <w:rPr>
          <w:lang w:eastAsia="ja-JP"/>
        </w:rPr>
        <w:t xml:space="preserve"> with resource allocation fewer than full bandwidth when UE initiates a COT.</w:t>
      </w:r>
    </w:p>
    <w:p w14:paraId="21FD159A" w14:textId="694B8108" w:rsidR="00672F25" w:rsidRDefault="00BA786E" w:rsidP="003656FB">
      <w:pPr>
        <w:spacing w:beforeLines="50" w:before="120" w:after="0"/>
        <w:rPr>
          <w:lang w:eastAsia="ja-JP"/>
        </w:rPr>
      </w:pPr>
      <w:r>
        <w:rPr>
          <w:lang w:eastAsia="ja-JP"/>
        </w:rPr>
        <w:t xml:space="preserve">In our view to reuse the multiple starting time offset for </w:t>
      </w:r>
      <w:r w:rsidR="00A86C24">
        <w:rPr>
          <w:lang w:eastAsia="ja-JP"/>
        </w:rPr>
        <w:t>CG</w:t>
      </w:r>
      <w:r>
        <w:rPr>
          <w:lang w:eastAsia="ja-JP"/>
        </w:rPr>
        <w:t xml:space="preserve"> would be useful for the prioritization among devices especially between gNB and UEs. Figure 1 shows an example to reuse multiple starting offset for CG in FBE. FFP as OFDM symbol level is common among gNB and UEs. The location of CP extension can be immediately before the beginning of FFP (or immediately after the beginning of FFP). The amount of CP extension for each UE which can initiate COT is configured by </w:t>
      </w:r>
      <w:r w:rsidR="00A86C24">
        <w:rPr>
          <w:lang w:eastAsia="ja-JP"/>
        </w:rPr>
        <w:t>CG</w:t>
      </w:r>
      <w:r>
        <w:rPr>
          <w:lang w:eastAsia="ja-JP"/>
        </w:rPr>
        <w:t xml:space="preserve"> configuration. Anyone (gNB or UEs) who transmits faster can initiate COT based on the amount of CP extension. Since LBT is necessary to initiate COT, collision can be avoided depending on the different amounts of CP extension for each UE.</w:t>
      </w:r>
    </w:p>
    <w:p w14:paraId="79427616" w14:textId="2E310681" w:rsidR="00A86C24" w:rsidRDefault="00A86C24" w:rsidP="003656FB">
      <w:pPr>
        <w:spacing w:beforeLines="50" w:before="120" w:after="0"/>
        <w:rPr>
          <w:lang w:eastAsia="ja-JP"/>
        </w:rPr>
      </w:pPr>
      <w:r>
        <w:rPr>
          <w:rFonts w:hint="eastAsia"/>
          <w:lang w:eastAsia="ja-JP"/>
        </w:rPr>
        <w:t>A</w:t>
      </w:r>
      <w:r>
        <w:rPr>
          <w:lang w:eastAsia="ja-JP"/>
        </w:rPr>
        <w:t>ccording to the above mechanism, the prioritization among UEs can be configured by the amount of CP extension. If a high priority UE has data, the high priority UE can initiate COT. If a high priority UE has no data and a low priority UE has data, the low priority UE can initiate COT. gNB can also initiate COT if gNB transmit faster than UEs. Even if no UE initiates COT due to no data, if at least gNB initiates COT, the FFP can be utilized. Therefore, by reusing the configured starting time offset for CG, UE-initiated COT can be supported.</w:t>
      </w:r>
    </w:p>
    <w:p w14:paraId="534CEB99" w14:textId="74795C0F" w:rsidR="00A86C24" w:rsidRPr="00A86C24" w:rsidRDefault="00A86C24" w:rsidP="003656FB">
      <w:pPr>
        <w:spacing w:beforeLines="50" w:before="120" w:after="0"/>
        <w:rPr>
          <w:b/>
          <w:bCs/>
          <w:lang w:eastAsia="ja-JP"/>
        </w:rPr>
      </w:pPr>
      <w:r w:rsidRPr="00A86C24">
        <w:rPr>
          <w:rFonts w:hint="eastAsia"/>
          <w:b/>
          <w:bCs/>
          <w:lang w:eastAsia="ja-JP"/>
        </w:rPr>
        <w:t>O</w:t>
      </w:r>
      <w:r w:rsidRPr="00A86C24">
        <w:rPr>
          <w:b/>
          <w:bCs/>
          <w:lang w:eastAsia="ja-JP"/>
        </w:rPr>
        <w:t>bservation 1: Multiple starting time offset for configured grant, which is configured as the amount of CP extension, can be reused to support UE-initiated COT.</w:t>
      </w:r>
    </w:p>
    <w:p w14:paraId="3BCC92BA" w14:textId="0A5540B9" w:rsidR="009C5691" w:rsidRDefault="00BA786E" w:rsidP="00BA786E">
      <w:pPr>
        <w:spacing w:beforeLines="50" w:before="120" w:after="0"/>
        <w:jc w:val="center"/>
        <w:rPr>
          <w:lang w:eastAsia="ja-JP"/>
        </w:rPr>
      </w:pPr>
      <w:r>
        <w:rPr>
          <w:noProof/>
          <w:lang w:val="en-US" w:eastAsia="ja-JP"/>
        </w:rPr>
        <w:drawing>
          <wp:inline distT="0" distB="0" distL="0" distR="0" wp14:anchorId="03A0BB73" wp14:editId="4843CDC5">
            <wp:extent cx="5164372" cy="166909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177914" cy="1673467"/>
                    </a:xfrm>
                    <a:prstGeom prst="rect">
                      <a:avLst/>
                    </a:prstGeom>
                    <a:noFill/>
                    <a:ln>
                      <a:noFill/>
                    </a:ln>
                  </pic:spPr>
                </pic:pic>
              </a:graphicData>
            </a:graphic>
          </wp:inline>
        </w:drawing>
      </w:r>
    </w:p>
    <w:p w14:paraId="5937A1FA" w14:textId="560105BD" w:rsidR="00C762A5" w:rsidRDefault="00BA786E" w:rsidP="00BA786E">
      <w:pPr>
        <w:spacing w:beforeLines="50" w:before="120" w:after="0"/>
        <w:jc w:val="center"/>
        <w:rPr>
          <w:lang w:eastAsia="ja-JP"/>
        </w:rPr>
      </w:pPr>
      <w:r w:rsidRPr="00BA786E">
        <w:rPr>
          <w:lang w:eastAsia="ja-JP"/>
        </w:rPr>
        <w:lastRenderedPageBreak/>
        <w:t>Figure 1</w:t>
      </w:r>
      <w:r>
        <w:rPr>
          <w:lang w:eastAsia="ja-JP"/>
        </w:rPr>
        <w:t xml:space="preserve">: </w:t>
      </w:r>
      <w:r w:rsidRPr="00BA786E">
        <w:rPr>
          <w:lang w:eastAsia="ja-JP"/>
        </w:rPr>
        <w:t>Reusing multiple starting time offset for CG</w:t>
      </w:r>
    </w:p>
    <w:p w14:paraId="191F381A" w14:textId="07AB3E36" w:rsidR="00BA786E" w:rsidRDefault="00BA786E" w:rsidP="003656FB">
      <w:pPr>
        <w:spacing w:beforeLines="50" w:before="120" w:after="0"/>
        <w:rPr>
          <w:lang w:eastAsia="ja-JP"/>
        </w:rPr>
      </w:pPr>
    </w:p>
    <w:p w14:paraId="4F7E47A7" w14:textId="4F7FFC23" w:rsidR="00A86C24" w:rsidRDefault="00A86C24" w:rsidP="003656FB">
      <w:pPr>
        <w:spacing w:beforeLines="50" w:before="120" w:after="0"/>
        <w:rPr>
          <w:lang w:eastAsia="ja-JP"/>
        </w:rPr>
      </w:pPr>
      <w:r>
        <w:rPr>
          <w:rFonts w:hint="eastAsia"/>
          <w:lang w:eastAsia="ja-JP"/>
        </w:rPr>
        <w:t>I</w:t>
      </w:r>
      <w:r>
        <w:rPr>
          <w:lang w:eastAsia="ja-JP"/>
        </w:rPr>
        <w:t xml:space="preserve">f the multiple starting time offset for configured grant is reused for UE-initiated COT, whether/how to support UE-initiated COT by DG PUSCH needs to be considered. For the case where gNB knows that UE still has UL data at the end of the FFP and the UL data should be transmitted as soon as possible, UE-initiated COT by DG PUSCH would also be useful to reduce delay across idle period. If UE-initiated COT by DG PUSCH is supported together with CG PUSCH, one potential issue would be that CP extension for multiple starting offset as in CG PUSCH is not supported for DG PUSCH (CP extension for DG PUSCH is used to adjust gap between transmissions for LBT). Then, even if gNB wants to prioritize DG PUSCH over CG PUSCH (of gNB wants to priority CG PUSCH over DG PUSCH), gNB might not control the prioritization of transmission because CP extension for DG PUSCH does not have sufficient granularity (i.e., 9 us granularity). Therefore, we think </w:t>
      </w:r>
      <w:r w:rsidR="00052EC0">
        <w:rPr>
          <w:lang w:eastAsia="ja-JP"/>
        </w:rPr>
        <w:t xml:space="preserve">also </w:t>
      </w:r>
      <w:r>
        <w:rPr>
          <w:lang w:eastAsia="ja-JP"/>
        </w:rPr>
        <w:t xml:space="preserve">to support </w:t>
      </w:r>
      <w:r w:rsidR="007F7F06">
        <w:rPr>
          <w:lang w:eastAsia="ja-JP"/>
        </w:rPr>
        <w:t>multiple starting time offset as in CG PUSCH for DG PUSCH is beneficial.</w:t>
      </w:r>
    </w:p>
    <w:p w14:paraId="564DB594" w14:textId="7BF8A812" w:rsidR="00351D9D" w:rsidRDefault="00351D9D" w:rsidP="003656FB">
      <w:pPr>
        <w:spacing w:beforeLines="50" w:before="120" w:after="0"/>
        <w:rPr>
          <w:lang w:eastAsia="ja-JP"/>
        </w:rPr>
      </w:pPr>
      <w:r>
        <w:rPr>
          <w:rFonts w:hint="eastAsia"/>
          <w:lang w:eastAsia="ja-JP"/>
        </w:rPr>
        <w:t>A</w:t>
      </w:r>
      <w:r>
        <w:rPr>
          <w:lang w:eastAsia="ja-JP"/>
        </w:rPr>
        <w:t>lthough we think to support multiple starting time offset as in CG PUSCH for DG PUSCH is beneficial, if the amount of CP is different between CG PUSCH and DG PUSCH, and/or the amount of CP is dynamically changed, it may not meet the requirement that “</w:t>
      </w:r>
      <w:r w:rsidR="00052EC0">
        <w:rPr>
          <w:lang w:eastAsia="ja-JP"/>
        </w:rPr>
        <w:t>a</w:t>
      </w:r>
      <w:r>
        <w:rPr>
          <w:lang w:eastAsia="ja-JP"/>
        </w:rPr>
        <w:t>n equipment may change its Fixed Frame Period but it shall not do more than once every 200 ms”. Then, it should be clarified that whether the difference of CP extension is called as the change of FFP or not. If the change of CP extension is not called as the change of FFP, the amount of CP extension for a UE can be different between CG PUSCH and DG PUSCH and it could be dynamically changed by dynamic grant. On the other hand, if the change of CP extension is called as the change of FFP, the start of FFP might be always CG PUSCH if D</w:t>
      </w:r>
      <w:r w:rsidR="006C2FE7">
        <w:rPr>
          <w:lang w:eastAsia="ja-JP"/>
        </w:rPr>
        <w:t>G</w:t>
      </w:r>
      <w:r>
        <w:rPr>
          <w:lang w:eastAsia="ja-JP"/>
        </w:rPr>
        <w:t xml:space="preserve"> PUSCH does not have CP extension. </w:t>
      </w:r>
      <w:r w:rsidR="006C2FE7">
        <w:rPr>
          <w:lang w:eastAsia="ja-JP"/>
        </w:rPr>
        <w:t>If DG PUSCH ha</w:t>
      </w:r>
      <w:r w:rsidR="006E2B78">
        <w:rPr>
          <w:lang w:eastAsia="ja-JP"/>
        </w:rPr>
        <w:t>s</w:t>
      </w:r>
      <w:r w:rsidR="006C2FE7">
        <w:rPr>
          <w:lang w:eastAsia="ja-JP"/>
        </w:rPr>
        <w:t xml:space="preserve"> CP extension, the amount of CP extension for DG PUSCH would be same as that configured to CG PUSCH.</w:t>
      </w:r>
    </w:p>
    <w:p w14:paraId="7F49387A" w14:textId="61CF1D51" w:rsidR="006E2B78" w:rsidRDefault="006E2B78" w:rsidP="006E2B78">
      <w:pPr>
        <w:spacing w:beforeLines="50" w:before="120" w:after="0"/>
        <w:rPr>
          <w:b/>
          <w:bCs/>
          <w:lang w:eastAsia="ja-JP"/>
        </w:rPr>
      </w:pPr>
      <w:r>
        <w:rPr>
          <w:b/>
          <w:bCs/>
          <w:lang w:eastAsia="ja-JP"/>
        </w:rPr>
        <w:t>Observation 2: It should be clarified that whether the difference of CP extension is called as the change of FFP or not.</w:t>
      </w:r>
    </w:p>
    <w:p w14:paraId="315B599B" w14:textId="03EA2066" w:rsidR="007F7F06" w:rsidRDefault="007F7F06" w:rsidP="003656FB">
      <w:pPr>
        <w:spacing w:beforeLines="50" w:before="120" w:after="0"/>
        <w:rPr>
          <w:b/>
          <w:bCs/>
          <w:lang w:eastAsia="ja-JP"/>
        </w:rPr>
      </w:pPr>
      <w:r w:rsidRPr="007F7F06">
        <w:rPr>
          <w:rFonts w:hint="eastAsia"/>
          <w:b/>
          <w:bCs/>
          <w:lang w:eastAsia="ja-JP"/>
        </w:rPr>
        <w:t>O</w:t>
      </w:r>
      <w:r w:rsidRPr="007F7F06">
        <w:rPr>
          <w:b/>
          <w:bCs/>
          <w:lang w:eastAsia="ja-JP"/>
        </w:rPr>
        <w:t xml:space="preserve">bservation </w:t>
      </w:r>
      <w:r w:rsidR="006E2B78">
        <w:rPr>
          <w:b/>
          <w:bCs/>
          <w:lang w:eastAsia="ja-JP"/>
        </w:rPr>
        <w:t>3</w:t>
      </w:r>
      <w:r w:rsidRPr="007F7F06">
        <w:rPr>
          <w:b/>
          <w:bCs/>
          <w:lang w:eastAsia="ja-JP"/>
        </w:rPr>
        <w:t>: If DG PUSCH is used for UE-initiated COT together with CG PUSCH, to support CP extension for multiple starting time offset as in CG PUSCH for DG PUSCH could be considered.</w:t>
      </w:r>
    </w:p>
    <w:p w14:paraId="715D23CD" w14:textId="07FEA901" w:rsidR="006C2FE7" w:rsidRDefault="006C2FE7" w:rsidP="003656FB">
      <w:pPr>
        <w:spacing w:beforeLines="50" w:before="120" w:after="0"/>
        <w:rPr>
          <w:b/>
          <w:bCs/>
          <w:lang w:eastAsia="ja-JP"/>
        </w:rPr>
      </w:pPr>
      <w:r>
        <w:rPr>
          <w:rFonts w:hint="eastAsia"/>
          <w:b/>
          <w:bCs/>
          <w:lang w:eastAsia="ja-JP"/>
        </w:rPr>
        <w:t>O</w:t>
      </w:r>
      <w:r>
        <w:rPr>
          <w:b/>
          <w:bCs/>
          <w:lang w:eastAsia="ja-JP"/>
        </w:rPr>
        <w:t xml:space="preserve">bservation 4: </w:t>
      </w:r>
      <w:r w:rsidR="006E2B78">
        <w:rPr>
          <w:b/>
          <w:bCs/>
          <w:lang w:eastAsia="ja-JP"/>
        </w:rPr>
        <w:t>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096D81AB" w14:textId="77777777" w:rsidR="007F7F06" w:rsidRPr="006C2FE7" w:rsidRDefault="007F7F06" w:rsidP="003656FB">
      <w:pPr>
        <w:spacing w:beforeLines="50" w:before="120" w:after="0"/>
        <w:rPr>
          <w:lang w:eastAsia="ja-JP"/>
        </w:rPr>
      </w:pPr>
    </w:p>
    <w:p w14:paraId="1219FC7E" w14:textId="0ED939C5" w:rsidR="008C4776" w:rsidRPr="009C5691" w:rsidRDefault="00FA612F" w:rsidP="008C4776">
      <w:pPr>
        <w:spacing w:beforeLines="50" w:before="120" w:after="0"/>
        <w:rPr>
          <w:b/>
          <w:bCs/>
          <w:u w:val="single"/>
          <w:lang w:eastAsia="ja-JP"/>
        </w:rPr>
      </w:pPr>
      <w:r>
        <w:rPr>
          <w:b/>
          <w:bCs/>
          <w:u w:val="single"/>
          <w:lang w:eastAsia="ja-JP"/>
        </w:rPr>
        <w:t>How to handle idle period when gNB/UE initiates COT or UE/gNB shares COT</w:t>
      </w:r>
    </w:p>
    <w:p w14:paraId="0B103418" w14:textId="6FA10EC7" w:rsidR="00A86C24" w:rsidRDefault="00BC2018" w:rsidP="003656FB">
      <w:pPr>
        <w:spacing w:beforeLines="50" w:before="120" w:after="0"/>
        <w:rPr>
          <w:lang w:eastAsia="ja-JP"/>
        </w:rPr>
      </w:pPr>
      <w:r>
        <w:rPr>
          <w:rFonts w:hint="eastAsia"/>
          <w:lang w:eastAsia="ja-JP"/>
        </w:rPr>
        <w:t>I</w:t>
      </w:r>
      <w:r>
        <w:rPr>
          <w:lang w:eastAsia="ja-JP"/>
        </w:rPr>
        <w:t>n RAN1#102e, following agreement were made.</w:t>
      </w:r>
    </w:p>
    <w:p w14:paraId="519339AE" w14:textId="77777777" w:rsidR="00BC2018" w:rsidRDefault="00BC2018" w:rsidP="00BC2018">
      <w:pPr>
        <w:pStyle w:val="Agreements"/>
      </w:pPr>
      <w:r>
        <w:rPr>
          <w:highlight w:val="green"/>
        </w:rPr>
        <w:t>Agreement:</w:t>
      </w:r>
    </w:p>
    <w:p w14:paraId="18189F95" w14:textId="77777777" w:rsidR="00BC2018" w:rsidRDefault="00BC2018" w:rsidP="00BC2018">
      <w:pPr>
        <w:pStyle w:val="aff1"/>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3AEC2AB" w14:textId="77777777" w:rsidR="00BC2018" w:rsidRDefault="00BC2018" w:rsidP="00BC2018">
      <w:pPr>
        <w:pStyle w:val="aff1"/>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gNB operates as an initiating device</w:t>
      </w:r>
    </w:p>
    <w:p w14:paraId="626EBBB0" w14:textId="77777777" w:rsidR="00BC2018" w:rsidRDefault="00BC2018" w:rsidP="00BC2018">
      <w:pPr>
        <w:pStyle w:val="aff1"/>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any FFP associated with the gNB in which the gNB initiates a COT.</w:t>
      </w:r>
    </w:p>
    <w:p w14:paraId="4D23372A" w14:textId="77777777" w:rsidR="00BC2018" w:rsidRDefault="00BC2018" w:rsidP="00BC2018">
      <w:pPr>
        <w:pStyle w:val="aff1"/>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operates as an initiating device</w:t>
      </w:r>
    </w:p>
    <w:p w14:paraId="5B081322" w14:textId="77777777" w:rsidR="00BC2018" w:rsidRDefault="00BC2018" w:rsidP="00BC2018">
      <w:pPr>
        <w:pStyle w:val="aff1"/>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any FFP associated with the UE in which the UE initiates a COT.</w:t>
      </w:r>
    </w:p>
    <w:p w14:paraId="5FD2E720" w14:textId="77777777" w:rsidR="00BC2018" w:rsidRDefault="00BC2018" w:rsidP="00BC2018">
      <w:pPr>
        <w:pStyle w:val="aff1"/>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shares a COT initiated by the gNB during an FFP associated with the gNB</w:t>
      </w:r>
    </w:p>
    <w:p w14:paraId="38F9A66B" w14:textId="77777777" w:rsidR="00BC2018" w:rsidRDefault="00BC2018" w:rsidP="00BC2018">
      <w:pPr>
        <w:pStyle w:val="aff1"/>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that FFP in which the UE shares the COT initiated by the gNB.</w:t>
      </w:r>
    </w:p>
    <w:p w14:paraId="5C723102" w14:textId="77777777" w:rsidR="00BC2018" w:rsidRDefault="00BC2018" w:rsidP="00BC2018">
      <w:pPr>
        <w:pStyle w:val="aff1"/>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shares a COT initiated by a UE during an FFP associated with the UE</w:t>
      </w:r>
    </w:p>
    <w:p w14:paraId="23CF0746" w14:textId="77777777" w:rsidR="00BC2018" w:rsidRDefault="00BC2018" w:rsidP="00BC2018">
      <w:pPr>
        <w:pStyle w:val="aff1"/>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that FFP in which the gNB shares the COT initiated by the UE.</w:t>
      </w:r>
    </w:p>
    <w:p w14:paraId="5856D155" w14:textId="77777777" w:rsidR="00BC2018" w:rsidRDefault="00BC2018" w:rsidP="00BC2018">
      <w:pPr>
        <w:pStyle w:val="aff1"/>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Whether/how to support additional restrictions to the idle period</w:t>
      </w:r>
    </w:p>
    <w:p w14:paraId="3D0C076F" w14:textId="2178BAA5" w:rsidR="00BC2018" w:rsidRDefault="00BC2018" w:rsidP="00BC2018">
      <w:pPr>
        <w:spacing w:beforeLines="50" w:before="120" w:after="0"/>
        <w:rPr>
          <w:lang w:eastAsia="ja-JP"/>
        </w:rPr>
      </w:pPr>
      <w:r>
        <w:rPr>
          <w:rFonts w:hint="eastAsia"/>
          <w:lang w:eastAsia="ja-JP"/>
        </w:rPr>
        <w:t>T</w:t>
      </w:r>
      <w:r>
        <w:rPr>
          <w:lang w:eastAsia="ja-JP"/>
        </w:rPr>
        <w:t xml:space="preserve">his agreement clarifies how to handle idle period when gNB or UE initiates COT or UE or gNB shares COT. Whether/how to support additional restrictions to the idle period is FFS. </w:t>
      </w:r>
      <w:r w:rsidR="0087180D">
        <w:rPr>
          <w:lang w:eastAsia="ja-JP"/>
        </w:rPr>
        <w:t xml:space="preserve">Figure 2 illustrates the possible DL/UL transmissions with gNB and UEs as COT initiator. In Fig.2, FFP associated with the gNB starts from 1st portion and its duration is 4 portions. FFP associated with the UE2 has offset from FFP associated with the gNB and its duration is same as FFP associated with the gNB. In our interpretation of the above agreement, FFS point would be whether UE can transmit the idle period of FFP associated with gNB even if gNB does not obtain the gNB initiated COT. For example, in Fig.2, the idle period of FFP associated with UE2 would be 2nd portion and 6th portion (i.e., the last portion of UE2’s FFP). If gNB does not obtain gNB-initiated COT in 1st FFP (i.e., from 1st to 4th portion), UE2 may obtain UE-initiated COT at 3rd portion. In this case, whether UE2 is allowed or not allowed to transmit at 4th portion, which corresponds to idle period of FFP associated with the gNB, is unclear. </w:t>
      </w:r>
      <w:r>
        <w:rPr>
          <w:lang w:eastAsia="ja-JP"/>
        </w:rPr>
        <w:t xml:space="preserve">In our view, at least the restriction that UE </w:t>
      </w:r>
      <w:r>
        <w:rPr>
          <w:lang w:eastAsia="ja-JP"/>
        </w:rPr>
        <w:lastRenderedPageBreak/>
        <w:t xml:space="preserve">should not transmit in the serving gNB’s idle period would be needed from the perspective of coexistence with other RAT. </w:t>
      </w:r>
    </w:p>
    <w:p w14:paraId="35C2F4C0" w14:textId="0C38FB17" w:rsidR="0087180D" w:rsidRDefault="0087180D" w:rsidP="0087180D">
      <w:pPr>
        <w:spacing w:beforeLines="50" w:before="120" w:after="0"/>
        <w:rPr>
          <w:b/>
          <w:bCs/>
          <w:lang w:eastAsia="ja-JP"/>
        </w:rPr>
      </w:pPr>
      <w:r>
        <w:rPr>
          <w:b/>
          <w:bCs/>
          <w:lang w:eastAsia="ja-JP"/>
        </w:rPr>
        <w:t>Proposal 1: The UE is not allowed to transmit during the idle period of any FFP associated with the serving gNB (regardless whether the serving gNB initiates a COT in that FFP).</w:t>
      </w:r>
    </w:p>
    <w:p w14:paraId="2F9D0483" w14:textId="77777777" w:rsidR="0087180D" w:rsidRPr="0087180D" w:rsidRDefault="0087180D" w:rsidP="00BC2018">
      <w:pPr>
        <w:spacing w:beforeLines="50" w:before="120" w:after="0"/>
        <w:rPr>
          <w:lang w:eastAsia="ja-JP"/>
        </w:rPr>
      </w:pPr>
    </w:p>
    <w:p w14:paraId="10C0DAB6" w14:textId="3AD66A45" w:rsidR="00BC2018" w:rsidRDefault="00BC2018" w:rsidP="0087180D">
      <w:pPr>
        <w:spacing w:beforeLines="50" w:before="120" w:after="0"/>
        <w:jc w:val="center"/>
        <w:rPr>
          <w:lang w:eastAsia="ja-JP"/>
        </w:rPr>
      </w:pPr>
      <w:r w:rsidRPr="00BC2018">
        <w:rPr>
          <w:noProof/>
        </w:rPr>
        <w:drawing>
          <wp:inline distT="0" distB="0" distL="0" distR="0" wp14:anchorId="1AE04748" wp14:editId="70BC9403">
            <wp:extent cx="6054480" cy="170892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4480" cy="1708920"/>
                    </a:xfrm>
                    <a:prstGeom prst="rect">
                      <a:avLst/>
                    </a:prstGeom>
                    <a:noFill/>
                    <a:ln>
                      <a:noFill/>
                    </a:ln>
                  </pic:spPr>
                </pic:pic>
              </a:graphicData>
            </a:graphic>
          </wp:inline>
        </w:drawing>
      </w:r>
    </w:p>
    <w:p w14:paraId="7A2EAABE" w14:textId="05F938DA" w:rsidR="0087180D" w:rsidRDefault="0087180D" w:rsidP="0087180D">
      <w:pPr>
        <w:spacing w:beforeLines="50" w:before="120" w:after="0"/>
        <w:jc w:val="center"/>
        <w:rPr>
          <w:lang w:eastAsia="ja-JP"/>
        </w:rPr>
      </w:pPr>
      <w:r w:rsidRPr="00BA786E">
        <w:rPr>
          <w:lang w:eastAsia="ja-JP"/>
        </w:rPr>
        <w:t xml:space="preserve">Figure </w:t>
      </w:r>
      <w:r>
        <w:rPr>
          <w:lang w:eastAsia="ja-JP"/>
        </w:rPr>
        <w:t>2: Possible DL/UL transmissions with gNB and UEs as COT initiator</w:t>
      </w:r>
    </w:p>
    <w:p w14:paraId="4EB7BF31" w14:textId="064C7BE1" w:rsidR="0087180D" w:rsidRDefault="0087180D" w:rsidP="004B5A31">
      <w:pPr>
        <w:spacing w:beforeLines="50" w:before="120" w:after="0"/>
        <w:rPr>
          <w:lang w:eastAsia="ja-JP"/>
        </w:rPr>
      </w:pPr>
    </w:p>
    <w:p w14:paraId="0CBB0123" w14:textId="15757CB9" w:rsidR="004B5A31" w:rsidRPr="009C5691" w:rsidRDefault="004B5A31" w:rsidP="004B5A31">
      <w:pPr>
        <w:spacing w:beforeLines="50" w:before="120" w:after="0"/>
        <w:rPr>
          <w:b/>
          <w:bCs/>
          <w:u w:val="single"/>
          <w:lang w:eastAsia="ja-JP"/>
        </w:rPr>
      </w:pPr>
      <w:r>
        <w:rPr>
          <w:b/>
          <w:bCs/>
          <w:u w:val="single"/>
          <w:lang w:eastAsia="ja-JP"/>
        </w:rPr>
        <w:t>FFP parameters for UE-initiated COT</w:t>
      </w:r>
    </w:p>
    <w:p w14:paraId="3F391A84" w14:textId="20611385" w:rsidR="004B5A31" w:rsidRDefault="004B5A31" w:rsidP="004B5A31">
      <w:pPr>
        <w:spacing w:beforeLines="50" w:before="120" w:after="0"/>
        <w:rPr>
          <w:lang w:eastAsia="ja-JP"/>
        </w:rPr>
      </w:pPr>
      <w:r>
        <w:rPr>
          <w:rFonts w:hint="eastAsia"/>
          <w:lang w:eastAsia="ja-JP"/>
        </w:rPr>
        <w:t>I</w:t>
      </w:r>
      <w:r>
        <w:rPr>
          <w:lang w:eastAsia="ja-JP"/>
        </w:rPr>
        <w:t>n RAN1#102e, it was agreed that for semi-static channel access mode, start of FFP for UE-initiated COT can be different from the start of FFP for gNB-initiated COT. The remaining discussion point is whether FFP periodicity for UE-initiated COT can be different from the FFP periodicity for gNB-initiated COT. Our preference is separate configuration of gNB’s and UE’s FFP is allowed to support more flexible use cases. The potential concern to support different periodicity between gNB and UE would be increase of scheduling complexity</w:t>
      </w:r>
      <w:r w:rsidR="00052EC0">
        <w:rPr>
          <w:lang w:eastAsia="ja-JP"/>
        </w:rPr>
        <w:t>,</w:t>
      </w:r>
      <w:r>
        <w:rPr>
          <w:lang w:eastAsia="ja-JP"/>
        </w:rPr>
        <w:t xml:space="preserve"> but it could be handle</w:t>
      </w:r>
      <w:r w:rsidR="00052EC0">
        <w:rPr>
          <w:lang w:eastAsia="ja-JP"/>
        </w:rPr>
        <w:t>d</w:t>
      </w:r>
      <w:r>
        <w:rPr>
          <w:lang w:eastAsia="ja-JP"/>
        </w:rPr>
        <w:t xml:space="preserve"> by gNB implementation.</w:t>
      </w:r>
    </w:p>
    <w:p w14:paraId="3485AFF0" w14:textId="28B59670" w:rsidR="004B5A31" w:rsidRDefault="004B5A31" w:rsidP="004B5A31">
      <w:pPr>
        <w:spacing w:beforeLines="50" w:before="120" w:after="0"/>
        <w:rPr>
          <w:b/>
          <w:bCs/>
          <w:lang w:eastAsia="ja-JP"/>
        </w:rPr>
      </w:pPr>
      <w:r>
        <w:rPr>
          <w:b/>
          <w:bCs/>
          <w:lang w:eastAsia="ja-JP"/>
        </w:rPr>
        <w:t>Proposal 2: FFP periodicity for UE-initiated COT can be different from the FFP periodicity for gNB-initiated COT.</w:t>
      </w:r>
    </w:p>
    <w:p w14:paraId="43C68DB3" w14:textId="77777777" w:rsidR="004B5A31" w:rsidRPr="004B5A31" w:rsidRDefault="004B5A31" w:rsidP="004B5A31">
      <w:pPr>
        <w:spacing w:beforeLines="50" w:before="120" w:after="0"/>
        <w:rPr>
          <w:lang w:eastAsia="ja-JP"/>
        </w:rPr>
      </w:pPr>
    </w:p>
    <w:p w14:paraId="0213FE10" w14:textId="3A98A5FB" w:rsidR="004B5A31" w:rsidRPr="009C5691" w:rsidRDefault="004B5A31" w:rsidP="004B5A31">
      <w:pPr>
        <w:spacing w:beforeLines="50" w:before="120" w:after="0"/>
        <w:rPr>
          <w:b/>
          <w:bCs/>
          <w:u w:val="single"/>
          <w:lang w:eastAsia="ja-JP"/>
        </w:rPr>
      </w:pPr>
      <w:r>
        <w:rPr>
          <w:b/>
          <w:bCs/>
          <w:u w:val="single"/>
          <w:lang w:eastAsia="ja-JP"/>
        </w:rPr>
        <w:t>Indication of FFP parameters</w:t>
      </w:r>
    </w:p>
    <w:p w14:paraId="6D343119" w14:textId="2DD1AFA5" w:rsidR="004B5A31" w:rsidRDefault="00DC6358" w:rsidP="003656FB">
      <w:pPr>
        <w:spacing w:beforeLines="50" w:before="120" w:after="0"/>
        <w:rPr>
          <w:lang w:eastAsia="ja-JP"/>
        </w:rPr>
      </w:pPr>
      <w:r>
        <w:rPr>
          <w:rFonts w:hint="eastAsia"/>
          <w:lang w:eastAsia="ja-JP"/>
        </w:rPr>
        <w:t>I</w:t>
      </w:r>
      <w:r>
        <w:rPr>
          <w:lang w:eastAsia="ja-JP"/>
        </w:rPr>
        <w:t xml:space="preserve">n RAN1#102e, it was agreed that for semi-static channel access mode, support using the transmission of any scheduled/configured UL channel/signal to initiate a COT by a UE in RRC CONNECTED mode. On the other hand, FFS for the case when the UE is IDLE/INACTIVE mode. In our view, </w:t>
      </w:r>
      <w:bookmarkStart w:id="1" w:name="_Hlk54092881"/>
      <w:r>
        <w:rPr>
          <w:lang w:eastAsia="ja-JP"/>
        </w:rPr>
        <w:t xml:space="preserve">to support RACH transmission to initiate a COT by UE in RRC IDLE/INACTIVE mode is useful, however, it might </w:t>
      </w:r>
      <w:r w:rsidR="00380E2F">
        <w:rPr>
          <w:lang w:eastAsia="ja-JP"/>
        </w:rPr>
        <w:t xml:space="preserve">not </w:t>
      </w:r>
      <w:r>
        <w:rPr>
          <w:lang w:eastAsia="ja-JP"/>
        </w:rPr>
        <w:t>be essential enhancement since IDLE UE behaviour is not a URLLC-related enhancement. It can have some more discussion in RAN2 and then, the decision could be up to RAN2.</w:t>
      </w:r>
      <w:bookmarkEnd w:id="1"/>
    </w:p>
    <w:p w14:paraId="5BB2176F" w14:textId="03A27253" w:rsidR="00DC6358" w:rsidRDefault="00DC6358" w:rsidP="003656FB">
      <w:pPr>
        <w:spacing w:beforeLines="50" w:before="120" w:after="0"/>
        <w:rPr>
          <w:lang w:eastAsia="ja-JP"/>
        </w:rPr>
      </w:pPr>
      <w:r>
        <w:rPr>
          <w:lang w:eastAsia="ja-JP"/>
        </w:rPr>
        <w:t>On the indication of FFP parameter, at least dedicated RRC signalling was agreed. Whether SIB indication is supported or not depends on the conclusion on whether UE-initiated COT is supported in IDLE/INACTIVE mode.</w:t>
      </w:r>
    </w:p>
    <w:p w14:paraId="36BB6E6B" w14:textId="27A8E5C7" w:rsidR="00DC6358" w:rsidRDefault="00DC6358" w:rsidP="00DC6358">
      <w:pPr>
        <w:spacing w:beforeLines="50" w:before="120" w:after="0"/>
        <w:rPr>
          <w:b/>
          <w:bCs/>
          <w:lang w:eastAsia="ja-JP"/>
        </w:rPr>
      </w:pPr>
      <w:r>
        <w:rPr>
          <w:rFonts w:hint="eastAsia"/>
          <w:b/>
          <w:bCs/>
          <w:lang w:eastAsia="ja-JP"/>
        </w:rPr>
        <w:t>O</w:t>
      </w:r>
      <w:r>
        <w:rPr>
          <w:b/>
          <w:bCs/>
          <w:lang w:eastAsia="ja-JP"/>
        </w:rPr>
        <w:t>bservation 5: The decision on whether t</w:t>
      </w:r>
      <w:r w:rsidRPr="00DC6358">
        <w:rPr>
          <w:b/>
          <w:bCs/>
          <w:lang w:eastAsia="ja-JP"/>
        </w:rPr>
        <w:t>o support RACH transmission to initiate a COT by UE in RRC IDLE/INACTIVE mode could be up to RAN2.</w:t>
      </w:r>
    </w:p>
    <w:p w14:paraId="1583C05D" w14:textId="0A089786" w:rsidR="00DC6358" w:rsidRDefault="00DC6358" w:rsidP="00DC6358">
      <w:pPr>
        <w:spacing w:beforeLines="50" w:before="120" w:after="0"/>
        <w:rPr>
          <w:b/>
          <w:bCs/>
          <w:lang w:eastAsia="ja-JP"/>
        </w:rPr>
      </w:pPr>
      <w:r>
        <w:rPr>
          <w:rFonts w:hint="eastAsia"/>
          <w:b/>
          <w:bCs/>
          <w:lang w:eastAsia="ja-JP"/>
        </w:rPr>
        <w:t>O</w:t>
      </w:r>
      <w:r>
        <w:rPr>
          <w:b/>
          <w:bCs/>
          <w:lang w:eastAsia="ja-JP"/>
        </w:rPr>
        <w:t>bservation 6: If UE-initiated COT is supported in IDLE/INACTIVE mode, FFP parameters for UE-initiated COT should be provided to the UE by SIB.</w:t>
      </w:r>
    </w:p>
    <w:p w14:paraId="07CD6B1A" w14:textId="77777777" w:rsidR="00DC6358" w:rsidRPr="00DC6358" w:rsidRDefault="00DC6358" w:rsidP="003656FB">
      <w:pPr>
        <w:spacing w:beforeLines="50" w:before="120" w:after="0"/>
        <w:rPr>
          <w:lang w:eastAsia="ja-JP"/>
        </w:rPr>
      </w:pPr>
    </w:p>
    <w:p w14:paraId="3F4036C7" w14:textId="0286821B" w:rsidR="004B5A31" w:rsidRPr="009C5691" w:rsidRDefault="004B5A31" w:rsidP="004B5A31">
      <w:pPr>
        <w:spacing w:beforeLines="50" w:before="120" w:after="0"/>
        <w:rPr>
          <w:b/>
          <w:bCs/>
          <w:u w:val="single"/>
          <w:lang w:eastAsia="ja-JP"/>
        </w:rPr>
      </w:pPr>
      <w:r>
        <w:rPr>
          <w:b/>
          <w:bCs/>
          <w:u w:val="single"/>
          <w:lang w:eastAsia="ja-JP"/>
        </w:rPr>
        <w:t>To initiate a COT in a next FFP associated to the UE</w:t>
      </w:r>
    </w:p>
    <w:p w14:paraId="45B80262" w14:textId="5C125F15" w:rsidR="004B5A31" w:rsidRDefault="00DC6358" w:rsidP="003656FB">
      <w:pPr>
        <w:spacing w:beforeLines="50" w:before="120" w:after="0"/>
        <w:rPr>
          <w:lang w:eastAsia="ja-JP"/>
        </w:rPr>
      </w:pPr>
      <w:r>
        <w:rPr>
          <w:rFonts w:hint="eastAsia"/>
          <w:lang w:eastAsia="ja-JP"/>
        </w:rPr>
        <w:t>I</w:t>
      </w:r>
      <w:r>
        <w:rPr>
          <w:lang w:eastAsia="ja-JP"/>
        </w:rPr>
        <w:t>n RAN1#102e, following was proposed [2].</w:t>
      </w:r>
    </w:p>
    <w:p w14:paraId="60644B22" w14:textId="00C2C0FD" w:rsidR="00DC6358" w:rsidRPr="008A221D" w:rsidRDefault="008A221D" w:rsidP="003656FB">
      <w:pPr>
        <w:spacing w:beforeLines="50" w:before="120" w:after="0"/>
        <w:rPr>
          <w:b/>
          <w:bCs/>
          <w:u w:val="single"/>
          <w:lang w:eastAsia="ja-JP"/>
        </w:rPr>
      </w:pPr>
      <w:r>
        <w:rPr>
          <w:lang w:eastAsia="ja-JP"/>
        </w:rPr>
        <w:tab/>
      </w:r>
      <w:r w:rsidRPr="008A221D">
        <w:rPr>
          <w:b/>
          <w:bCs/>
          <w:u w:val="single"/>
          <w:lang w:eastAsia="ja-JP"/>
        </w:rPr>
        <w:t>Proposal:</w:t>
      </w:r>
    </w:p>
    <w:p w14:paraId="28FAAB4C" w14:textId="365CED44" w:rsidR="008A221D" w:rsidRDefault="008A221D" w:rsidP="008A221D">
      <w:pPr>
        <w:pStyle w:val="aff1"/>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w:t>
      </w:r>
    </w:p>
    <w:p w14:paraId="40772897" w14:textId="2944FA22" w:rsidR="008A221D" w:rsidRDefault="008A221D" w:rsidP="008A221D">
      <w:pPr>
        <w:pStyle w:val="aff1"/>
        <w:widowControl w:val="0"/>
        <w:numPr>
          <w:ilvl w:val="1"/>
          <w:numId w:val="16"/>
        </w:numPr>
        <w:snapToGrid w:val="0"/>
        <w:spacing w:after="0"/>
        <w:ind w:leftChars="0"/>
        <w:jc w:val="both"/>
        <w:rPr>
          <w:rFonts w:eastAsiaTheme="minorEastAsia"/>
        </w:rPr>
      </w:pPr>
      <w:r>
        <w:rPr>
          <w:rFonts w:eastAsiaTheme="minorEastAsia"/>
        </w:rPr>
        <w:t>FFS: A UE can be explicitly indicated by DCI whether or not to initiate a COT in a next FFP associated to the UE.</w:t>
      </w:r>
    </w:p>
    <w:p w14:paraId="563CA240" w14:textId="390EEA8C" w:rsidR="008A221D" w:rsidRDefault="008A221D" w:rsidP="008A221D">
      <w:pPr>
        <w:pStyle w:val="aff1"/>
        <w:widowControl w:val="0"/>
        <w:numPr>
          <w:ilvl w:val="2"/>
          <w:numId w:val="16"/>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details of signalling (e.g., interpretation of DCI fields)</w:t>
      </w:r>
    </w:p>
    <w:p w14:paraId="0C48BD73" w14:textId="198E7A64" w:rsidR="008A221D" w:rsidRDefault="008A221D" w:rsidP="008A221D">
      <w:pPr>
        <w:pStyle w:val="aff1"/>
        <w:widowControl w:val="0"/>
        <w:numPr>
          <w:ilvl w:val="2"/>
          <w:numId w:val="16"/>
        </w:numPr>
        <w:snapToGrid w:val="0"/>
        <w:spacing w:after="0"/>
        <w:ind w:leftChars="0"/>
        <w:jc w:val="both"/>
        <w:rPr>
          <w:rFonts w:eastAsiaTheme="minorEastAsia"/>
        </w:rPr>
      </w:pPr>
      <w:r>
        <w:rPr>
          <w:rFonts w:eastAsiaTheme="minorEastAsia" w:hint="eastAsia"/>
          <w:lang w:eastAsia="ja-JP"/>
        </w:rPr>
        <w:t>F</w:t>
      </w:r>
      <w:r>
        <w:rPr>
          <w:rFonts w:eastAsiaTheme="minorEastAsia"/>
          <w:lang w:eastAsia="ja-JP"/>
        </w:rPr>
        <w:t>FS on common-DCI</w:t>
      </w:r>
    </w:p>
    <w:p w14:paraId="4A724C01" w14:textId="34ADCA98" w:rsidR="008A221D" w:rsidRPr="008A221D" w:rsidRDefault="008A221D" w:rsidP="003656FB">
      <w:pPr>
        <w:spacing w:beforeLines="50" w:before="120" w:after="0"/>
        <w:rPr>
          <w:lang w:eastAsia="ja-JP"/>
        </w:rPr>
      </w:pPr>
      <w:r>
        <w:rPr>
          <w:rFonts w:hint="eastAsia"/>
          <w:lang w:eastAsia="ja-JP"/>
        </w:rPr>
        <w:lastRenderedPageBreak/>
        <w:t>I</w:t>
      </w:r>
      <w:r>
        <w:rPr>
          <w:lang w:eastAsia="ja-JP"/>
        </w:rPr>
        <w:t>n our view, explicit indication to UE to initiate a COT should be supported. Explicit indication gives more flexibility and more efficient for gNB to control the channel change.</w:t>
      </w:r>
    </w:p>
    <w:p w14:paraId="1EAAA896" w14:textId="74248198" w:rsidR="008A221D" w:rsidRDefault="008A221D" w:rsidP="008A221D">
      <w:pPr>
        <w:spacing w:beforeLines="50" w:before="120" w:after="0"/>
        <w:rPr>
          <w:b/>
          <w:bCs/>
          <w:lang w:eastAsia="ja-JP"/>
        </w:rPr>
      </w:pPr>
      <w:r>
        <w:rPr>
          <w:b/>
          <w:bCs/>
          <w:lang w:eastAsia="ja-JP"/>
        </w:rPr>
        <w:t>Proposal 3: A UE can be explicitly indicated by DCI whether or not to initiate a COT in a next FFP associated to the UE.</w:t>
      </w:r>
    </w:p>
    <w:p w14:paraId="088CE06C" w14:textId="77777777" w:rsidR="00DC6358" w:rsidRPr="008A221D" w:rsidRDefault="00DC6358" w:rsidP="003656FB">
      <w:pPr>
        <w:spacing w:beforeLines="50" w:before="120" w:after="0"/>
        <w:rPr>
          <w:lang w:eastAsia="ja-JP"/>
        </w:rPr>
      </w:pPr>
    </w:p>
    <w:p w14:paraId="0F535955" w14:textId="63921A6E" w:rsidR="004B5A31" w:rsidRPr="009C5691" w:rsidRDefault="004B5A31" w:rsidP="004B5A31">
      <w:pPr>
        <w:spacing w:beforeLines="50" w:before="120" w:after="0"/>
        <w:rPr>
          <w:b/>
          <w:bCs/>
          <w:u w:val="single"/>
          <w:lang w:eastAsia="ja-JP"/>
        </w:rPr>
      </w:pPr>
      <w:r>
        <w:rPr>
          <w:b/>
          <w:bCs/>
          <w:u w:val="single"/>
          <w:lang w:eastAsia="ja-JP"/>
        </w:rPr>
        <w:t>To indicate UE-initiated COT information to gNB</w:t>
      </w:r>
    </w:p>
    <w:p w14:paraId="299534AB" w14:textId="47D69619" w:rsidR="008A221D" w:rsidRDefault="008A221D" w:rsidP="008A221D">
      <w:pPr>
        <w:spacing w:beforeLines="50" w:before="120" w:after="0"/>
        <w:rPr>
          <w:lang w:eastAsia="ja-JP"/>
        </w:rPr>
      </w:pPr>
      <w:r>
        <w:rPr>
          <w:rFonts w:hint="eastAsia"/>
          <w:lang w:eastAsia="ja-JP"/>
        </w:rPr>
        <w:t>I</w:t>
      </w:r>
      <w:r>
        <w:rPr>
          <w:lang w:eastAsia="ja-JP"/>
        </w:rPr>
        <w:t>n RAN1#102e, following was proposed [2].</w:t>
      </w:r>
    </w:p>
    <w:p w14:paraId="272BF473" w14:textId="77777777" w:rsidR="008A221D" w:rsidRPr="008A221D" w:rsidRDefault="008A221D" w:rsidP="008A221D">
      <w:pPr>
        <w:spacing w:beforeLines="50" w:before="120" w:after="0"/>
        <w:rPr>
          <w:b/>
          <w:bCs/>
          <w:u w:val="single"/>
          <w:lang w:eastAsia="ja-JP"/>
        </w:rPr>
      </w:pPr>
      <w:r>
        <w:rPr>
          <w:lang w:eastAsia="ja-JP"/>
        </w:rPr>
        <w:tab/>
      </w:r>
      <w:r w:rsidRPr="008A221D">
        <w:rPr>
          <w:b/>
          <w:bCs/>
          <w:u w:val="single"/>
          <w:lang w:eastAsia="ja-JP"/>
        </w:rPr>
        <w:t>Proposal:</w:t>
      </w:r>
    </w:p>
    <w:p w14:paraId="288F8558" w14:textId="3F677E6C" w:rsidR="008A221D" w:rsidRDefault="008A221D" w:rsidP="008A221D">
      <w:pPr>
        <w:pStyle w:val="aff1"/>
        <w:widowControl w:val="0"/>
        <w:numPr>
          <w:ilvl w:val="0"/>
          <w:numId w:val="16"/>
        </w:numPr>
        <w:snapToGrid w:val="0"/>
        <w:spacing w:after="0"/>
        <w:ind w:leftChars="0"/>
        <w:jc w:val="both"/>
        <w:rPr>
          <w:rFonts w:eastAsiaTheme="minorEastAsia"/>
        </w:rPr>
      </w:pPr>
      <w:r>
        <w:rPr>
          <w:rFonts w:eastAsiaTheme="minorEastAsia"/>
        </w:rPr>
        <w:t>A UE can indicate to the gNB that it has initiated a COT in an FFP.</w:t>
      </w:r>
    </w:p>
    <w:p w14:paraId="32DE258D" w14:textId="05F33F7B" w:rsidR="004B5A31" w:rsidRPr="008A221D" w:rsidRDefault="008A221D" w:rsidP="003656FB">
      <w:pPr>
        <w:spacing w:beforeLines="50" w:before="120" w:after="0"/>
        <w:rPr>
          <w:lang w:eastAsia="ja-JP"/>
        </w:rPr>
      </w:pPr>
      <w:r>
        <w:rPr>
          <w:rFonts w:hint="eastAsia"/>
          <w:lang w:eastAsia="ja-JP"/>
        </w:rPr>
        <w:t>I</w:t>
      </w:r>
      <w:r>
        <w:rPr>
          <w:lang w:eastAsia="ja-JP"/>
        </w:rPr>
        <w:t>n our view, it is sufficient that the gNB just needs to detect the UL transmissions which are configured/scheduled by the gNB. Then, the above proposal is not necessary.</w:t>
      </w:r>
    </w:p>
    <w:p w14:paraId="552D5BBE" w14:textId="1C0CF456" w:rsidR="008A221D" w:rsidRDefault="008A221D" w:rsidP="008A221D">
      <w:pPr>
        <w:spacing w:beforeLines="50" w:before="120" w:after="0"/>
        <w:rPr>
          <w:b/>
          <w:bCs/>
          <w:lang w:eastAsia="ja-JP"/>
        </w:rPr>
      </w:pPr>
      <w:r>
        <w:rPr>
          <w:b/>
          <w:bCs/>
          <w:lang w:eastAsia="ja-JP"/>
        </w:rPr>
        <w:t>Proposal 4: No explicit indication to indicate to the gNB that it has initiated a COT in an FFP is necessary.</w:t>
      </w:r>
    </w:p>
    <w:p w14:paraId="5A5B77E9" w14:textId="61F0778C" w:rsidR="004B5A31" w:rsidRDefault="004B5A31" w:rsidP="003656FB">
      <w:pPr>
        <w:spacing w:beforeLines="50" w:before="120" w:after="0"/>
        <w:rPr>
          <w:lang w:eastAsia="ja-JP"/>
        </w:rPr>
      </w:pPr>
    </w:p>
    <w:p w14:paraId="37719F93" w14:textId="7E6C6BF3" w:rsidR="008A221D" w:rsidRDefault="008A221D" w:rsidP="008A221D">
      <w:pPr>
        <w:pStyle w:val="1"/>
        <w:tabs>
          <w:tab w:val="num" w:pos="426"/>
        </w:tabs>
        <w:ind w:left="426" w:hanging="426"/>
        <w:rPr>
          <w:lang w:val="en-US" w:eastAsia="ja-JP"/>
        </w:rPr>
      </w:pPr>
      <w:r>
        <w:rPr>
          <w:lang w:val="en-US" w:eastAsia="ja-JP"/>
        </w:rPr>
        <w:t>Harmonizing UL configured-grant enhancements in NR-U and URLLC</w:t>
      </w:r>
    </w:p>
    <w:p w14:paraId="61273037" w14:textId="13DEC3F3" w:rsidR="008A221D" w:rsidRDefault="00662757" w:rsidP="003656FB">
      <w:pPr>
        <w:spacing w:beforeLines="50" w:before="120" w:after="0"/>
        <w:rPr>
          <w:lang w:val="en-US" w:eastAsia="ja-JP"/>
        </w:rPr>
      </w:pPr>
      <w:r>
        <w:rPr>
          <w:rFonts w:hint="eastAsia"/>
          <w:lang w:val="en-US" w:eastAsia="ja-JP"/>
        </w:rPr>
        <w:t>I</w:t>
      </w:r>
      <w:r>
        <w:rPr>
          <w:lang w:val="en-US" w:eastAsia="ja-JP"/>
        </w:rPr>
        <w:t>n RAN1#102</w:t>
      </w:r>
      <w:r w:rsidR="00A420A3">
        <w:rPr>
          <w:lang w:val="en-US" w:eastAsia="ja-JP"/>
        </w:rPr>
        <w:t>e</w:t>
      </w:r>
      <w:r>
        <w:rPr>
          <w:lang w:val="en-US" w:eastAsia="ja-JP"/>
        </w:rPr>
        <w:t>, following options were identified [2].</w:t>
      </w:r>
    </w:p>
    <w:p w14:paraId="7D996908" w14:textId="3BC5823C" w:rsidR="00662757" w:rsidRDefault="00662757" w:rsidP="00662757">
      <w:pPr>
        <w:pStyle w:val="aff1"/>
        <w:widowControl w:val="0"/>
        <w:numPr>
          <w:ilvl w:val="0"/>
          <w:numId w:val="16"/>
        </w:numPr>
        <w:snapToGrid w:val="0"/>
        <w:spacing w:after="0"/>
        <w:ind w:leftChars="0"/>
        <w:jc w:val="both"/>
        <w:rPr>
          <w:rFonts w:eastAsiaTheme="minorEastAsia"/>
        </w:rPr>
      </w:pPr>
      <w:r>
        <w:rPr>
          <w:rFonts w:eastAsiaTheme="minorEastAsia"/>
        </w:rPr>
        <w:t>Option 1: Operation based on only URLLC CG features</w:t>
      </w:r>
    </w:p>
    <w:p w14:paraId="2321FA8F" w14:textId="668CA589" w:rsidR="00662757" w:rsidRDefault="00662757" w:rsidP="00662757">
      <w:pPr>
        <w:pStyle w:val="aff1"/>
        <w:widowControl w:val="0"/>
        <w:numPr>
          <w:ilvl w:val="0"/>
          <w:numId w:val="16"/>
        </w:numPr>
        <w:snapToGrid w:val="0"/>
        <w:spacing w:after="0"/>
        <w:ind w:leftChars="0"/>
        <w:jc w:val="both"/>
        <w:rPr>
          <w:rFonts w:eastAsiaTheme="minorEastAsia"/>
        </w:rPr>
      </w:pPr>
      <w:r>
        <w:rPr>
          <w:rFonts w:eastAsiaTheme="minorEastAsia" w:hint="eastAsia"/>
          <w:lang w:eastAsia="ja-JP"/>
        </w:rPr>
        <w:t>O</w:t>
      </w:r>
      <w:r>
        <w:rPr>
          <w:rFonts w:eastAsiaTheme="minorEastAsia"/>
          <w:lang w:eastAsia="ja-JP"/>
        </w:rPr>
        <w:t>ption 2: Operation based on either URLLC CG features or NR-U CG features (network configurability between two independent operational modes)</w:t>
      </w:r>
    </w:p>
    <w:p w14:paraId="3CB7614C" w14:textId="408670E1" w:rsidR="00662757" w:rsidRDefault="00662757" w:rsidP="00662757">
      <w:pPr>
        <w:pStyle w:val="aff1"/>
        <w:widowControl w:val="0"/>
        <w:numPr>
          <w:ilvl w:val="0"/>
          <w:numId w:val="16"/>
        </w:numPr>
        <w:snapToGrid w:val="0"/>
        <w:spacing w:after="0"/>
        <w:ind w:leftChars="0"/>
        <w:jc w:val="both"/>
        <w:rPr>
          <w:rFonts w:eastAsiaTheme="minorEastAsia"/>
        </w:rPr>
      </w:pPr>
      <w:r>
        <w:rPr>
          <w:rFonts w:eastAsiaTheme="minorEastAsia" w:hint="eastAsia"/>
          <w:lang w:eastAsia="ja-JP"/>
        </w:rPr>
        <w:t>O</w:t>
      </w:r>
      <w:r>
        <w:rPr>
          <w:rFonts w:eastAsiaTheme="minorEastAsia"/>
          <w:lang w:eastAsia="ja-JP"/>
        </w:rPr>
        <w:t>ption 3: Operation based on combined URLLC and NR-U CG features.</w:t>
      </w:r>
    </w:p>
    <w:p w14:paraId="073DF41B" w14:textId="12E18B3B" w:rsidR="00A420A3" w:rsidRDefault="00662757" w:rsidP="003656FB">
      <w:pPr>
        <w:spacing w:beforeLines="50" w:before="120" w:after="0"/>
        <w:rPr>
          <w:lang w:eastAsia="ja-JP"/>
        </w:rPr>
      </w:pPr>
      <w:r>
        <w:rPr>
          <w:rFonts w:hint="eastAsia"/>
          <w:lang w:eastAsia="ja-JP"/>
        </w:rPr>
        <w:t>I</w:t>
      </w:r>
      <w:r>
        <w:rPr>
          <w:lang w:eastAsia="ja-JP"/>
        </w:rPr>
        <w:t xml:space="preserve">n Rel.16 specification, </w:t>
      </w:r>
      <w:r w:rsidRPr="00662757">
        <w:rPr>
          <w:i/>
          <w:iCs/>
          <w:lang w:eastAsia="ja-JP"/>
        </w:rPr>
        <w:t>cg-Retransmission</w:t>
      </w:r>
      <w:r>
        <w:rPr>
          <w:i/>
          <w:iCs/>
          <w:lang w:eastAsia="ja-JP"/>
        </w:rPr>
        <w:t>Ti</w:t>
      </w:r>
      <w:r w:rsidRPr="00662757">
        <w:rPr>
          <w:i/>
          <w:iCs/>
          <w:lang w:eastAsia="ja-JP"/>
        </w:rPr>
        <w:t>mer</w:t>
      </w:r>
      <w:r>
        <w:rPr>
          <w:lang w:eastAsia="ja-JP"/>
        </w:rPr>
        <w:t xml:space="preserve"> is always configured for unlicensed band operation. </w:t>
      </w:r>
      <w:r w:rsidR="00A420A3">
        <w:rPr>
          <w:lang w:eastAsia="ja-JP"/>
        </w:rPr>
        <w:t xml:space="preserve">In RAN1#102e, it was agreed that at least </w:t>
      </w:r>
      <w:r w:rsidR="00A420A3" w:rsidRPr="00662757">
        <w:rPr>
          <w:i/>
          <w:iCs/>
          <w:lang w:eastAsia="ja-JP"/>
        </w:rPr>
        <w:t>cg-Retransmission</w:t>
      </w:r>
      <w:r w:rsidR="00A420A3">
        <w:rPr>
          <w:i/>
          <w:iCs/>
          <w:lang w:eastAsia="ja-JP"/>
        </w:rPr>
        <w:t>Ti</w:t>
      </w:r>
      <w:r w:rsidR="00A420A3" w:rsidRPr="00662757">
        <w:rPr>
          <w:i/>
          <w:iCs/>
          <w:lang w:eastAsia="ja-JP"/>
        </w:rPr>
        <w:t>mer</w:t>
      </w:r>
      <w:r w:rsidR="00A420A3">
        <w:rPr>
          <w:lang w:eastAsia="ja-JP"/>
        </w:rPr>
        <w:t xml:space="preserve"> is not mandated in unlicensed band operation. Option 2 seems simpler. One of operations would be if the higher layer parameter </w:t>
      </w:r>
      <w:r w:rsidR="00A420A3" w:rsidRPr="00662757">
        <w:rPr>
          <w:i/>
          <w:iCs/>
          <w:lang w:eastAsia="ja-JP"/>
        </w:rPr>
        <w:t>cg-Retransmission</w:t>
      </w:r>
      <w:r w:rsidR="00A420A3">
        <w:rPr>
          <w:i/>
          <w:iCs/>
          <w:lang w:eastAsia="ja-JP"/>
        </w:rPr>
        <w:t>Ti</w:t>
      </w:r>
      <w:r w:rsidR="00A420A3" w:rsidRPr="00662757">
        <w:rPr>
          <w:i/>
          <w:iCs/>
          <w:lang w:eastAsia="ja-JP"/>
        </w:rPr>
        <w:t>mer</w:t>
      </w:r>
      <w:r w:rsidR="00A420A3">
        <w:rPr>
          <w:lang w:eastAsia="ja-JP"/>
        </w:rPr>
        <w:t xml:space="preserve"> is provided, NR-U CG is adopted, otherwise URLLC CG is used.</w:t>
      </w:r>
    </w:p>
    <w:p w14:paraId="0630557D" w14:textId="1E68E056" w:rsidR="00A420A3" w:rsidRDefault="00A420A3" w:rsidP="003656FB">
      <w:pPr>
        <w:spacing w:beforeLines="50" w:before="120" w:after="0"/>
        <w:rPr>
          <w:lang w:eastAsia="ja-JP"/>
        </w:rPr>
      </w:pPr>
      <w:r>
        <w:rPr>
          <w:rFonts w:hint="eastAsia"/>
          <w:lang w:eastAsia="ja-JP"/>
        </w:rPr>
        <w:t>I</w:t>
      </w:r>
      <w:r>
        <w:rPr>
          <w:lang w:eastAsia="ja-JP"/>
        </w:rPr>
        <w:t xml:space="preserve">n our view, Option 3 should also be considered. One of motivation for harmonizing CG enhancement in NR-U and URLLC is to support the same CG operation as licensed band (e.g., CG-UCI/DFI less transmission). The reason why CG-UCI/DFI should be disabled is to reduce unnecessary signalling overhead and retransmissions. For the functions related to autonomous transmission on CG (e.g., the CG retransmission timer, DFI, indication of NDI and RV on CG-UCI), when miss-detection probability at gNB is low (e.g., by configuring low MCS and dense DMRS) and/or the environment where LBT failure probability is low, these functions should be disabled. </w:t>
      </w:r>
      <w:r w:rsidR="00754BBB">
        <w:rPr>
          <w:lang w:eastAsia="ja-JP"/>
        </w:rPr>
        <w:t>For the function related to COT sharing (i.e., COT sharing information on CG-UCI, the merit is not related to miss-detection and LBT failure probability. COT sharing can be used to reduce LBT delay by using Cat.1 or Cat.2 LBT instead of Cat.4 LBT. If whole CG-UCI field is disabled (CG-UCI is not transmitted on CG PUSCH), delay can be increased because of the lack of COT sharing information. Then, at least COT sharing information should be indicated by CG-UCI in some cases.</w:t>
      </w:r>
    </w:p>
    <w:p w14:paraId="059791F4" w14:textId="678DCD7D" w:rsidR="00754BBB" w:rsidRDefault="00754BBB" w:rsidP="00754BBB">
      <w:pPr>
        <w:spacing w:beforeLines="50" w:before="120" w:after="0"/>
        <w:rPr>
          <w:b/>
          <w:bCs/>
          <w:lang w:eastAsia="ja-JP"/>
        </w:rPr>
      </w:pPr>
      <w:r>
        <w:rPr>
          <w:b/>
          <w:bCs/>
          <w:lang w:eastAsia="ja-JP"/>
        </w:rPr>
        <w:t>Proposal 5: W</w:t>
      </w:r>
      <w:r w:rsidRPr="00754BBB">
        <w:rPr>
          <w:b/>
          <w:bCs/>
          <w:lang w:eastAsia="ja-JP"/>
        </w:rPr>
        <w:t>hen configured grant Type 1 or Type 2 are configured on unlicensed spectrum</w:t>
      </w:r>
      <w:r>
        <w:rPr>
          <w:b/>
          <w:bCs/>
          <w:lang w:eastAsia="ja-JP"/>
        </w:rPr>
        <w:t>, it would be useful that at least functions related to autonomous retransmission on CG and COT sharing are separately enabled/disabled by the configuration.</w:t>
      </w:r>
    </w:p>
    <w:p w14:paraId="0ACB70D1" w14:textId="77777777" w:rsidR="00A420A3" w:rsidRPr="00A420A3" w:rsidRDefault="00A420A3" w:rsidP="003656FB">
      <w:pPr>
        <w:spacing w:beforeLines="50" w:before="120" w:after="0"/>
        <w:rPr>
          <w:lang w:eastAsia="ja-JP"/>
        </w:rPr>
      </w:pPr>
    </w:p>
    <w:p w14:paraId="163594CC" w14:textId="77777777" w:rsidR="001A21CC" w:rsidRDefault="001A21CC" w:rsidP="001A21CC">
      <w:pPr>
        <w:pStyle w:val="1"/>
        <w:tabs>
          <w:tab w:val="num" w:pos="426"/>
        </w:tabs>
        <w:ind w:left="426" w:hanging="426"/>
        <w:rPr>
          <w:szCs w:val="36"/>
          <w:lang w:eastAsia="ja-JP"/>
        </w:rPr>
      </w:pPr>
      <w:r>
        <w:rPr>
          <w:rFonts w:hint="eastAsia"/>
          <w:szCs w:val="36"/>
          <w:lang w:eastAsia="ja-JP"/>
        </w:rPr>
        <w:t>Conclusion</w:t>
      </w:r>
    </w:p>
    <w:p w14:paraId="7A1A60BF" w14:textId="63AF4255" w:rsidR="003B6B71" w:rsidRDefault="003B6B71" w:rsidP="003B6B71">
      <w:pPr>
        <w:spacing w:beforeLines="50" w:before="120" w:afterLines="50" w:after="120"/>
        <w:rPr>
          <w:lang w:eastAsia="ja-JP"/>
        </w:rPr>
      </w:pPr>
      <w:r>
        <w:rPr>
          <w:rFonts w:hint="eastAsia"/>
          <w:lang w:eastAsia="ja-JP"/>
        </w:rPr>
        <w:t>In</w:t>
      </w:r>
      <w:r>
        <w:rPr>
          <w:lang w:eastAsia="ja-JP"/>
        </w:rPr>
        <w:t xml:space="preserve"> this contribution, we provide our view on </w:t>
      </w:r>
      <w:r w:rsidR="00D56519" w:rsidRPr="00D56519">
        <w:rPr>
          <w:lang w:eastAsia="ja-JP"/>
        </w:rPr>
        <w:t>potential enhancements related to unlicensed band URLLC/IIoT</w:t>
      </w:r>
      <w:r>
        <w:rPr>
          <w:lang w:eastAsia="ja-JP"/>
        </w:rPr>
        <w:t xml:space="preserve">. We made following </w:t>
      </w:r>
      <w:r w:rsidR="00D56519">
        <w:rPr>
          <w:lang w:eastAsia="ja-JP"/>
        </w:rPr>
        <w:t xml:space="preserve">observations and </w:t>
      </w:r>
      <w:r>
        <w:rPr>
          <w:lang w:eastAsia="ja-JP"/>
        </w:rPr>
        <w:t>proposals.</w:t>
      </w:r>
    </w:p>
    <w:p w14:paraId="75ABB5CF" w14:textId="77777777" w:rsidR="00D56519" w:rsidRPr="00A86C24" w:rsidRDefault="00D56519" w:rsidP="00D56519">
      <w:pPr>
        <w:spacing w:beforeLines="50" w:before="120" w:after="0"/>
        <w:rPr>
          <w:b/>
          <w:bCs/>
          <w:lang w:eastAsia="ja-JP"/>
        </w:rPr>
      </w:pPr>
      <w:r w:rsidRPr="00A86C24">
        <w:rPr>
          <w:rFonts w:hint="eastAsia"/>
          <w:b/>
          <w:bCs/>
          <w:lang w:eastAsia="ja-JP"/>
        </w:rPr>
        <w:t>O</w:t>
      </w:r>
      <w:r w:rsidRPr="00A86C24">
        <w:rPr>
          <w:b/>
          <w:bCs/>
          <w:lang w:eastAsia="ja-JP"/>
        </w:rPr>
        <w:t>bservation 1: Multiple starting time offset for configured grant, which is configured as the amount of CP extension, can be reused to support UE-initiated COT.</w:t>
      </w:r>
    </w:p>
    <w:p w14:paraId="4241E3BE" w14:textId="77777777" w:rsidR="00D56519" w:rsidRDefault="00D56519" w:rsidP="00D56519">
      <w:pPr>
        <w:spacing w:beforeLines="50" w:before="120" w:after="0"/>
        <w:rPr>
          <w:b/>
          <w:bCs/>
          <w:lang w:eastAsia="ja-JP"/>
        </w:rPr>
      </w:pPr>
      <w:r>
        <w:rPr>
          <w:b/>
          <w:bCs/>
          <w:lang w:eastAsia="ja-JP"/>
        </w:rPr>
        <w:t>Observation 2: It should be clarified that whether the difference of CP extension is called as the change of FFP or not.</w:t>
      </w:r>
    </w:p>
    <w:p w14:paraId="74CAB88D" w14:textId="77777777" w:rsidR="00D56519" w:rsidRDefault="00D56519" w:rsidP="00D56519">
      <w:pPr>
        <w:spacing w:beforeLines="50" w:before="120" w:after="0"/>
        <w:rPr>
          <w:b/>
          <w:bCs/>
          <w:lang w:eastAsia="ja-JP"/>
        </w:rPr>
      </w:pPr>
      <w:r w:rsidRPr="007F7F06">
        <w:rPr>
          <w:rFonts w:hint="eastAsia"/>
          <w:b/>
          <w:bCs/>
          <w:lang w:eastAsia="ja-JP"/>
        </w:rPr>
        <w:t>O</w:t>
      </w:r>
      <w:r w:rsidRPr="007F7F06">
        <w:rPr>
          <w:b/>
          <w:bCs/>
          <w:lang w:eastAsia="ja-JP"/>
        </w:rPr>
        <w:t xml:space="preserve">bservation </w:t>
      </w:r>
      <w:r>
        <w:rPr>
          <w:b/>
          <w:bCs/>
          <w:lang w:eastAsia="ja-JP"/>
        </w:rPr>
        <w:t>3</w:t>
      </w:r>
      <w:r w:rsidRPr="007F7F06">
        <w:rPr>
          <w:b/>
          <w:bCs/>
          <w:lang w:eastAsia="ja-JP"/>
        </w:rPr>
        <w:t>: If DG PUSCH is used for UE-initiated COT together with CG PUSCH, to support CP extension for multiple starting time offset as in CG PUSCH for DG PUSCH could be considered.</w:t>
      </w:r>
    </w:p>
    <w:p w14:paraId="2016F2D5" w14:textId="77777777" w:rsidR="00D56519" w:rsidRDefault="00D56519" w:rsidP="00D56519">
      <w:pPr>
        <w:spacing w:beforeLines="50" w:before="120" w:after="0"/>
        <w:rPr>
          <w:b/>
          <w:bCs/>
          <w:lang w:eastAsia="ja-JP"/>
        </w:rPr>
      </w:pPr>
      <w:r>
        <w:rPr>
          <w:rFonts w:hint="eastAsia"/>
          <w:b/>
          <w:bCs/>
          <w:lang w:eastAsia="ja-JP"/>
        </w:rPr>
        <w:lastRenderedPageBreak/>
        <w:t>O</w:t>
      </w:r>
      <w:r>
        <w:rPr>
          <w:b/>
          <w:bCs/>
          <w:lang w:eastAsia="ja-JP"/>
        </w:rPr>
        <w:t>bservation 4: If the difference of CP extension is called as the change of FFP, the start of FFP might be always CG PUSCH if DG PUSCH does not have CP extension. If DG PUSCH supports CP extension, the amount of CP extension for DG PUSCH should be same as that configured to CG PUSCH.</w:t>
      </w:r>
    </w:p>
    <w:p w14:paraId="4F2555F3" w14:textId="77777777" w:rsidR="00D56519" w:rsidRDefault="00D56519" w:rsidP="00D56519">
      <w:pPr>
        <w:spacing w:beforeLines="50" w:before="120" w:after="0"/>
        <w:rPr>
          <w:b/>
          <w:bCs/>
          <w:lang w:eastAsia="ja-JP"/>
        </w:rPr>
      </w:pPr>
      <w:r>
        <w:rPr>
          <w:b/>
          <w:bCs/>
          <w:lang w:eastAsia="ja-JP"/>
        </w:rPr>
        <w:t>Proposal 1: The UE is not allowed to transmit during the idle period of any FFP associated with the serving gNB (regardless whether the serving gNB initiates a COT in that FFP).</w:t>
      </w:r>
    </w:p>
    <w:p w14:paraId="6993136A" w14:textId="77777777" w:rsidR="00D56519" w:rsidRDefault="00D56519" w:rsidP="00D56519">
      <w:pPr>
        <w:spacing w:beforeLines="50" w:before="120" w:after="0"/>
        <w:rPr>
          <w:b/>
          <w:bCs/>
          <w:lang w:eastAsia="ja-JP"/>
        </w:rPr>
      </w:pPr>
      <w:r>
        <w:rPr>
          <w:b/>
          <w:bCs/>
          <w:lang w:eastAsia="ja-JP"/>
        </w:rPr>
        <w:t>Proposal 2: FFP periodicity for UE-initiated COT can be different from the FFP periodicity for gNB-initiated COT.</w:t>
      </w:r>
    </w:p>
    <w:p w14:paraId="6BFC9544" w14:textId="77777777" w:rsidR="00D56519" w:rsidRDefault="00D56519" w:rsidP="00D56519">
      <w:pPr>
        <w:spacing w:beforeLines="50" w:before="120" w:after="0"/>
        <w:rPr>
          <w:b/>
          <w:bCs/>
          <w:lang w:eastAsia="ja-JP"/>
        </w:rPr>
      </w:pPr>
      <w:r>
        <w:rPr>
          <w:rFonts w:hint="eastAsia"/>
          <w:b/>
          <w:bCs/>
          <w:lang w:eastAsia="ja-JP"/>
        </w:rPr>
        <w:t>O</w:t>
      </w:r>
      <w:r>
        <w:rPr>
          <w:b/>
          <w:bCs/>
          <w:lang w:eastAsia="ja-JP"/>
        </w:rPr>
        <w:t>bservation 5: The decision on whether t</w:t>
      </w:r>
      <w:r w:rsidRPr="00DC6358">
        <w:rPr>
          <w:b/>
          <w:bCs/>
          <w:lang w:eastAsia="ja-JP"/>
        </w:rPr>
        <w:t>o support RACH transmission to initiate a COT by UE in RRC IDLE/INACTIVE mode could be up to RAN2.</w:t>
      </w:r>
    </w:p>
    <w:p w14:paraId="53F748B0" w14:textId="77777777" w:rsidR="00D56519" w:rsidRDefault="00D56519" w:rsidP="00D56519">
      <w:pPr>
        <w:spacing w:beforeLines="50" w:before="120" w:after="0"/>
        <w:rPr>
          <w:b/>
          <w:bCs/>
          <w:lang w:eastAsia="ja-JP"/>
        </w:rPr>
      </w:pPr>
      <w:r>
        <w:rPr>
          <w:rFonts w:hint="eastAsia"/>
          <w:b/>
          <w:bCs/>
          <w:lang w:eastAsia="ja-JP"/>
        </w:rPr>
        <w:t>O</w:t>
      </w:r>
      <w:r>
        <w:rPr>
          <w:b/>
          <w:bCs/>
          <w:lang w:eastAsia="ja-JP"/>
        </w:rPr>
        <w:t>bservation 6: If UE-initiated COT is supported in IDLE/INACTIVE mode, FFP parameters for UE-initiated COT should be provided to the UE by SIB.</w:t>
      </w:r>
    </w:p>
    <w:p w14:paraId="02BF437C" w14:textId="77777777" w:rsidR="00D56519" w:rsidRDefault="00D56519" w:rsidP="00D56519">
      <w:pPr>
        <w:spacing w:beforeLines="50" w:before="120" w:after="0"/>
        <w:rPr>
          <w:b/>
          <w:bCs/>
          <w:lang w:eastAsia="ja-JP"/>
        </w:rPr>
      </w:pPr>
      <w:r>
        <w:rPr>
          <w:b/>
          <w:bCs/>
          <w:lang w:eastAsia="ja-JP"/>
        </w:rPr>
        <w:t>Proposal 3: A UE can be explicitly indicated by DCI whether or not to initiate a COT in a next FFP associated to the UE.</w:t>
      </w:r>
    </w:p>
    <w:p w14:paraId="70EB0AB8" w14:textId="77777777" w:rsidR="00D56519" w:rsidRDefault="00D56519" w:rsidP="00D56519">
      <w:pPr>
        <w:spacing w:beforeLines="50" w:before="120" w:after="0"/>
        <w:rPr>
          <w:b/>
          <w:bCs/>
          <w:lang w:eastAsia="ja-JP"/>
        </w:rPr>
      </w:pPr>
      <w:r>
        <w:rPr>
          <w:b/>
          <w:bCs/>
          <w:lang w:eastAsia="ja-JP"/>
        </w:rPr>
        <w:t>Proposal 4: No explicit indication to indicate to the gNB that it has initiated a COT in an FFP is necessary.</w:t>
      </w:r>
    </w:p>
    <w:p w14:paraId="1F8B8D26" w14:textId="77777777" w:rsidR="00D56519" w:rsidRDefault="00D56519" w:rsidP="00D56519">
      <w:pPr>
        <w:spacing w:beforeLines="50" w:before="120" w:after="0"/>
        <w:rPr>
          <w:b/>
          <w:bCs/>
          <w:lang w:eastAsia="ja-JP"/>
        </w:rPr>
      </w:pPr>
      <w:r>
        <w:rPr>
          <w:b/>
          <w:bCs/>
          <w:lang w:eastAsia="ja-JP"/>
        </w:rPr>
        <w:t>Proposal 5: W</w:t>
      </w:r>
      <w:r w:rsidRPr="00754BBB">
        <w:rPr>
          <w:b/>
          <w:bCs/>
          <w:lang w:eastAsia="ja-JP"/>
        </w:rPr>
        <w:t>hen configured grant Type 1 or Type 2 are configured on unlicensed spectrum</w:t>
      </w:r>
      <w:r>
        <w:rPr>
          <w:b/>
          <w:bCs/>
          <w:lang w:eastAsia="ja-JP"/>
        </w:rPr>
        <w:t>, it would be useful that at least functions related to autonomous retransmission on CG and COT sharing are separately enabled/disabled by the configuration.</w:t>
      </w:r>
    </w:p>
    <w:p w14:paraId="07E5D753" w14:textId="77777777" w:rsidR="002C6844" w:rsidRPr="00D56519" w:rsidRDefault="002C6844" w:rsidP="00012BBF">
      <w:pPr>
        <w:autoSpaceDE w:val="0"/>
        <w:autoSpaceDN w:val="0"/>
        <w:adjustRightInd w:val="0"/>
        <w:spacing w:after="0"/>
        <w:rPr>
          <w:b/>
          <w:lang w:eastAsia="ja-JP"/>
        </w:rPr>
      </w:pPr>
    </w:p>
    <w:p w14:paraId="4A9D48CA" w14:textId="77777777" w:rsidR="00D34164" w:rsidRDefault="00D34164" w:rsidP="00D34164">
      <w:pPr>
        <w:pStyle w:val="1"/>
        <w:tabs>
          <w:tab w:val="num" w:pos="426"/>
        </w:tabs>
        <w:ind w:left="426" w:hanging="426"/>
        <w:rPr>
          <w:szCs w:val="36"/>
          <w:lang w:eastAsia="ja-JP"/>
        </w:rPr>
      </w:pPr>
      <w:r>
        <w:rPr>
          <w:rFonts w:hint="eastAsia"/>
          <w:szCs w:val="36"/>
          <w:lang w:eastAsia="ja-JP"/>
        </w:rPr>
        <w:t>Reference</w:t>
      </w:r>
    </w:p>
    <w:p w14:paraId="216F9A0B" w14:textId="586E6138" w:rsidR="00BB195D" w:rsidRDefault="00BB195D" w:rsidP="00E91D84">
      <w:pPr>
        <w:spacing w:beforeLines="50" w:before="120" w:after="0"/>
        <w:ind w:left="568" w:hanging="568"/>
        <w:rPr>
          <w:rFonts w:eastAsiaTheme="minorEastAsia"/>
          <w:lang w:eastAsia="ja-JP"/>
        </w:rPr>
      </w:pPr>
      <w:r>
        <w:rPr>
          <w:rFonts w:eastAsiaTheme="minorEastAsia" w:hint="eastAsia"/>
          <w:lang w:eastAsia="ja-JP"/>
        </w:rPr>
        <w:t xml:space="preserve">[1] </w:t>
      </w:r>
      <w:r w:rsidR="00E91D84">
        <w:rPr>
          <w:rFonts w:eastAsiaTheme="minorEastAsia"/>
          <w:lang w:eastAsia="ja-JP"/>
        </w:rPr>
        <w:tab/>
        <w:t>RP-201310, “Revised WID: Enhanced Industrial Internet of Things (IoT) and ultra-reliable and low latency communication (URLLC) support for NR,” Nokia, Nokia Shanghai Bell, RAN#88e.</w:t>
      </w:r>
    </w:p>
    <w:p w14:paraId="16AFA265" w14:textId="206E7CF0" w:rsidR="00E91D84" w:rsidRDefault="0058079F" w:rsidP="0058079F">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2]</w:t>
      </w:r>
      <w:r>
        <w:rPr>
          <w:rFonts w:eastAsiaTheme="minorEastAsia"/>
          <w:lang w:eastAsia="ja-JP"/>
        </w:rPr>
        <w:tab/>
      </w:r>
      <w:r w:rsidR="00DC6358">
        <w:rPr>
          <w:rFonts w:eastAsiaTheme="minorEastAsia"/>
          <w:lang w:eastAsia="ja-JP"/>
        </w:rPr>
        <w:t xml:space="preserve">R1-2007391, “Summary#5 on enhancements for unlicensed band URLLC/IIoT for R17,” </w:t>
      </w:r>
      <w:r w:rsidR="008A221D">
        <w:rPr>
          <w:rFonts w:eastAsiaTheme="minorEastAsia"/>
          <w:lang w:eastAsia="ja-JP"/>
        </w:rPr>
        <w:t>Moderator (Ericsson), RAN1#102e.</w:t>
      </w:r>
    </w:p>
    <w:p w14:paraId="49BBBFA8" w14:textId="7011D0ED" w:rsidR="00A420A3" w:rsidRDefault="00A420A3" w:rsidP="0058079F">
      <w:pPr>
        <w:spacing w:beforeLines="50" w:before="120" w:after="0"/>
        <w:ind w:left="568" w:hanging="568"/>
        <w:rPr>
          <w:rFonts w:eastAsiaTheme="minorEastAsia"/>
          <w:lang w:eastAsia="ja-JP"/>
        </w:rPr>
      </w:pPr>
      <w:r>
        <w:rPr>
          <w:rFonts w:eastAsiaTheme="minorEastAsia" w:hint="eastAsia"/>
          <w:lang w:eastAsia="ja-JP"/>
        </w:rPr>
        <w:t>[</w:t>
      </w:r>
      <w:r>
        <w:rPr>
          <w:rFonts w:eastAsiaTheme="minorEastAsia"/>
          <w:lang w:eastAsia="ja-JP"/>
        </w:rPr>
        <w:t>3]</w:t>
      </w:r>
      <w:r>
        <w:rPr>
          <w:rFonts w:eastAsiaTheme="minorEastAsia"/>
          <w:lang w:eastAsia="ja-JP"/>
        </w:rPr>
        <w:tab/>
      </w:r>
      <w:r>
        <w:rPr>
          <w:rFonts w:eastAsiaTheme="minorEastAsia"/>
        </w:rPr>
        <w:t>R1-2005376, “Enhancements for unlicensed band URLLC/IIoT,” vivo, RAN1#102e.</w:t>
      </w:r>
    </w:p>
    <w:p w14:paraId="0CFD81F6" w14:textId="3CA03641" w:rsidR="009C1B33" w:rsidRDefault="009C1B33" w:rsidP="009C1B33">
      <w:pPr>
        <w:pStyle w:val="1"/>
        <w:numPr>
          <w:ilvl w:val="0"/>
          <w:numId w:val="0"/>
        </w:numPr>
        <w:rPr>
          <w:szCs w:val="36"/>
          <w:lang w:eastAsia="ja-JP"/>
        </w:rPr>
      </w:pPr>
      <w:r>
        <w:rPr>
          <w:szCs w:val="36"/>
          <w:lang w:eastAsia="ja-JP"/>
        </w:rPr>
        <w:t>Appendix: Agreements in the previous meetings</w:t>
      </w:r>
    </w:p>
    <w:p w14:paraId="7125C490" w14:textId="6B3FAD24" w:rsidR="009C1B33" w:rsidRPr="009C1B33" w:rsidRDefault="009C1B33" w:rsidP="009C1B33">
      <w:pPr>
        <w:spacing w:beforeLines="50" w:before="120" w:afterLines="50" w:after="120"/>
        <w:ind w:left="568" w:hanging="568"/>
        <w:rPr>
          <w:rFonts w:eastAsiaTheme="minorEastAsia"/>
          <w:u w:val="single"/>
          <w:lang w:eastAsia="ja-JP"/>
        </w:rPr>
      </w:pPr>
      <w:r w:rsidRPr="009C1B33">
        <w:rPr>
          <w:rFonts w:eastAsiaTheme="minorEastAsia" w:hint="eastAsia"/>
          <w:u w:val="single"/>
          <w:lang w:eastAsia="ja-JP"/>
        </w:rPr>
        <w:t>R</w:t>
      </w:r>
      <w:r w:rsidRPr="009C1B33">
        <w:rPr>
          <w:rFonts w:eastAsiaTheme="minorEastAsia"/>
          <w:u w:val="single"/>
          <w:lang w:eastAsia="ja-JP"/>
        </w:rPr>
        <w:t>AN1#102e</w:t>
      </w:r>
    </w:p>
    <w:p w14:paraId="06A80C52" w14:textId="30862FE9" w:rsidR="00845984" w:rsidRDefault="00845984" w:rsidP="00845984">
      <w:pPr>
        <w:pStyle w:val="Agreements"/>
      </w:pPr>
      <w:r>
        <w:rPr>
          <w:highlight w:val="green"/>
        </w:rPr>
        <w:t>Agreement:</w:t>
      </w:r>
    </w:p>
    <w:p w14:paraId="77ED6AB8" w14:textId="77777777" w:rsidR="00845984" w:rsidRDefault="00845984" w:rsidP="00845984">
      <w:pPr>
        <w:pStyle w:val="aff1"/>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6A24193D"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I</w:t>
      </w:r>
      <w:r>
        <w:rPr>
          <w:rFonts w:eastAsiaTheme="minorEastAsia"/>
        </w:rPr>
        <w:t>f sensing is needed, it is performed immediately before the configured / scheduled transmission opportunity.</w:t>
      </w:r>
    </w:p>
    <w:p w14:paraId="05E937DE"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or operation with semi-static channel access, the Rel.16 random starting offsets for UL configured grants with full bandwidth allocation when UE initiates a COT, is not supported.</w:t>
      </w:r>
    </w:p>
    <w:p w14:paraId="5F10F90B" w14:textId="77777777" w:rsidR="00845984" w:rsidRDefault="00845984" w:rsidP="00845984">
      <w:pPr>
        <w:spacing w:after="0"/>
        <w:rPr>
          <w:rFonts w:eastAsiaTheme="minorEastAsia"/>
        </w:rPr>
      </w:pPr>
    </w:p>
    <w:p w14:paraId="292EFA15" w14:textId="26E8D816" w:rsidR="00845984" w:rsidRDefault="00845984" w:rsidP="00845984">
      <w:pPr>
        <w:pStyle w:val="Agreements"/>
      </w:pPr>
      <w:r>
        <w:rPr>
          <w:highlight w:val="green"/>
        </w:rPr>
        <w:t>Agreement:</w:t>
      </w:r>
    </w:p>
    <w:p w14:paraId="0A3CBE5D" w14:textId="77777777" w:rsidR="00845984" w:rsidRDefault="00845984" w:rsidP="00845984">
      <w:pPr>
        <w:pStyle w:val="aff1"/>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575FBB3E"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gNB operates as an initiating device</w:t>
      </w:r>
    </w:p>
    <w:p w14:paraId="0E9F21FA" w14:textId="77777777" w:rsidR="00845984" w:rsidRDefault="00845984" w:rsidP="00845984">
      <w:pPr>
        <w:pStyle w:val="aff1"/>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any FFP associated with the gNB in which the gNB initiates a COT.</w:t>
      </w:r>
    </w:p>
    <w:p w14:paraId="09E72F3E"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operates as an initiating device</w:t>
      </w:r>
    </w:p>
    <w:p w14:paraId="050C1294" w14:textId="77777777" w:rsidR="00845984" w:rsidRDefault="00845984" w:rsidP="00845984">
      <w:pPr>
        <w:pStyle w:val="aff1"/>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any FFP associated with the UE in which the UE initiates a COT.</w:t>
      </w:r>
    </w:p>
    <w:p w14:paraId="3B315BF5"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a UE shares a COT initiated by the gNB during an FFP associated with the gNB</w:t>
      </w:r>
    </w:p>
    <w:p w14:paraId="6FA19593" w14:textId="77777777" w:rsidR="00845984" w:rsidRDefault="00845984" w:rsidP="00845984">
      <w:pPr>
        <w:pStyle w:val="aff1"/>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UE is not allowed to transmit during the idle period of that FFP in which the UE shares the COT initiated by the gNB.</w:t>
      </w:r>
    </w:p>
    <w:p w14:paraId="24F424DC"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shares a COT initiated by a UE during an FFP associated with the UE</w:t>
      </w:r>
    </w:p>
    <w:p w14:paraId="4536DA86" w14:textId="77777777" w:rsidR="00845984" w:rsidRDefault="00845984" w:rsidP="00845984">
      <w:pPr>
        <w:pStyle w:val="aff1"/>
        <w:widowControl w:val="0"/>
        <w:numPr>
          <w:ilvl w:val="2"/>
          <w:numId w:val="16"/>
        </w:numPr>
        <w:snapToGrid w:val="0"/>
        <w:spacing w:after="0"/>
        <w:ind w:leftChars="0"/>
        <w:jc w:val="both"/>
        <w:rPr>
          <w:rFonts w:eastAsiaTheme="minorEastAsia"/>
        </w:rPr>
      </w:pPr>
      <w:r>
        <w:rPr>
          <w:rFonts w:eastAsiaTheme="minorEastAsia" w:hint="eastAsia"/>
        </w:rPr>
        <w:t>T</w:t>
      </w:r>
      <w:r>
        <w:rPr>
          <w:rFonts w:eastAsiaTheme="minorEastAsia"/>
        </w:rPr>
        <w:t>he gNB is not allowed to transmit during the idle period of that FFP in which the gNB shares the COT initiated by the UE.</w:t>
      </w:r>
    </w:p>
    <w:p w14:paraId="646A0EE9"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Whether/how to support additional restrictions to the idle period</w:t>
      </w:r>
    </w:p>
    <w:p w14:paraId="53CADE61" w14:textId="77777777" w:rsidR="00845984" w:rsidRDefault="00845984" w:rsidP="00845984">
      <w:pPr>
        <w:spacing w:after="0"/>
        <w:rPr>
          <w:rFonts w:eastAsiaTheme="minorEastAsia"/>
        </w:rPr>
      </w:pPr>
    </w:p>
    <w:p w14:paraId="28C211FF" w14:textId="4DB680AF" w:rsidR="00845984" w:rsidRDefault="00845984" w:rsidP="00845984">
      <w:pPr>
        <w:pStyle w:val="Agreements"/>
      </w:pPr>
      <w:r>
        <w:rPr>
          <w:highlight w:val="green"/>
        </w:rPr>
        <w:t>Agreement:</w:t>
      </w:r>
    </w:p>
    <w:p w14:paraId="3839268C" w14:textId="77777777" w:rsidR="00845984" w:rsidRDefault="00845984" w:rsidP="00845984">
      <w:pPr>
        <w:pStyle w:val="aff1"/>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 xml:space="preserve">or semi-static channel access mode, support using the transmission of any scheduled / configured UL channel </w:t>
      </w:r>
      <w:r>
        <w:rPr>
          <w:rFonts w:eastAsiaTheme="minorEastAsia"/>
        </w:rPr>
        <w:lastRenderedPageBreak/>
        <w:t>/ signal to initiate a COT by a UE in RRC CONNECTED mode.</w:t>
      </w:r>
    </w:p>
    <w:p w14:paraId="0388AA92"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The case when the UE is IDLE / INACTIVE mode</w:t>
      </w:r>
    </w:p>
    <w:p w14:paraId="2D04511F" w14:textId="77777777" w:rsidR="00845984" w:rsidRDefault="00845984" w:rsidP="00845984">
      <w:pPr>
        <w:spacing w:after="0"/>
        <w:rPr>
          <w:rFonts w:eastAsiaTheme="minorEastAsia"/>
        </w:rPr>
      </w:pPr>
    </w:p>
    <w:p w14:paraId="19A8E0F0" w14:textId="6D73985B" w:rsidR="00845984" w:rsidRDefault="00845984" w:rsidP="00845984">
      <w:pPr>
        <w:pStyle w:val="Agreements"/>
      </w:pPr>
      <w:r>
        <w:rPr>
          <w:highlight w:val="green"/>
        </w:rPr>
        <w:t>Agreement:</w:t>
      </w:r>
    </w:p>
    <w:p w14:paraId="7ECA2662" w14:textId="77777777" w:rsidR="00845984" w:rsidRDefault="00845984" w:rsidP="00845984">
      <w:pPr>
        <w:pStyle w:val="aff1"/>
        <w:widowControl w:val="0"/>
        <w:numPr>
          <w:ilvl w:val="0"/>
          <w:numId w:val="16"/>
        </w:numPr>
        <w:snapToGrid w:val="0"/>
        <w:spacing w:after="0"/>
        <w:ind w:leftChars="0"/>
        <w:jc w:val="both"/>
        <w:rPr>
          <w:rFonts w:eastAsiaTheme="minorEastAsia"/>
        </w:rPr>
      </w:pPr>
      <w:r>
        <w:rPr>
          <w:rFonts w:eastAsiaTheme="minorEastAsia" w:hint="eastAsia"/>
        </w:rPr>
        <w:t>A</w:t>
      </w:r>
      <w:r>
        <w:rPr>
          <w:rFonts w:eastAsiaTheme="minorEastAsia"/>
        </w:rPr>
        <w:t xml:space="preserve"> UE initiates a COT in an FFP associated with the UE, if the UE transmits a UL transmission burst starting at the beginning of the FFP and ending at any symbol before the FFP’s idle period after a successful CCA of 9 us immediately before the UL transmission burst.</w:t>
      </w:r>
    </w:p>
    <w:p w14:paraId="2C2F7D95" w14:textId="77777777" w:rsidR="00845984" w:rsidRPr="00845984" w:rsidRDefault="00845984" w:rsidP="00845984">
      <w:pPr>
        <w:spacing w:after="0"/>
        <w:rPr>
          <w:rFonts w:eastAsiaTheme="minorEastAsia"/>
        </w:rPr>
      </w:pPr>
    </w:p>
    <w:p w14:paraId="34F179E6" w14:textId="06A8D2A6" w:rsidR="00845984" w:rsidRDefault="00845984" w:rsidP="00845984">
      <w:pPr>
        <w:pStyle w:val="Agreements"/>
      </w:pPr>
      <w:r>
        <w:rPr>
          <w:highlight w:val="green"/>
        </w:rPr>
        <w:t>Agreement:</w:t>
      </w:r>
    </w:p>
    <w:p w14:paraId="2EDE2BF2" w14:textId="77777777" w:rsidR="00845984" w:rsidRDefault="00845984" w:rsidP="00845984">
      <w:pPr>
        <w:pStyle w:val="aff1"/>
        <w:widowControl w:val="0"/>
        <w:numPr>
          <w:ilvl w:val="0"/>
          <w:numId w:val="16"/>
        </w:numPr>
        <w:snapToGrid w:val="0"/>
        <w:spacing w:after="0"/>
        <w:ind w:leftChars="0"/>
        <w:jc w:val="both"/>
        <w:rPr>
          <w:rFonts w:eastAsiaTheme="minorEastAsia"/>
        </w:rPr>
      </w:pPr>
      <w:r>
        <w:rPr>
          <w:rFonts w:eastAsiaTheme="minorEastAsia" w:hint="eastAsia"/>
        </w:rPr>
        <w:t>C</w:t>
      </w:r>
      <w:r>
        <w:rPr>
          <w:rFonts w:eastAsiaTheme="minorEastAsia"/>
        </w:rPr>
        <w:t>onditions on the channel access procedures with respect to sensing during and transmission gap for UE-initiated COT with UE-to-gNB COT sharing is similar as those for gNB initiated COT and gNB-to-UE COT sharing in Rel.16 by exchanging UE and gNB roles.</w:t>
      </w:r>
    </w:p>
    <w:p w14:paraId="1C48B005" w14:textId="77777777" w:rsidR="00845984" w:rsidRPr="00845984" w:rsidRDefault="00845984" w:rsidP="00845984">
      <w:pPr>
        <w:spacing w:after="0"/>
        <w:rPr>
          <w:rFonts w:eastAsiaTheme="minorEastAsia"/>
        </w:rPr>
      </w:pPr>
    </w:p>
    <w:p w14:paraId="2B955FC6" w14:textId="7CCCF6CF" w:rsidR="00845984" w:rsidRDefault="00845984" w:rsidP="00845984">
      <w:pPr>
        <w:pStyle w:val="Agreements"/>
      </w:pPr>
      <w:r>
        <w:rPr>
          <w:highlight w:val="green"/>
        </w:rPr>
        <w:t>Agreement:</w:t>
      </w:r>
    </w:p>
    <w:p w14:paraId="1C87EC00" w14:textId="77777777" w:rsidR="00845984" w:rsidRDefault="00845984" w:rsidP="00845984">
      <w:pPr>
        <w:pStyle w:val="aff1"/>
        <w:widowControl w:val="0"/>
        <w:numPr>
          <w:ilvl w:val="0"/>
          <w:numId w:val="16"/>
        </w:numPr>
        <w:snapToGrid w:val="0"/>
        <w:spacing w:after="0"/>
        <w:ind w:leftChars="0"/>
        <w:jc w:val="both"/>
        <w:rPr>
          <w:rFonts w:eastAsiaTheme="minorEastAsia"/>
        </w:rPr>
      </w:pPr>
      <w:r>
        <w:rPr>
          <w:rFonts w:eastAsiaTheme="minorEastAsia" w:hint="eastAsia"/>
        </w:rPr>
        <w:t>U</w:t>
      </w:r>
      <w:r>
        <w:rPr>
          <w:rFonts w:eastAsiaTheme="minorEastAsia"/>
        </w:rPr>
        <w:t>E-to-gNB COT sharing in semi-static channel access mode is supported.</w:t>
      </w:r>
    </w:p>
    <w:p w14:paraId="257570E7"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T</w:t>
      </w:r>
      <w:r>
        <w:rPr>
          <w:rFonts w:eastAsiaTheme="minorEastAsia"/>
        </w:rPr>
        <w:t>he gNB determines a COT in an FFP associated to a UE, that is initiated by the UE, if the gNB detects a UE transmission from the UE starting from the beginning of the FFP and ending before the idle period of the FFP.</w:t>
      </w:r>
    </w:p>
    <w:p w14:paraId="25790A89" w14:textId="77777777" w:rsidR="00845984" w:rsidRDefault="00845984" w:rsidP="00845984">
      <w:pPr>
        <w:pStyle w:val="aff1"/>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Details</w:t>
      </w:r>
    </w:p>
    <w:p w14:paraId="2F960196"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W</w:t>
      </w:r>
      <w:r>
        <w:rPr>
          <w:rFonts w:eastAsiaTheme="minorEastAsia"/>
        </w:rPr>
        <w:t>hen the gNB determines a UE has initiated a COT in an FFP associated to the UE, the gNB can transmit within the FFP and before the idle period corresponding to the FFP.</w:t>
      </w:r>
    </w:p>
    <w:p w14:paraId="28C7ACD6" w14:textId="77777777" w:rsidR="00845984" w:rsidRDefault="00845984" w:rsidP="00845984">
      <w:pPr>
        <w:pStyle w:val="aff1"/>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Whether/how UE to gNB COT sharing when the gap is &gt;16 us.</w:t>
      </w:r>
    </w:p>
    <w:p w14:paraId="0F3E6350" w14:textId="77777777" w:rsidR="00845984" w:rsidRDefault="00845984" w:rsidP="00845984">
      <w:pPr>
        <w:spacing w:after="0"/>
        <w:rPr>
          <w:rFonts w:eastAsiaTheme="minorEastAsia"/>
        </w:rPr>
      </w:pPr>
    </w:p>
    <w:p w14:paraId="6774B82C" w14:textId="5E2551B8" w:rsidR="00845984" w:rsidRDefault="00845984" w:rsidP="00845984">
      <w:pPr>
        <w:pStyle w:val="Agreements"/>
      </w:pPr>
      <w:r>
        <w:rPr>
          <w:highlight w:val="green"/>
        </w:rPr>
        <w:t>Agreement:</w:t>
      </w:r>
    </w:p>
    <w:p w14:paraId="03CA4E19" w14:textId="77777777" w:rsidR="00845984" w:rsidRDefault="00845984" w:rsidP="00845984">
      <w:pPr>
        <w:pStyle w:val="aff1"/>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322CDF5"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S</w:t>
      </w:r>
      <w:r>
        <w:rPr>
          <w:rFonts w:eastAsiaTheme="minorEastAsia"/>
        </w:rPr>
        <w:t>tart of FFP for UE-initiated COT can be different from the start of FFP for gNB-initiated COT.</w:t>
      </w:r>
    </w:p>
    <w:p w14:paraId="6943DE4F"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FFP periodicity for UE-initiated COT can be different from the FFP periodicity for gNB-initiated COT</w:t>
      </w:r>
    </w:p>
    <w:p w14:paraId="6BB46047" w14:textId="77777777" w:rsidR="00845984" w:rsidRDefault="00845984" w:rsidP="00845984">
      <w:pPr>
        <w:spacing w:after="0"/>
        <w:rPr>
          <w:rFonts w:eastAsiaTheme="minorEastAsia"/>
        </w:rPr>
      </w:pPr>
    </w:p>
    <w:p w14:paraId="01DE8400" w14:textId="58BCD6AF" w:rsidR="00845984" w:rsidRDefault="00845984" w:rsidP="00845984">
      <w:pPr>
        <w:pStyle w:val="Agreements"/>
      </w:pPr>
      <w:r>
        <w:rPr>
          <w:highlight w:val="green"/>
        </w:rPr>
        <w:t>Agreement:</w:t>
      </w:r>
    </w:p>
    <w:p w14:paraId="507A9F62" w14:textId="77777777" w:rsidR="00845984" w:rsidRDefault="00845984" w:rsidP="00845984">
      <w:pPr>
        <w:pStyle w:val="aff1"/>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or semi-static channel access mode</w:t>
      </w:r>
    </w:p>
    <w:p w14:paraId="0B4152F7" w14:textId="77777777" w:rsidR="00845984"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FP parameters for UE-initiated COT can be provided to the UE by at least dedicated RRC signaling.</w:t>
      </w:r>
    </w:p>
    <w:p w14:paraId="64188879" w14:textId="77777777" w:rsidR="00845984" w:rsidRDefault="00845984" w:rsidP="00845984">
      <w:pPr>
        <w:pStyle w:val="aff1"/>
        <w:widowControl w:val="0"/>
        <w:numPr>
          <w:ilvl w:val="2"/>
          <w:numId w:val="16"/>
        </w:numPr>
        <w:snapToGrid w:val="0"/>
        <w:spacing w:after="0"/>
        <w:ind w:leftChars="0"/>
        <w:jc w:val="both"/>
        <w:rPr>
          <w:rFonts w:eastAsiaTheme="minorEastAsia"/>
        </w:rPr>
      </w:pPr>
      <w:r>
        <w:rPr>
          <w:rFonts w:eastAsiaTheme="minorEastAsia" w:hint="eastAsia"/>
        </w:rPr>
        <w:t>F</w:t>
      </w:r>
      <w:r>
        <w:rPr>
          <w:rFonts w:eastAsiaTheme="minorEastAsia"/>
        </w:rPr>
        <w:t>FS on to be provided by SIB1</w:t>
      </w:r>
    </w:p>
    <w:p w14:paraId="1C387362" w14:textId="77777777" w:rsidR="00845984" w:rsidRPr="00DE157B" w:rsidRDefault="00845984" w:rsidP="00845984">
      <w:pPr>
        <w:pStyle w:val="aff1"/>
        <w:widowControl w:val="0"/>
        <w:numPr>
          <w:ilvl w:val="1"/>
          <w:numId w:val="16"/>
        </w:numPr>
        <w:snapToGrid w:val="0"/>
        <w:spacing w:after="0"/>
        <w:ind w:leftChars="0"/>
        <w:jc w:val="both"/>
        <w:rPr>
          <w:rFonts w:eastAsiaTheme="minorEastAsia"/>
        </w:rPr>
      </w:pPr>
      <w:r>
        <w:rPr>
          <w:rFonts w:eastAsiaTheme="minorEastAsia" w:hint="eastAsia"/>
        </w:rPr>
        <w:t>F</w:t>
      </w:r>
      <w:r>
        <w:rPr>
          <w:rFonts w:eastAsiaTheme="minorEastAsia"/>
        </w:rPr>
        <w:t>FS whether the UE FFP periodicity is explicitly configured, or implicitly determined based on other higher layer parameters</w:t>
      </w:r>
    </w:p>
    <w:p w14:paraId="30383228" w14:textId="7668ADDF" w:rsidR="009C1B33" w:rsidRDefault="009C1B33" w:rsidP="00845984">
      <w:pPr>
        <w:spacing w:after="0"/>
        <w:ind w:left="568" w:hanging="568"/>
        <w:rPr>
          <w:rFonts w:eastAsiaTheme="minorEastAsia"/>
          <w:lang w:eastAsia="ja-JP"/>
        </w:rPr>
      </w:pPr>
    </w:p>
    <w:p w14:paraId="2DBD71C5" w14:textId="5F84E56B" w:rsidR="00845984" w:rsidRDefault="00845984" w:rsidP="00845984">
      <w:pPr>
        <w:pStyle w:val="Agreements"/>
      </w:pPr>
      <w:r>
        <w:rPr>
          <w:highlight w:val="green"/>
        </w:rPr>
        <w:t>Agreement:</w:t>
      </w:r>
    </w:p>
    <w:p w14:paraId="57C255DA" w14:textId="77777777" w:rsidR="00845984" w:rsidRDefault="00845984" w:rsidP="00845984">
      <w:pPr>
        <w:pStyle w:val="aff1"/>
        <w:widowControl w:val="0"/>
        <w:numPr>
          <w:ilvl w:val="0"/>
          <w:numId w:val="16"/>
        </w:numPr>
        <w:snapToGrid w:val="0"/>
        <w:spacing w:after="0"/>
        <w:ind w:leftChars="0"/>
        <w:jc w:val="both"/>
        <w:rPr>
          <w:rFonts w:eastAsiaTheme="minorEastAsia"/>
        </w:rPr>
      </w:pPr>
      <w:r>
        <w:rPr>
          <w:rFonts w:eastAsiaTheme="minorEastAsia" w:hint="eastAsia"/>
        </w:rPr>
        <w:t>A</w:t>
      </w:r>
      <w:r>
        <w:rPr>
          <w:rFonts w:eastAsiaTheme="minorEastAsia"/>
        </w:rPr>
        <w:t>t least for FBE, configuration of (</w:t>
      </w:r>
      <w:r w:rsidRPr="00DE157B">
        <w:rPr>
          <w:rFonts w:eastAsiaTheme="minorEastAsia"/>
          <w:i/>
          <w:iCs/>
        </w:rPr>
        <w:t>cg-RetransmissionTimer</w:t>
      </w:r>
      <w:r>
        <w:rPr>
          <w:rFonts w:eastAsiaTheme="minorEastAsia"/>
        </w:rPr>
        <w:t>) should not be mandated when configured grant Type 1 or Type 2 are configured on unlicensed spectrum.</w:t>
      </w:r>
    </w:p>
    <w:p w14:paraId="55646A61" w14:textId="77777777" w:rsidR="00845984" w:rsidRPr="00845984" w:rsidRDefault="00845984" w:rsidP="00845984">
      <w:pPr>
        <w:spacing w:after="0"/>
        <w:rPr>
          <w:rFonts w:eastAsiaTheme="minorEastAsia"/>
        </w:rPr>
      </w:pPr>
    </w:p>
    <w:p w14:paraId="0851F172" w14:textId="08621EA7" w:rsidR="00845984" w:rsidRDefault="00845984" w:rsidP="00845984">
      <w:pPr>
        <w:pStyle w:val="Agreements"/>
      </w:pPr>
      <w:r>
        <w:t>Conclusion:</w:t>
      </w:r>
    </w:p>
    <w:p w14:paraId="4AA84C99" w14:textId="77777777" w:rsidR="00845984" w:rsidRDefault="00845984" w:rsidP="00845984">
      <w:pPr>
        <w:pStyle w:val="aff1"/>
        <w:widowControl w:val="0"/>
        <w:numPr>
          <w:ilvl w:val="0"/>
          <w:numId w:val="16"/>
        </w:numPr>
        <w:snapToGrid w:val="0"/>
        <w:spacing w:after="0"/>
        <w:ind w:leftChars="0"/>
        <w:jc w:val="both"/>
        <w:rPr>
          <w:rFonts w:eastAsiaTheme="minorEastAsia"/>
        </w:rPr>
      </w:pPr>
      <w:r>
        <w:rPr>
          <w:rFonts w:eastAsiaTheme="minorEastAsia" w:hint="eastAsia"/>
        </w:rPr>
        <w:t>F</w:t>
      </w:r>
      <w:r>
        <w:rPr>
          <w:rFonts w:eastAsiaTheme="minorEastAsia"/>
        </w:rPr>
        <w:t>urther study and decide how to harmonize the CG features for Rel.16 URLLC and Rel.16 NR-U. Table 1 in R1-2005376 can be used as a starting point for the corresponding discussion and decision.</w:t>
      </w:r>
    </w:p>
    <w:p w14:paraId="28E3298B" w14:textId="77777777" w:rsidR="00845984" w:rsidRPr="00845984" w:rsidRDefault="00845984" w:rsidP="0058079F">
      <w:pPr>
        <w:spacing w:beforeLines="50" w:before="120" w:after="0"/>
        <w:ind w:left="568" w:hanging="568"/>
        <w:rPr>
          <w:rFonts w:eastAsiaTheme="minorEastAsia"/>
          <w:lang w:eastAsia="ja-JP"/>
        </w:rPr>
      </w:pPr>
    </w:p>
    <w:sectPr w:rsidR="00845984" w:rsidRPr="00845984">
      <w:footerReference w:type="even" r:id="rId14"/>
      <w:footerReference w:type="default" r:id="rId15"/>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FC8C88D" w14:textId="77777777" w:rsidR="00163374" w:rsidRDefault="00163374">
      <w:r>
        <w:separator/>
      </w:r>
    </w:p>
  </w:endnote>
  <w:endnote w:type="continuationSeparator" w:id="0">
    <w:p w14:paraId="4003C8EE" w14:textId="77777777" w:rsidR="00163374" w:rsidRDefault="00163374">
      <w:r>
        <w:continuationSeparator/>
      </w:r>
    </w:p>
  </w:endnote>
  <w:endnote w:type="continuationNotice" w:id="1">
    <w:p w14:paraId="71C89BFB" w14:textId="77777777" w:rsidR="00163374" w:rsidRDefault="001633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modern"/>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B3BEED" w14:textId="77777777"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935659" w:rsidRDefault="00935659">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821A2" w14:textId="3F8C711D" w:rsidR="00935659" w:rsidRDefault="00935659">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935659" w:rsidRDefault="00935659">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53F7B" w14:textId="77777777" w:rsidR="00163374" w:rsidRDefault="00163374">
      <w:r>
        <w:separator/>
      </w:r>
    </w:p>
  </w:footnote>
  <w:footnote w:type="continuationSeparator" w:id="0">
    <w:p w14:paraId="32D5FD89" w14:textId="77777777" w:rsidR="00163374" w:rsidRDefault="00163374">
      <w:r>
        <w:continuationSeparator/>
      </w:r>
    </w:p>
  </w:footnote>
  <w:footnote w:type="continuationNotice" w:id="1">
    <w:p w14:paraId="13E72F4E" w14:textId="77777777" w:rsidR="00163374" w:rsidRDefault="0016337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15D11"/>
    <w:multiLevelType w:val="hybridMultilevel"/>
    <w:tmpl w:val="B69C151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CD15100"/>
    <w:multiLevelType w:val="hybridMultilevel"/>
    <w:tmpl w:val="43AC70FE"/>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798519A"/>
    <w:multiLevelType w:val="hybridMultilevel"/>
    <w:tmpl w:val="6DF839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29F13ED2"/>
    <w:multiLevelType w:val="hybridMultilevel"/>
    <w:tmpl w:val="953237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D9C6E1C"/>
    <w:multiLevelType w:val="hybridMultilevel"/>
    <w:tmpl w:val="13A63C2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35FA73C5"/>
    <w:multiLevelType w:val="hybridMultilevel"/>
    <w:tmpl w:val="54524038"/>
    <w:lvl w:ilvl="0" w:tplc="04090001">
      <w:start w:val="1"/>
      <w:numFmt w:val="bullet"/>
      <w:lvlText w:val=""/>
      <w:lvlJc w:val="left"/>
      <w:pPr>
        <w:ind w:left="705" w:hanging="420"/>
      </w:pPr>
      <w:rPr>
        <w:rFonts w:ascii="Wingdings" w:hAnsi="Wingdings" w:hint="default"/>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0" w15:restartNumberingAfterBreak="0">
    <w:nsid w:val="553A4CB0"/>
    <w:multiLevelType w:val="hybridMultilevel"/>
    <w:tmpl w:val="A85E8B36"/>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1" w15:restartNumberingAfterBreak="0">
    <w:nsid w:val="555E2EE8"/>
    <w:multiLevelType w:val="hybridMultilevel"/>
    <w:tmpl w:val="51708CB0"/>
    <w:lvl w:ilvl="0" w:tplc="04090001">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2" w15:restartNumberingAfterBreak="0">
    <w:nsid w:val="6A451FCD"/>
    <w:multiLevelType w:val="hybridMultilevel"/>
    <w:tmpl w:val="69009B0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4"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5"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1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7" w15:restartNumberingAfterBreak="0">
    <w:nsid w:val="7E13732F"/>
    <w:multiLevelType w:val="multilevel"/>
    <w:tmpl w:val="247C2C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16"/>
  </w:num>
  <w:num w:numId="3">
    <w:abstractNumId w:val="6"/>
  </w:num>
  <w:num w:numId="4">
    <w:abstractNumId w:val="13"/>
  </w:num>
  <w:num w:numId="5">
    <w:abstractNumId w:val="8"/>
  </w:num>
  <w:num w:numId="6">
    <w:abstractNumId w:val="9"/>
  </w:num>
  <w:num w:numId="7">
    <w:abstractNumId w:val="7"/>
  </w:num>
  <w:num w:numId="8">
    <w:abstractNumId w:val="15"/>
  </w:num>
  <w:num w:numId="9">
    <w:abstractNumId w:val="10"/>
  </w:num>
  <w:num w:numId="10">
    <w:abstractNumId w:val="1"/>
  </w:num>
  <w:num w:numId="11">
    <w:abstractNumId w:val="0"/>
  </w:num>
  <w:num w:numId="12">
    <w:abstractNumId w:val="12"/>
  </w:num>
  <w:num w:numId="13">
    <w:abstractNumId w:val="2"/>
  </w:num>
  <w:num w:numId="14">
    <w:abstractNumId w:val="3"/>
  </w:num>
  <w:num w:numId="15">
    <w:abstractNumId w:val="4"/>
  </w:num>
  <w:num w:numId="16">
    <w:abstractNumId w:val="11"/>
  </w:num>
  <w:num w:numId="17">
    <w:abstractNumId w:val="17"/>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629"/>
    <w:rsid w:val="00000835"/>
    <w:rsid w:val="000023A0"/>
    <w:rsid w:val="00002485"/>
    <w:rsid w:val="000027C3"/>
    <w:rsid w:val="00002F0F"/>
    <w:rsid w:val="0000305B"/>
    <w:rsid w:val="000032D0"/>
    <w:rsid w:val="0000399C"/>
    <w:rsid w:val="00003A8F"/>
    <w:rsid w:val="00003BCD"/>
    <w:rsid w:val="00003F5E"/>
    <w:rsid w:val="00004B1D"/>
    <w:rsid w:val="0000549C"/>
    <w:rsid w:val="000054F7"/>
    <w:rsid w:val="00005BA8"/>
    <w:rsid w:val="00006F07"/>
    <w:rsid w:val="000071A7"/>
    <w:rsid w:val="00007483"/>
    <w:rsid w:val="00010801"/>
    <w:rsid w:val="00010D68"/>
    <w:rsid w:val="00010D87"/>
    <w:rsid w:val="0001175D"/>
    <w:rsid w:val="00011D9F"/>
    <w:rsid w:val="00011F63"/>
    <w:rsid w:val="00012BBF"/>
    <w:rsid w:val="000134B4"/>
    <w:rsid w:val="00013795"/>
    <w:rsid w:val="00013B0D"/>
    <w:rsid w:val="00013CE7"/>
    <w:rsid w:val="00013E6F"/>
    <w:rsid w:val="000140D4"/>
    <w:rsid w:val="0001480E"/>
    <w:rsid w:val="000150E7"/>
    <w:rsid w:val="00015BBE"/>
    <w:rsid w:val="000168A4"/>
    <w:rsid w:val="0001728A"/>
    <w:rsid w:val="00017972"/>
    <w:rsid w:val="00020033"/>
    <w:rsid w:val="00020117"/>
    <w:rsid w:val="000201FC"/>
    <w:rsid w:val="00020386"/>
    <w:rsid w:val="000206CA"/>
    <w:rsid w:val="00020753"/>
    <w:rsid w:val="00020A07"/>
    <w:rsid w:val="00020B75"/>
    <w:rsid w:val="00020EA3"/>
    <w:rsid w:val="000215FD"/>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B2D"/>
    <w:rsid w:val="00026FA3"/>
    <w:rsid w:val="00027163"/>
    <w:rsid w:val="0003061E"/>
    <w:rsid w:val="00030737"/>
    <w:rsid w:val="000308A1"/>
    <w:rsid w:val="00031400"/>
    <w:rsid w:val="00031E0C"/>
    <w:rsid w:val="00032060"/>
    <w:rsid w:val="00032486"/>
    <w:rsid w:val="0003260D"/>
    <w:rsid w:val="000331C6"/>
    <w:rsid w:val="000332CA"/>
    <w:rsid w:val="000334FE"/>
    <w:rsid w:val="0003374C"/>
    <w:rsid w:val="00033C8D"/>
    <w:rsid w:val="00034302"/>
    <w:rsid w:val="00034C07"/>
    <w:rsid w:val="0003542D"/>
    <w:rsid w:val="00035574"/>
    <w:rsid w:val="00035C7D"/>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42A5"/>
    <w:rsid w:val="00044798"/>
    <w:rsid w:val="0004510F"/>
    <w:rsid w:val="0004598F"/>
    <w:rsid w:val="00045ECE"/>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2277"/>
    <w:rsid w:val="00052EC0"/>
    <w:rsid w:val="00053414"/>
    <w:rsid w:val="00053C42"/>
    <w:rsid w:val="000540D4"/>
    <w:rsid w:val="00054C50"/>
    <w:rsid w:val="00054F27"/>
    <w:rsid w:val="000558E4"/>
    <w:rsid w:val="00057AA6"/>
    <w:rsid w:val="00057AAA"/>
    <w:rsid w:val="0006043B"/>
    <w:rsid w:val="00060632"/>
    <w:rsid w:val="00060784"/>
    <w:rsid w:val="00060988"/>
    <w:rsid w:val="00060D12"/>
    <w:rsid w:val="0006147E"/>
    <w:rsid w:val="00061B2D"/>
    <w:rsid w:val="0006224C"/>
    <w:rsid w:val="00062449"/>
    <w:rsid w:val="00062963"/>
    <w:rsid w:val="000629F1"/>
    <w:rsid w:val="00064752"/>
    <w:rsid w:val="00064F18"/>
    <w:rsid w:val="00064F1C"/>
    <w:rsid w:val="00065323"/>
    <w:rsid w:val="00065AAC"/>
    <w:rsid w:val="00065C71"/>
    <w:rsid w:val="00066306"/>
    <w:rsid w:val="00066BD4"/>
    <w:rsid w:val="00066FAE"/>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940"/>
    <w:rsid w:val="00073A3F"/>
    <w:rsid w:val="00074024"/>
    <w:rsid w:val="00075BB7"/>
    <w:rsid w:val="0007690F"/>
    <w:rsid w:val="00077EC2"/>
    <w:rsid w:val="000803A0"/>
    <w:rsid w:val="00080571"/>
    <w:rsid w:val="00081405"/>
    <w:rsid w:val="00081E4C"/>
    <w:rsid w:val="00082B6C"/>
    <w:rsid w:val="00083B28"/>
    <w:rsid w:val="00083CFB"/>
    <w:rsid w:val="000854B0"/>
    <w:rsid w:val="00085A5C"/>
    <w:rsid w:val="00086583"/>
    <w:rsid w:val="000865D7"/>
    <w:rsid w:val="000869E7"/>
    <w:rsid w:val="00087D92"/>
    <w:rsid w:val="00087E13"/>
    <w:rsid w:val="00087F01"/>
    <w:rsid w:val="00087FB3"/>
    <w:rsid w:val="0009003D"/>
    <w:rsid w:val="0009048D"/>
    <w:rsid w:val="0009076E"/>
    <w:rsid w:val="000908EC"/>
    <w:rsid w:val="00090E2D"/>
    <w:rsid w:val="0009157D"/>
    <w:rsid w:val="00093263"/>
    <w:rsid w:val="00093617"/>
    <w:rsid w:val="000937B6"/>
    <w:rsid w:val="0009384A"/>
    <w:rsid w:val="00093973"/>
    <w:rsid w:val="00093AED"/>
    <w:rsid w:val="00094778"/>
    <w:rsid w:val="00095395"/>
    <w:rsid w:val="00095C84"/>
    <w:rsid w:val="00095F68"/>
    <w:rsid w:val="00096002"/>
    <w:rsid w:val="0009639E"/>
    <w:rsid w:val="00096543"/>
    <w:rsid w:val="000965D3"/>
    <w:rsid w:val="00096A31"/>
    <w:rsid w:val="00096DF9"/>
    <w:rsid w:val="00097555"/>
    <w:rsid w:val="00097918"/>
    <w:rsid w:val="00097ED4"/>
    <w:rsid w:val="000A064A"/>
    <w:rsid w:val="000A1408"/>
    <w:rsid w:val="000A16EF"/>
    <w:rsid w:val="000A2953"/>
    <w:rsid w:val="000A2F81"/>
    <w:rsid w:val="000A3132"/>
    <w:rsid w:val="000A3512"/>
    <w:rsid w:val="000A3A30"/>
    <w:rsid w:val="000A3C0F"/>
    <w:rsid w:val="000A42F7"/>
    <w:rsid w:val="000A45E1"/>
    <w:rsid w:val="000A5506"/>
    <w:rsid w:val="000A5BD3"/>
    <w:rsid w:val="000A65C8"/>
    <w:rsid w:val="000A6936"/>
    <w:rsid w:val="000A6BB2"/>
    <w:rsid w:val="000A7876"/>
    <w:rsid w:val="000B038F"/>
    <w:rsid w:val="000B07F7"/>
    <w:rsid w:val="000B0BE4"/>
    <w:rsid w:val="000B0EBC"/>
    <w:rsid w:val="000B1005"/>
    <w:rsid w:val="000B19DB"/>
    <w:rsid w:val="000B1BD7"/>
    <w:rsid w:val="000B2408"/>
    <w:rsid w:val="000B2427"/>
    <w:rsid w:val="000B2A9E"/>
    <w:rsid w:val="000B3279"/>
    <w:rsid w:val="000B486A"/>
    <w:rsid w:val="000B5228"/>
    <w:rsid w:val="000B6066"/>
    <w:rsid w:val="000B63B1"/>
    <w:rsid w:val="000B6F65"/>
    <w:rsid w:val="000B7468"/>
    <w:rsid w:val="000C02E0"/>
    <w:rsid w:val="000C0AD5"/>
    <w:rsid w:val="000C0E68"/>
    <w:rsid w:val="000C0F2B"/>
    <w:rsid w:val="000C270A"/>
    <w:rsid w:val="000C2EB3"/>
    <w:rsid w:val="000C3EA7"/>
    <w:rsid w:val="000C4771"/>
    <w:rsid w:val="000C5251"/>
    <w:rsid w:val="000C5387"/>
    <w:rsid w:val="000C5BF8"/>
    <w:rsid w:val="000C5D4C"/>
    <w:rsid w:val="000C656D"/>
    <w:rsid w:val="000C67C1"/>
    <w:rsid w:val="000C7B42"/>
    <w:rsid w:val="000C7FF3"/>
    <w:rsid w:val="000D04ED"/>
    <w:rsid w:val="000D055D"/>
    <w:rsid w:val="000D0AAE"/>
    <w:rsid w:val="000D0D9D"/>
    <w:rsid w:val="000D0EA6"/>
    <w:rsid w:val="000D1107"/>
    <w:rsid w:val="000D1485"/>
    <w:rsid w:val="000D1A83"/>
    <w:rsid w:val="000D1F34"/>
    <w:rsid w:val="000D2B1C"/>
    <w:rsid w:val="000D2E56"/>
    <w:rsid w:val="000D3951"/>
    <w:rsid w:val="000D3BAD"/>
    <w:rsid w:val="000D3D6D"/>
    <w:rsid w:val="000D4678"/>
    <w:rsid w:val="000D49D0"/>
    <w:rsid w:val="000D4AAA"/>
    <w:rsid w:val="000D4C7C"/>
    <w:rsid w:val="000D5107"/>
    <w:rsid w:val="000D59A5"/>
    <w:rsid w:val="000D71D1"/>
    <w:rsid w:val="000D7999"/>
    <w:rsid w:val="000D7A9E"/>
    <w:rsid w:val="000D7B5E"/>
    <w:rsid w:val="000E00E0"/>
    <w:rsid w:val="000E06B2"/>
    <w:rsid w:val="000E0F9C"/>
    <w:rsid w:val="000E15A0"/>
    <w:rsid w:val="000E2A29"/>
    <w:rsid w:val="000E3220"/>
    <w:rsid w:val="000E33DF"/>
    <w:rsid w:val="000E3DBE"/>
    <w:rsid w:val="000E42C0"/>
    <w:rsid w:val="000E4BCF"/>
    <w:rsid w:val="000E4C04"/>
    <w:rsid w:val="000E51E3"/>
    <w:rsid w:val="000E547C"/>
    <w:rsid w:val="000E5A1F"/>
    <w:rsid w:val="000E5A9A"/>
    <w:rsid w:val="000E5D88"/>
    <w:rsid w:val="000E6138"/>
    <w:rsid w:val="000E64A0"/>
    <w:rsid w:val="000E6C1F"/>
    <w:rsid w:val="000F0375"/>
    <w:rsid w:val="000F056A"/>
    <w:rsid w:val="000F05AA"/>
    <w:rsid w:val="000F08A9"/>
    <w:rsid w:val="000F0CA3"/>
    <w:rsid w:val="000F0DA5"/>
    <w:rsid w:val="000F12BC"/>
    <w:rsid w:val="000F1310"/>
    <w:rsid w:val="000F1462"/>
    <w:rsid w:val="000F255F"/>
    <w:rsid w:val="000F2810"/>
    <w:rsid w:val="000F29F2"/>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628"/>
    <w:rsid w:val="00106F60"/>
    <w:rsid w:val="00107D5D"/>
    <w:rsid w:val="00107F2F"/>
    <w:rsid w:val="00110451"/>
    <w:rsid w:val="00111EA3"/>
    <w:rsid w:val="00111ECE"/>
    <w:rsid w:val="0011297C"/>
    <w:rsid w:val="00112AC4"/>
    <w:rsid w:val="00112B06"/>
    <w:rsid w:val="00113D70"/>
    <w:rsid w:val="00113D82"/>
    <w:rsid w:val="001142BE"/>
    <w:rsid w:val="00114B5E"/>
    <w:rsid w:val="0011542C"/>
    <w:rsid w:val="00115963"/>
    <w:rsid w:val="0011602B"/>
    <w:rsid w:val="001165AF"/>
    <w:rsid w:val="0011678B"/>
    <w:rsid w:val="001168DF"/>
    <w:rsid w:val="00116C10"/>
    <w:rsid w:val="00117194"/>
    <w:rsid w:val="00117F83"/>
    <w:rsid w:val="00120603"/>
    <w:rsid w:val="00122456"/>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41"/>
    <w:rsid w:val="001277E5"/>
    <w:rsid w:val="001279B3"/>
    <w:rsid w:val="001279E8"/>
    <w:rsid w:val="00127D47"/>
    <w:rsid w:val="00127FBC"/>
    <w:rsid w:val="001303E8"/>
    <w:rsid w:val="0013055D"/>
    <w:rsid w:val="00131C62"/>
    <w:rsid w:val="001320FB"/>
    <w:rsid w:val="001322EF"/>
    <w:rsid w:val="00132334"/>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3AC"/>
    <w:rsid w:val="00142434"/>
    <w:rsid w:val="00143766"/>
    <w:rsid w:val="0014523A"/>
    <w:rsid w:val="001455E4"/>
    <w:rsid w:val="0014580B"/>
    <w:rsid w:val="00145997"/>
    <w:rsid w:val="00145B95"/>
    <w:rsid w:val="00145C42"/>
    <w:rsid w:val="00145DDC"/>
    <w:rsid w:val="001462FE"/>
    <w:rsid w:val="00146A8F"/>
    <w:rsid w:val="00147F1D"/>
    <w:rsid w:val="00150870"/>
    <w:rsid w:val="00151516"/>
    <w:rsid w:val="0015154C"/>
    <w:rsid w:val="00152351"/>
    <w:rsid w:val="00152393"/>
    <w:rsid w:val="001526A4"/>
    <w:rsid w:val="00152BE6"/>
    <w:rsid w:val="00152EDA"/>
    <w:rsid w:val="001535EC"/>
    <w:rsid w:val="00153BB2"/>
    <w:rsid w:val="00153D5F"/>
    <w:rsid w:val="0015416B"/>
    <w:rsid w:val="0015447B"/>
    <w:rsid w:val="00154768"/>
    <w:rsid w:val="001548CF"/>
    <w:rsid w:val="00155230"/>
    <w:rsid w:val="001555EE"/>
    <w:rsid w:val="00155620"/>
    <w:rsid w:val="001564A4"/>
    <w:rsid w:val="001565E5"/>
    <w:rsid w:val="00156879"/>
    <w:rsid w:val="00156971"/>
    <w:rsid w:val="00156D28"/>
    <w:rsid w:val="00157969"/>
    <w:rsid w:val="00157D2E"/>
    <w:rsid w:val="00160041"/>
    <w:rsid w:val="001601D9"/>
    <w:rsid w:val="0016034C"/>
    <w:rsid w:val="001603FD"/>
    <w:rsid w:val="00160AEE"/>
    <w:rsid w:val="00160F1D"/>
    <w:rsid w:val="00161756"/>
    <w:rsid w:val="001618B6"/>
    <w:rsid w:val="00162CB3"/>
    <w:rsid w:val="001632ED"/>
    <w:rsid w:val="00163374"/>
    <w:rsid w:val="00163BB0"/>
    <w:rsid w:val="00164FF2"/>
    <w:rsid w:val="001651C5"/>
    <w:rsid w:val="0016550F"/>
    <w:rsid w:val="00165C80"/>
    <w:rsid w:val="00166026"/>
    <w:rsid w:val="00166356"/>
    <w:rsid w:val="001667AA"/>
    <w:rsid w:val="001669A0"/>
    <w:rsid w:val="00166E0D"/>
    <w:rsid w:val="00167CB4"/>
    <w:rsid w:val="001704FD"/>
    <w:rsid w:val="00170C90"/>
    <w:rsid w:val="00170FA7"/>
    <w:rsid w:val="0017123A"/>
    <w:rsid w:val="00171395"/>
    <w:rsid w:val="00171507"/>
    <w:rsid w:val="001720FD"/>
    <w:rsid w:val="00172F65"/>
    <w:rsid w:val="001730FB"/>
    <w:rsid w:val="001732BB"/>
    <w:rsid w:val="00173C53"/>
    <w:rsid w:val="00173F1B"/>
    <w:rsid w:val="001743A5"/>
    <w:rsid w:val="00174789"/>
    <w:rsid w:val="00174B3C"/>
    <w:rsid w:val="00174DBC"/>
    <w:rsid w:val="001754A3"/>
    <w:rsid w:val="0017645C"/>
    <w:rsid w:val="00176C74"/>
    <w:rsid w:val="0017796A"/>
    <w:rsid w:val="00177C53"/>
    <w:rsid w:val="00177ED5"/>
    <w:rsid w:val="00177F56"/>
    <w:rsid w:val="00180010"/>
    <w:rsid w:val="0018034C"/>
    <w:rsid w:val="0018076D"/>
    <w:rsid w:val="00181127"/>
    <w:rsid w:val="001812EF"/>
    <w:rsid w:val="001812F6"/>
    <w:rsid w:val="00181E2B"/>
    <w:rsid w:val="0018259F"/>
    <w:rsid w:val="001827CC"/>
    <w:rsid w:val="00182F10"/>
    <w:rsid w:val="00183562"/>
    <w:rsid w:val="00183AA7"/>
    <w:rsid w:val="0018416F"/>
    <w:rsid w:val="00184CFE"/>
    <w:rsid w:val="0018574D"/>
    <w:rsid w:val="00185992"/>
    <w:rsid w:val="00186179"/>
    <w:rsid w:val="00186198"/>
    <w:rsid w:val="001863E3"/>
    <w:rsid w:val="001866E9"/>
    <w:rsid w:val="00187151"/>
    <w:rsid w:val="00187695"/>
    <w:rsid w:val="00190C74"/>
    <w:rsid w:val="00191C14"/>
    <w:rsid w:val="00192157"/>
    <w:rsid w:val="0019251F"/>
    <w:rsid w:val="001926EC"/>
    <w:rsid w:val="00193AA8"/>
    <w:rsid w:val="00195684"/>
    <w:rsid w:val="00195842"/>
    <w:rsid w:val="001962C1"/>
    <w:rsid w:val="00197556"/>
    <w:rsid w:val="00197E18"/>
    <w:rsid w:val="00197E31"/>
    <w:rsid w:val="001A04F2"/>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144F"/>
    <w:rsid w:val="001B223C"/>
    <w:rsid w:val="001B29CF"/>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148B"/>
    <w:rsid w:val="001C1999"/>
    <w:rsid w:val="001C2D55"/>
    <w:rsid w:val="001C2DC0"/>
    <w:rsid w:val="001C3363"/>
    <w:rsid w:val="001C3850"/>
    <w:rsid w:val="001C39C2"/>
    <w:rsid w:val="001C4FC0"/>
    <w:rsid w:val="001C50B8"/>
    <w:rsid w:val="001C5988"/>
    <w:rsid w:val="001C5CA7"/>
    <w:rsid w:val="001D0C92"/>
    <w:rsid w:val="001D0E47"/>
    <w:rsid w:val="001D0EC7"/>
    <w:rsid w:val="001D1FE4"/>
    <w:rsid w:val="001D255B"/>
    <w:rsid w:val="001D2E8A"/>
    <w:rsid w:val="001D324D"/>
    <w:rsid w:val="001D4B64"/>
    <w:rsid w:val="001D52BC"/>
    <w:rsid w:val="001D55C8"/>
    <w:rsid w:val="001D5F89"/>
    <w:rsid w:val="001D6055"/>
    <w:rsid w:val="001D620E"/>
    <w:rsid w:val="001D6C72"/>
    <w:rsid w:val="001D791C"/>
    <w:rsid w:val="001D7A39"/>
    <w:rsid w:val="001E03AD"/>
    <w:rsid w:val="001E0C3D"/>
    <w:rsid w:val="001E1114"/>
    <w:rsid w:val="001E1CF2"/>
    <w:rsid w:val="001E2065"/>
    <w:rsid w:val="001E2753"/>
    <w:rsid w:val="001E2866"/>
    <w:rsid w:val="001E307E"/>
    <w:rsid w:val="001E328E"/>
    <w:rsid w:val="001E3B8E"/>
    <w:rsid w:val="001E4079"/>
    <w:rsid w:val="001E5183"/>
    <w:rsid w:val="001E559B"/>
    <w:rsid w:val="001E56B4"/>
    <w:rsid w:val="001E5ED0"/>
    <w:rsid w:val="001E63BB"/>
    <w:rsid w:val="001E68E7"/>
    <w:rsid w:val="001E6B41"/>
    <w:rsid w:val="001E6C25"/>
    <w:rsid w:val="001E7B7F"/>
    <w:rsid w:val="001E7B8A"/>
    <w:rsid w:val="001E7BCF"/>
    <w:rsid w:val="001E7F8E"/>
    <w:rsid w:val="001F0528"/>
    <w:rsid w:val="001F1F33"/>
    <w:rsid w:val="001F1FB2"/>
    <w:rsid w:val="001F2420"/>
    <w:rsid w:val="001F24E3"/>
    <w:rsid w:val="001F31ED"/>
    <w:rsid w:val="001F329E"/>
    <w:rsid w:val="001F42E7"/>
    <w:rsid w:val="001F466F"/>
    <w:rsid w:val="001F4E37"/>
    <w:rsid w:val="001F667A"/>
    <w:rsid w:val="001F6C8B"/>
    <w:rsid w:val="001F7571"/>
    <w:rsid w:val="001F79B9"/>
    <w:rsid w:val="001F7C32"/>
    <w:rsid w:val="0020063D"/>
    <w:rsid w:val="002010AF"/>
    <w:rsid w:val="002010CF"/>
    <w:rsid w:val="002014A2"/>
    <w:rsid w:val="00201671"/>
    <w:rsid w:val="002025B5"/>
    <w:rsid w:val="00202A72"/>
    <w:rsid w:val="00203114"/>
    <w:rsid w:val="00203988"/>
    <w:rsid w:val="00204256"/>
    <w:rsid w:val="00204779"/>
    <w:rsid w:val="002050CD"/>
    <w:rsid w:val="0020685A"/>
    <w:rsid w:val="00206948"/>
    <w:rsid w:val="00206AB0"/>
    <w:rsid w:val="00206AEB"/>
    <w:rsid w:val="00206B58"/>
    <w:rsid w:val="0020727C"/>
    <w:rsid w:val="00207B8F"/>
    <w:rsid w:val="002100A7"/>
    <w:rsid w:val="00210FF7"/>
    <w:rsid w:val="0021118E"/>
    <w:rsid w:val="00211731"/>
    <w:rsid w:val="00212D25"/>
    <w:rsid w:val="00213CA5"/>
    <w:rsid w:val="00214051"/>
    <w:rsid w:val="00214A85"/>
    <w:rsid w:val="00214D2E"/>
    <w:rsid w:val="00214EAF"/>
    <w:rsid w:val="00215262"/>
    <w:rsid w:val="00215362"/>
    <w:rsid w:val="002156D7"/>
    <w:rsid w:val="00215A3B"/>
    <w:rsid w:val="002160D0"/>
    <w:rsid w:val="002166DB"/>
    <w:rsid w:val="00217133"/>
    <w:rsid w:val="0021799B"/>
    <w:rsid w:val="002200AE"/>
    <w:rsid w:val="00221270"/>
    <w:rsid w:val="002215AA"/>
    <w:rsid w:val="00221B5F"/>
    <w:rsid w:val="00221CE3"/>
    <w:rsid w:val="00222369"/>
    <w:rsid w:val="00222445"/>
    <w:rsid w:val="002225B3"/>
    <w:rsid w:val="002226F9"/>
    <w:rsid w:val="00222765"/>
    <w:rsid w:val="002227C2"/>
    <w:rsid w:val="00222DE4"/>
    <w:rsid w:val="002232DB"/>
    <w:rsid w:val="00223CC4"/>
    <w:rsid w:val="0022493F"/>
    <w:rsid w:val="002252B6"/>
    <w:rsid w:val="00226423"/>
    <w:rsid w:val="00226ECE"/>
    <w:rsid w:val="00227BD0"/>
    <w:rsid w:val="00230070"/>
    <w:rsid w:val="00231AF0"/>
    <w:rsid w:val="00231B80"/>
    <w:rsid w:val="00232E3F"/>
    <w:rsid w:val="00233541"/>
    <w:rsid w:val="00234680"/>
    <w:rsid w:val="00234923"/>
    <w:rsid w:val="00234ACA"/>
    <w:rsid w:val="00234B76"/>
    <w:rsid w:val="002352CB"/>
    <w:rsid w:val="00235B67"/>
    <w:rsid w:val="002368D5"/>
    <w:rsid w:val="002374E2"/>
    <w:rsid w:val="0023757B"/>
    <w:rsid w:val="00237750"/>
    <w:rsid w:val="00237AEB"/>
    <w:rsid w:val="00237D0B"/>
    <w:rsid w:val="00240260"/>
    <w:rsid w:val="002403E6"/>
    <w:rsid w:val="00240AD3"/>
    <w:rsid w:val="00241E1F"/>
    <w:rsid w:val="00242940"/>
    <w:rsid w:val="00243307"/>
    <w:rsid w:val="002436DF"/>
    <w:rsid w:val="00243AD9"/>
    <w:rsid w:val="00243BD8"/>
    <w:rsid w:val="00244947"/>
    <w:rsid w:val="00245839"/>
    <w:rsid w:val="00245D05"/>
    <w:rsid w:val="00245D3E"/>
    <w:rsid w:val="00245DCF"/>
    <w:rsid w:val="00245E25"/>
    <w:rsid w:val="00246464"/>
    <w:rsid w:val="00246E0F"/>
    <w:rsid w:val="0024790A"/>
    <w:rsid w:val="00247C3A"/>
    <w:rsid w:val="00250B61"/>
    <w:rsid w:val="002511A8"/>
    <w:rsid w:val="00251467"/>
    <w:rsid w:val="002514B1"/>
    <w:rsid w:val="002515C8"/>
    <w:rsid w:val="002519E5"/>
    <w:rsid w:val="00251B56"/>
    <w:rsid w:val="00251D1D"/>
    <w:rsid w:val="00252069"/>
    <w:rsid w:val="0025258A"/>
    <w:rsid w:val="002529E7"/>
    <w:rsid w:val="00252C20"/>
    <w:rsid w:val="00252D8B"/>
    <w:rsid w:val="002534B1"/>
    <w:rsid w:val="002536ED"/>
    <w:rsid w:val="00253B10"/>
    <w:rsid w:val="00254106"/>
    <w:rsid w:val="002541CB"/>
    <w:rsid w:val="00254D17"/>
    <w:rsid w:val="00255234"/>
    <w:rsid w:val="002553FE"/>
    <w:rsid w:val="00255481"/>
    <w:rsid w:val="00255F10"/>
    <w:rsid w:val="0025623D"/>
    <w:rsid w:val="00256644"/>
    <w:rsid w:val="00256999"/>
    <w:rsid w:val="00257920"/>
    <w:rsid w:val="002579BD"/>
    <w:rsid w:val="00260961"/>
    <w:rsid w:val="00260AC9"/>
    <w:rsid w:val="00260B3D"/>
    <w:rsid w:val="00261439"/>
    <w:rsid w:val="00261A2A"/>
    <w:rsid w:val="00262240"/>
    <w:rsid w:val="002625BC"/>
    <w:rsid w:val="00262A5F"/>
    <w:rsid w:val="0026344D"/>
    <w:rsid w:val="00263782"/>
    <w:rsid w:val="002639F0"/>
    <w:rsid w:val="00264209"/>
    <w:rsid w:val="002647BC"/>
    <w:rsid w:val="00265927"/>
    <w:rsid w:val="00265A49"/>
    <w:rsid w:val="00266744"/>
    <w:rsid w:val="00266AB3"/>
    <w:rsid w:val="002676D3"/>
    <w:rsid w:val="00267727"/>
    <w:rsid w:val="00267789"/>
    <w:rsid w:val="002679AB"/>
    <w:rsid w:val="00270338"/>
    <w:rsid w:val="0027062E"/>
    <w:rsid w:val="002710BD"/>
    <w:rsid w:val="00271379"/>
    <w:rsid w:val="00271426"/>
    <w:rsid w:val="00271664"/>
    <w:rsid w:val="00271702"/>
    <w:rsid w:val="00271A30"/>
    <w:rsid w:val="00272699"/>
    <w:rsid w:val="00272978"/>
    <w:rsid w:val="00273230"/>
    <w:rsid w:val="00273361"/>
    <w:rsid w:val="00273CEC"/>
    <w:rsid w:val="00273EF4"/>
    <w:rsid w:val="00274C57"/>
    <w:rsid w:val="00275A33"/>
    <w:rsid w:val="00276254"/>
    <w:rsid w:val="00276E11"/>
    <w:rsid w:val="00276E89"/>
    <w:rsid w:val="00277238"/>
    <w:rsid w:val="00277E55"/>
    <w:rsid w:val="002807E4"/>
    <w:rsid w:val="002809CD"/>
    <w:rsid w:val="0028164A"/>
    <w:rsid w:val="002824F7"/>
    <w:rsid w:val="0028301B"/>
    <w:rsid w:val="00283225"/>
    <w:rsid w:val="002837B7"/>
    <w:rsid w:val="0028391F"/>
    <w:rsid w:val="0028393C"/>
    <w:rsid w:val="00283BF6"/>
    <w:rsid w:val="00284032"/>
    <w:rsid w:val="002847EB"/>
    <w:rsid w:val="00284E44"/>
    <w:rsid w:val="0028719E"/>
    <w:rsid w:val="002877FB"/>
    <w:rsid w:val="00287A5A"/>
    <w:rsid w:val="00287B8D"/>
    <w:rsid w:val="00290836"/>
    <w:rsid w:val="0029160B"/>
    <w:rsid w:val="00291A3F"/>
    <w:rsid w:val="00291DB7"/>
    <w:rsid w:val="002926A5"/>
    <w:rsid w:val="0029285D"/>
    <w:rsid w:val="00292F6E"/>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7B"/>
    <w:rsid w:val="002A1682"/>
    <w:rsid w:val="002A1DB1"/>
    <w:rsid w:val="002A258D"/>
    <w:rsid w:val="002A25D0"/>
    <w:rsid w:val="002A2CD2"/>
    <w:rsid w:val="002A37B3"/>
    <w:rsid w:val="002A3866"/>
    <w:rsid w:val="002A4127"/>
    <w:rsid w:val="002A4839"/>
    <w:rsid w:val="002A4EEB"/>
    <w:rsid w:val="002A512D"/>
    <w:rsid w:val="002A5188"/>
    <w:rsid w:val="002A5D13"/>
    <w:rsid w:val="002A5E54"/>
    <w:rsid w:val="002A61A6"/>
    <w:rsid w:val="002A777D"/>
    <w:rsid w:val="002B0675"/>
    <w:rsid w:val="002B0927"/>
    <w:rsid w:val="002B09E7"/>
    <w:rsid w:val="002B127B"/>
    <w:rsid w:val="002B1348"/>
    <w:rsid w:val="002B1659"/>
    <w:rsid w:val="002B19FC"/>
    <w:rsid w:val="002B1ACB"/>
    <w:rsid w:val="002B1D19"/>
    <w:rsid w:val="002B25CF"/>
    <w:rsid w:val="002B27D9"/>
    <w:rsid w:val="002B321E"/>
    <w:rsid w:val="002B592E"/>
    <w:rsid w:val="002B595A"/>
    <w:rsid w:val="002B5D46"/>
    <w:rsid w:val="002B5DCA"/>
    <w:rsid w:val="002B5E92"/>
    <w:rsid w:val="002B5F5B"/>
    <w:rsid w:val="002B5FC1"/>
    <w:rsid w:val="002B65BF"/>
    <w:rsid w:val="002B6F5B"/>
    <w:rsid w:val="002B787F"/>
    <w:rsid w:val="002C04A3"/>
    <w:rsid w:val="002C0628"/>
    <w:rsid w:val="002C09A4"/>
    <w:rsid w:val="002C101B"/>
    <w:rsid w:val="002C1516"/>
    <w:rsid w:val="002C15CC"/>
    <w:rsid w:val="002C1CE6"/>
    <w:rsid w:val="002C246A"/>
    <w:rsid w:val="002C27D6"/>
    <w:rsid w:val="002C3222"/>
    <w:rsid w:val="002C32AD"/>
    <w:rsid w:val="002C3326"/>
    <w:rsid w:val="002C3343"/>
    <w:rsid w:val="002C439E"/>
    <w:rsid w:val="002C4466"/>
    <w:rsid w:val="002C595E"/>
    <w:rsid w:val="002C5B1C"/>
    <w:rsid w:val="002C5B49"/>
    <w:rsid w:val="002C6379"/>
    <w:rsid w:val="002C65EF"/>
    <w:rsid w:val="002C6844"/>
    <w:rsid w:val="002C7DA3"/>
    <w:rsid w:val="002D01A0"/>
    <w:rsid w:val="002D03E6"/>
    <w:rsid w:val="002D0D58"/>
    <w:rsid w:val="002D15B8"/>
    <w:rsid w:val="002D16D2"/>
    <w:rsid w:val="002D20EF"/>
    <w:rsid w:val="002D21BC"/>
    <w:rsid w:val="002D262D"/>
    <w:rsid w:val="002D2E54"/>
    <w:rsid w:val="002D2FDB"/>
    <w:rsid w:val="002D315D"/>
    <w:rsid w:val="002D33B3"/>
    <w:rsid w:val="002D3853"/>
    <w:rsid w:val="002D414D"/>
    <w:rsid w:val="002D48ED"/>
    <w:rsid w:val="002D4900"/>
    <w:rsid w:val="002D4A66"/>
    <w:rsid w:val="002D4DCA"/>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5E3"/>
    <w:rsid w:val="002E14BA"/>
    <w:rsid w:val="002E181D"/>
    <w:rsid w:val="002E1848"/>
    <w:rsid w:val="002E2C24"/>
    <w:rsid w:val="002E2E24"/>
    <w:rsid w:val="002E35F4"/>
    <w:rsid w:val="002E38BA"/>
    <w:rsid w:val="002E3979"/>
    <w:rsid w:val="002E3CD2"/>
    <w:rsid w:val="002E401C"/>
    <w:rsid w:val="002E41B2"/>
    <w:rsid w:val="002E4E38"/>
    <w:rsid w:val="002E55D3"/>
    <w:rsid w:val="002E5912"/>
    <w:rsid w:val="002E5947"/>
    <w:rsid w:val="002E5EA0"/>
    <w:rsid w:val="002E5F8C"/>
    <w:rsid w:val="002E68ED"/>
    <w:rsid w:val="002E6914"/>
    <w:rsid w:val="002E72C6"/>
    <w:rsid w:val="002E7503"/>
    <w:rsid w:val="002E79F5"/>
    <w:rsid w:val="002E7F1C"/>
    <w:rsid w:val="002F062F"/>
    <w:rsid w:val="002F0DD4"/>
    <w:rsid w:val="002F1057"/>
    <w:rsid w:val="002F1811"/>
    <w:rsid w:val="002F1DE1"/>
    <w:rsid w:val="002F253F"/>
    <w:rsid w:val="002F27A4"/>
    <w:rsid w:val="002F297D"/>
    <w:rsid w:val="002F2A75"/>
    <w:rsid w:val="002F2C5F"/>
    <w:rsid w:val="002F38C0"/>
    <w:rsid w:val="002F4691"/>
    <w:rsid w:val="002F532B"/>
    <w:rsid w:val="002F57B3"/>
    <w:rsid w:val="002F6892"/>
    <w:rsid w:val="002F6BC6"/>
    <w:rsid w:val="002F7317"/>
    <w:rsid w:val="002F7E09"/>
    <w:rsid w:val="003001F4"/>
    <w:rsid w:val="003003B0"/>
    <w:rsid w:val="003004B5"/>
    <w:rsid w:val="00300729"/>
    <w:rsid w:val="0030089B"/>
    <w:rsid w:val="0030093F"/>
    <w:rsid w:val="003009BB"/>
    <w:rsid w:val="00300F58"/>
    <w:rsid w:val="0030157F"/>
    <w:rsid w:val="00301BCA"/>
    <w:rsid w:val="00301CC9"/>
    <w:rsid w:val="00302C4D"/>
    <w:rsid w:val="00303142"/>
    <w:rsid w:val="0030324B"/>
    <w:rsid w:val="00303A58"/>
    <w:rsid w:val="00303CCD"/>
    <w:rsid w:val="003046ED"/>
    <w:rsid w:val="003046F4"/>
    <w:rsid w:val="00304C1C"/>
    <w:rsid w:val="00304E10"/>
    <w:rsid w:val="0030520F"/>
    <w:rsid w:val="0030540E"/>
    <w:rsid w:val="00305E7A"/>
    <w:rsid w:val="00305F62"/>
    <w:rsid w:val="00305FF2"/>
    <w:rsid w:val="0030664F"/>
    <w:rsid w:val="00306EFD"/>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3F1D"/>
    <w:rsid w:val="003246D2"/>
    <w:rsid w:val="00324D71"/>
    <w:rsid w:val="003265CB"/>
    <w:rsid w:val="0032688B"/>
    <w:rsid w:val="00326A0A"/>
    <w:rsid w:val="0032724C"/>
    <w:rsid w:val="003275D4"/>
    <w:rsid w:val="00327A93"/>
    <w:rsid w:val="00327D75"/>
    <w:rsid w:val="00327FA7"/>
    <w:rsid w:val="00330B9F"/>
    <w:rsid w:val="00330D81"/>
    <w:rsid w:val="00331AEB"/>
    <w:rsid w:val="0033208B"/>
    <w:rsid w:val="0033297A"/>
    <w:rsid w:val="00332E37"/>
    <w:rsid w:val="00332F13"/>
    <w:rsid w:val="0033312F"/>
    <w:rsid w:val="0033328D"/>
    <w:rsid w:val="00333D70"/>
    <w:rsid w:val="003351C5"/>
    <w:rsid w:val="00335411"/>
    <w:rsid w:val="003357E4"/>
    <w:rsid w:val="003360CF"/>
    <w:rsid w:val="0033669A"/>
    <w:rsid w:val="003366A3"/>
    <w:rsid w:val="00336B9A"/>
    <w:rsid w:val="00336C10"/>
    <w:rsid w:val="00336C59"/>
    <w:rsid w:val="00336CF5"/>
    <w:rsid w:val="00337462"/>
    <w:rsid w:val="003379EF"/>
    <w:rsid w:val="00340F0C"/>
    <w:rsid w:val="0034144A"/>
    <w:rsid w:val="0034163E"/>
    <w:rsid w:val="0034194C"/>
    <w:rsid w:val="00342587"/>
    <w:rsid w:val="00342632"/>
    <w:rsid w:val="00342F35"/>
    <w:rsid w:val="00343367"/>
    <w:rsid w:val="00343AC5"/>
    <w:rsid w:val="00344063"/>
    <w:rsid w:val="0034431F"/>
    <w:rsid w:val="00344BBA"/>
    <w:rsid w:val="00344DDC"/>
    <w:rsid w:val="00345530"/>
    <w:rsid w:val="003457DF"/>
    <w:rsid w:val="00345C75"/>
    <w:rsid w:val="00346B73"/>
    <w:rsid w:val="00346D70"/>
    <w:rsid w:val="003472E6"/>
    <w:rsid w:val="00347831"/>
    <w:rsid w:val="00347B03"/>
    <w:rsid w:val="00347DFA"/>
    <w:rsid w:val="00347F6B"/>
    <w:rsid w:val="00350815"/>
    <w:rsid w:val="00350CD1"/>
    <w:rsid w:val="003516DE"/>
    <w:rsid w:val="00351D9D"/>
    <w:rsid w:val="00351FCB"/>
    <w:rsid w:val="00352260"/>
    <w:rsid w:val="00353962"/>
    <w:rsid w:val="00354BF5"/>
    <w:rsid w:val="00354C4B"/>
    <w:rsid w:val="00354CD8"/>
    <w:rsid w:val="00355022"/>
    <w:rsid w:val="0035546D"/>
    <w:rsid w:val="00355BD4"/>
    <w:rsid w:val="00356DEE"/>
    <w:rsid w:val="00357AEC"/>
    <w:rsid w:val="00357F85"/>
    <w:rsid w:val="003601F7"/>
    <w:rsid w:val="003607B2"/>
    <w:rsid w:val="00360ACE"/>
    <w:rsid w:val="00361222"/>
    <w:rsid w:val="003612FC"/>
    <w:rsid w:val="0036143D"/>
    <w:rsid w:val="00361689"/>
    <w:rsid w:val="003619F3"/>
    <w:rsid w:val="0036204C"/>
    <w:rsid w:val="00362933"/>
    <w:rsid w:val="00362E8C"/>
    <w:rsid w:val="00362ED2"/>
    <w:rsid w:val="00363F8A"/>
    <w:rsid w:val="003653C3"/>
    <w:rsid w:val="003656FB"/>
    <w:rsid w:val="00365954"/>
    <w:rsid w:val="003668FE"/>
    <w:rsid w:val="00367C06"/>
    <w:rsid w:val="0037064E"/>
    <w:rsid w:val="00370E67"/>
    <w:rsid w:val="00371AC7"/>
    <w:rsid w:val="00371BD2"/>
    <w:rsid w:val="00371E8A"/>
    <w:rsid w:val="00372277"/>
    <w:rsid w:val="00372351"/>
    <w:rsid w:val="0037242B"/>
    <w:rsid w:val="00372E30"/>
    <w:rsid w:val="00373B03"/>
    <w:rsid w:val="00374322"/>
    <w:rsid w:val="00374655"/>
    <w:rsid w:val="0037528F"/>
    <w:rsid w:val="003756F7"/>
    <w:rsid w:val="00376092"/>
    <w:rsid w:val="003762FC"/>
    <w:rsid w:val="00376319"/>
    <w:rsid w:val="0037637F"/>
    <w:rsid w:val="003764EF"/>
    <w:rsid w:val="00377CE1"/>
    <w:rsid w:val="00377E5F"/>
    <w:rsid w:val="00380E2F"/>
    <w:rsid w:val="003810A3"/>
    <w:rsid w:val="00381AF1"/>
    <w:rsid w:val="00382172"/>
    <w:rsid w:val="003825A3"/>
    <w:rsid w:val="003826BD"/>
    <w:rsid w:val="00382E0B"/>
    <w:rsid w:val="00382F66"/>
    <w:rsid w:val="00383089"/>
    <w:rsid w:val="003831E7"/>
    <w:rsid w:val="003847FD"/>
    <w:rsid w:val="00384FBE"/>
    <w:rsid w:val="0038553B"/>
    <w:rsid w:val="003858EF"/>
    <w:rsid w:val="00385AAD"/>
    <w:rsid w:val="00385AB8"/>
    <w:rsid w:val="00385C26"/>
    <w:rsid w:val="00385E6C"/>
    <w:rsid w:val="003860B3"/>
    <w:rsid w:val="00386680"/>
    <w:rsid w:val="00386C02"/>
    <w:rsid w:val="00387057"/>
    <w:rsid w:val="00387937"/>
    <w:rsid w:val="00387AC8"/>
    <w:rsid w:val="00390118"/>
    <w:rsid w:val="00390AD8"/>
    <w:rsid w:val="00390BF4"/>
    <w:rsid w:val="0039134B"/>
    <w:rsid w:val="0039178F"/>
    <w:rsid w:val="00392030"/>
    <w:rsid w:val="00392193"/>
    <w:rsid w:val="00392284"/>
    <w:rsid w:val="003925D2"/>
    <w:rsid w:val="00392A34"/>
    <w:rsid w:val="00392CAB"/>
    <w:rsid w:val="00393011"/>
    <w:rsid w:val="0039337E"/>
    <w:rsid w:val="00393E22"/>
    <w:rsid w:val="00394005"/>
    <w:rsid w:val="003945F8"/>
    <w:rsid w:val="00395564"/>
    <w:rsid w:val="00396027"/>
    <w:rsid w:val="00396ACE"/>
    <w:rsid w:val="003978C7"/>
    <w:rsid w:val="003979D3"/>
    <w:rsid w:val="00397E58"/>
    <w:rsid w:val="003A068E"/>
    <w:rsid w:val="003A069A"/>
    <w:rsid w:val="003A1190"/>
    <w:rsid w:val="003A1428"/>
    <w:rsid w:val="003A1523"/>
    <w:rsid w:val="003A257F"/>
    <w:rsid w:val="003A2A79"/>
    <w:rsid w:val="003A2ECC"/>
    <w:rsid w:val="003A3034"/>
    <w:rsid w:val="003A310D"/>
    <w:rsid w:val="003A3563"/>
    <w:rsid w:val="003A40F9"/>
    <w:rsid w:val="003A488C"/>
    <w:rsid w:val="003A4E9C"/>
    <w:rsid w:val="003A4F5E"/>
    <w:rsid w:val="003A4F93"/>
    <w:rsid w:val="003A4FAF"/>
    <w:rsid w:val="003A51D7"/>
    <w:rsid w:val="003A5413"/>
    <w:rsid w:val="003A5C17"/>
    <w:rsid w:val="003A657B"/>
    <w:rsid w:val="003A65B8"/>
    <w:rsid w:val="003A6E12"/>
    <w:rsid w:val="003A76D1"/>
    <w:rsid w:val="003A7965"/>
    <w:rsid w:val="003A7BE4"/>
    <w:rsid w:val="003B0040"/>
    <w:rsid w:val="003B0294"/>
    <w:rsid w:val="003B077B"/>
    <w:rsid w:val="003B2D20"/>
    <w:rsid w:val="003B359C"/>
    <w:rsid w:val="003B3B29"/>
    <w:rsid w:val="003B3C24"/>
    <w:rsid w:val="003B481A"/>
    <w:rsid w:val="003B5138"/>
    <w:rsid w:val="003B5702"/>
    <w:rsid w:val="003B59F4"/>
    <w:rsid w:val="003B5BAA"/>
    <w:rsid w:val="003B6643"/>
    <w:rsid w:val="003B6B71"/>
    <w:rsid w:val="003B6E44"/>
    <w:rsid w:val="003B6F2C"/>
    <w:rsid w:val="003B6FC4"/>
    <w:rsid w:val="003B7211"/>
    <w:rsid w:val="003B7A7C"/>
    <w:rsid w:val="003C00B0"/>
    <w:rsid w:val="003C062C"/>
    <w:rsid w:val="003C14C8"/>
    <w:rsid w:val="003C1D24"/>
    <w:rsid w:val="003C1F5D"/>
    <w:rsid w:val="003C232C"/>
    <w:rsid w:val="003C23FA"/>
    <w:rsid w:val="003C310E"/>
    <w:rsid w:val="003C31A0"/>
    <w:rsid w:val="003C3601"/>
    <w:rsid w:val="003C3637"/>
    <w:rsid w:val="003C396F"/>
    <w:rsid w:val="003C4053"/>
    <w:rsid w:val="003C4619"/>
    <w:rsid w:val="003C465D"/>
    <w:rsid w:val="003C47AD"/>
    <w:rsid w:val="003C482B"/>
    <w:rsid w:val="003C4B4E"/>
    <w:rsid w:val="003C5025"/>
    <w:rsid w:val="003C54FD"/>
    <w:rsid w:val="003C56D7"/>
    <w:rsid w:val="003C5EFA"/>
    <w:rsid w:val="003C676E"/>
    <w:rsid w:val="003C6CFB"/>
    <w:rsid w:val="003C7177"/>
    <w:rsid w:val="003C7682"/>
    <w:rsid w:val="003D0557"/>
    <w:rsid w:val="003D0BCC"/>
    <w:rsid w:val="003D0D85"/>
    <w:rsid w:val="003D0DB5"/>
    <w:rsid w:val="003D0EC0"/>
    <w:rsid w:val="003D1842"/>
    <w:rsid w:val="003D2016"/>
    <w:rsid w:val="003D37F4"/>
    <w:rsid w:val="003D390C"/>
    <w:rsid w:val="003D3A66"/>
    <w:rsid w:val="003D5114"/>
    <w:rsid w:val="003D573C"/>
    <w:rsid w:val="003D5CF7"/>
    <w:rsid w:val="003D659B"/>
    <w:rsid w:val="003D671C"/>
    <w:rsid w:val="003D7D10"/>
    <w:rsid w:val="003E0231"/>
    <w:rsid w:val="003E08B3"/>
    <w:rsid w:val="003E0B9B"/>
    <w:rsid w:val="003E153F"/>
    <w:rsid w:val="003E210D"/>
    <w:rsid w:val="003E2670"/>
    <w:rsid w:val="003E27FA"/>
    <w:rsid w:val="003E2A08"/>
    <w:rsid w:val="003E2A70"/>
    <w:rsid w:val="003E31A0"/>
    <w:rsid w:val="003E380A"/>
    <w:rsid w:val="003E4559"/>
    <w:rsid w:val="003E5099"/>
    <w:rsid w:val="003E528A"/>
    <w:rsid w:val="003E570B"/>
    <w:rsid w:val="003E576C"/>
    <w:rsid w:val="003E5D22"/>
    <w:rsid w:val="003E5DAD"/>
    <w:rsid w:val="003E6E6D"/>
    <w:rsid w:val="003E7840"/>
    <w:rsid w:val="003E7B17"/>
    <w:rsid w:val="003F01E1"/>
    <w:rsid w:val="003F0FD9"/>
    <w:rsid w:val="003F11ED"/>
    <w:rsid w:val="003F1482"/>
    <w:rsid w:val="003F19A5"/>
    <w:rsid w:val="003F1C39"/>
    <w:rsid w:val="003F23C5"/>
    <w:rsid w:val="003F28C6"/>
    <w:rsid w:val="003F330C"/>
    <w:rsid w:val="003F34B6"/>
    <w:rsid w:val="003F3D28"/>
    <w:rsid w:val="003F489A"/>
    <w:rsid w:val="003F49B3"/>
    <w:rsid w:val="003F4C7C"/>
    <w:rsid w:val="003F4CE9"/>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7165"/>
    <w:rsid w:val="00407594"/>
    <w:rsid w:val="00407F2A"/>
    <w:rsid w:val="00410EED"/>
    <w:rsid w:val="004112F2"/>
    <w:rsid w:val="00411624"/>
    <w:rsid w:val="00411A51"/>
    <w:rsid w:val="00411ADA"/>
    <w:rsid w:val="00411B09"/>
    <w:rsid w:val="00411BA3"/>
    <w:rsid w:val="00411C2D"/>
    <w:rsid w:val="0041271A"/>
    <w:rsid w:val="004128B8"/>
    <w:rsid w:val="00413052"/>
    <w:rsid w:val="004131AE"/>
    <w:rsid w:val="00413E1F"/>
    <w:rsid w:val="0041464E"/>
    <w:rsid w:val="004147A1"/>
    <w:rsid w:val="00415452"/>
    <w:rsid w:val="0041549F"/>
    <w:rsid w:val="00415628"/>
    <w:rsid w:val="00415DC2"/>
    <w:rsid w:val="00415E00"/>
    <w:rsid w:val="00416098"/>
    <w:rsid w:val="0041677D"/>
    <w:rsid w:val="00416B00"/>
    <w:rsid w:val="004170E1"/>
    <w:rsid w:val="0041747B"/>
    <w:rsid w:val="00417910"/>
    <w:rsid w:val="004200D6"/>
    <w:rsid w:val="00420A79"/>
    <w:rsid w:val="00420C29"/>
    <w:rsid w:val="00420D35"/>
    <w:rsid w:val="00420EE5"/>
    <w:rsid w:val="00421AE4"/>
    <w:rsid w:val="00421BC5"/>
    <w:rsid w:val="004221F2"/>
    <w:rsid w:val="00422760"/>
    <w:rsid w:val="0042299B"/>
    <w:rsid w:val="00422A10"/>
    <w:rsid w:val="004230E7"/>
    <w:rsid w:val="0042368F"/>
    <w:rsid w:val="00423962"/>
    <w:rsid w:val="00423CAA"/>
    <w:rsid w:val="00423FCC"/>
    <w:rsid w:val="00425242"/>
    <w:rsid w:val="004258B3"/>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D0C"/>
    <w:rsid w:val="00433244"/>
    <w:rsid w:val="00433943"/>
    <w:rsid w:val="00433E15"/>
    <w:rsid w:val="004340C4"/>
    <w:rsid w:val="0043437A"/>
    <w:rsid w:val="0043480D"/>
    <w:rsid w:val="004349EF"/>
    <w:rsid w:val="00434C24"/>
    <w:rsid w:val="00434FD2"/>
    <w:rsid w:val="004358E1"/>
    <w:rsid w:val="00436265"/>
    <w:rsid w:val="00436439"/>
    <w:rsid w:val="004366A9"/>
    <w:rsid w:val="00436E8B"/>
    <w:rsid w:val="00436EBC"/>
    <w:rsid w:val="00437827"/>
    <w:rsid w:val="00440318"/>
    <w:rsid w:val="004404B0"/>
    <w:rsid w:val="0044099E"/>
    <w:rsid w:val="00440ECE"/>
    <w:rsid w:val="00441128"/>
    <w:rsid w:val="0044178B"/>
    <w:rsid w:val="004423D0"/>
    <w:rsid w:val="004430E2"/>
    <w:rsid w:val="004434FE"/>
    <w:rsid w:val="00443832"/>
    <w:rsid w:val="00443A3B"/>
    <w:rsid w:val="00443B1F"/>
    <w:rsid w:val="00443C2A"/>
    <w:rsid w:val="0044454A"/>
    <w:rsid w:val="00444937"/>
    <w:rsid w:val="00444CA2"/>
    <w:rsid w:val="004452A0"/>
    <w:rsid w:val="004457F2"/>
    <w:rsid w:val="00445A51"/>
    <w:rsid w:val="00445B08"/>
    <w:rsid w:val="004465F8"/>
    <w:rsid w:val="0044673D"/>
    <w:rsid w:val="00446D1B"/>
    <w:rsid w:val="00446DF7"/>
    <w:rsid w:val="0044749B"/>
    <w:rsid w:val="00447A4E"/>
    <w:rsid w:val="00447D01"/>
    <w:rsid w:val="00447DEF"/>
    <w:rsid w:val="0045023B"/>
    <w:rsid w:val="004504E9"/>
    <w:rsid w:val="00450EC2"/>
    <w:rsid w:val="0045206B"/>
    <w:rsid w:val="004520AA"/>
    <w:rsid w:val="00452238"/>
    <w:rsid w:val="00452285"/>
    <w:rsid w:val="004528F9"/>
    <w:rsid w:val="00452DFC"/>
    <w:rsid w:val="00453487"/>
    <w:rsid w:val="0045355C"/>
    <w:rsid w:val="00453666"/>
    <w:rsid w:val="0045394B"/>
    <w:rsid w:val="00453B7E"/>
    <w:rsid w:val="00453E7E"/>
    <w:rsid w:val="00454111"/>
    <w:rsid w:val="004558BC"/>
    <w:rsid w:val="004559D3"/>
    <w:rsid w:val="00455AFD"/>
    <w:rsid w:val="00455B56"/>
    <w:rsid w:val="004562EC"/>
    <w:rsid w:val="00456630"/>
    <w:rsid w:val="00456755"/>
    <w:rsid w:val="00456891"/>
    <w:rsid w:val="004569C8"/>
    <w:rsid w:val="00456FFF"/>
    <w:rsid w:val="004577F8"/>
    <w:rsid w:val="004605FA"/>
    <w:rsid w:val="0046068A"/>
    <w:rsid w:val="00460C3F"/>
    <w:rsid w:val="00461569"/>
    <w:rsid w:val="0046173B"/>
    <w:rsid w:val="004618FE"/>
    <w:rsid w:val="0046210B"/>
    <w:rsid w:val="00462488"/>
    <w:rsid w:val="00463B9F"/>
    <w:rsid w:val="00463D73"/>
    <w:rsid w:val="004640AF"/>
    <w:rsid w:val="004646A0"/>
    <w:rsid w:val="00465C03"/>
    <w:rsid w:val="00465C42"/>
    <w:rsid w:val="0046604F"/>
    <w:rsid w:val="004664DB"/>
    <w:rsid w:val="00466A81"/>
    <w:rsid w:val="00466AC5"/>
    <w:rsid w:val="00466F95"/>
    <w:rsid w:val="00467047"/>
    <w:rsid w:val="004670C7"/>
    <w:rsid w:val="00467503"/>
    <w:rsid w:val="00467597"/>
    <w:rsid w:val="00467CA4"/>
    <w:rsid w:val="004708FE"/>
    <w:rsid w:val="00470BFF"/>
    <w:rsid w:val="00471AAB"/>
    <w:rsid w:val="00471CC5"/>
    <w:rsid w:val="00472C46"/>
    <w:rsid w:val="00473206"/>
    <w:rsid w:val="00474496"/>
    <w:rsid w:val="004746EB"/>
    <w:rsid w:val="004755DD"/>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A69"/>
    <w:rsid w:val="00484D5B"/>
    <w:rsid w:val="00484E53"/>
    <w:rsid w:val="00484ED4"/>
    <w:rsid w:val="00484FB2"/>
    <w:rsid w:val="004850B7"/>
    <w:rsid w:val="00485438"/>
    <w:rsid w:val="004856A5"/>
    <w:rsid w:val="004857F4"/>
    <w:rsid w:val="00485CDE"/>
    <w:rsid w:val="004862CD"/>
    <w:rsid w:val="00486A50"/>
    <w:rsid w:val="00486E13"/>
    <w:rsid w:val="00486E6A"/>
    <w:rsid w:val="004919CF"/>
    <w:rsid w:val="00491C0C"/>
    <w:rsid w:val="00491F76"/>
    <w:rsid w:val="004921A0"/>
    <w:rsid w:val="00492595"/>
    <w:rsid w:val="004925ED"/>
    <w:rsid w:val="00492C30"/>
    <w:rsid w:val="00492C51"/>
    <w:rsid w:val="004932F4"/>
    <w:rsid w:val="00493991"/>
    <w:rsid w:val="00494B5B"/>
    <w:rsid w:val="00496131"/>
    <w:rsid w:val="00496384"/>
    <w:rsid w:val="004965D7"/>
    <w:rsid w:val="0049661C"/>
    <w:rsid w:val="00496AC2"/>
    <w:rsid w:val="00496D9C"/>
    <w:rsid w:val="004970AC"/>
    <w:rsid w:val="0049741E"/>
    <w:rsid w:val="00497849"/>
    <w:rsid w:val="004A1190"/>
    <w:rsid w:val="004A1697"/>
    <w:rsid w:val="004A1A12"/>
    <w:rsid w:val="004A1BA0"/>
    <w:rsid w:val="004A20E7"/>
    <w:rsid w:val="004A2930"/>
    <w:rsid w:val="004A2CE2"/>
    <w:rsid w:val="004A37D6"/>
    <w:rsid w:val="004A3A61"/>
    <w:rsid w:val="004A4607"/>
    <w:rsid w:val="004A4B9C"/>
    <w:rsid w:val="004A53DE"/>
    <w:rsid w:val="004A548F"/>
    <w:rsid w:val="004A625D"/>
    <w:rsid w:val="004A6ACE"/>
    <w:rsid w:val="004A6DF9"/>
    <w:rsid w:val="004A770D"/>
    <w:rsid w:val="004A77FB"/>
    <w:rsid w:val="004B0562"/>
    <w:rsid w:val="004B0877"/>
    <w:rsid w:val="004B0CA2"/>
    <w:rsid w:val="004B154F"/>
    <w:rsid w:val="004B157B"/>
    <w:rsid w:val="004B1910"/>
    <w:rsid w:val="004B1E8D"/>
    <w:rsid w:val="004B28EA"/>
    <w:rsid w:val="004B2915"/>
    <w:rsid w:val="004B2F20"/>
    <w:rsid w:val="004B3BDE"/>
    <w:rsid w:val="004B4528"/>
    <w:rsid w:val="004B47A0"/>
    <w:rsid w:val="004B4BC6"/>
    <w:rsid w:val="004B5A31"/>
    <w:rsid w:val="004B628F"/>
    <w:rsid w:val="004B6974"/>
    <w:rsid w:val="004B6B11"/>
    <w:rsid w:val="004B6F2F"/>
    <w:rsid w:val="004B707E"/>
    <w:rsid w:val="004B76CA"/>
    <w:rsid w:val="004C0D73"/>
    <w:rsid w:val="004C0D98"/>
    <w:rsid w:val="004C0E40"/>
    <w:rsid w:val="004C1E8F"/>
    <w:rsid w:val="004C200F"/>
    <w:rsid w:val="004C202E"/>
    <w:rsid w:val="004C2167"/>
    <w:rsid w:val="004C229A"/>
    <w:rsid w:val="004C29EE"/>
    <w:rsid w:val="004C33E9"/>
    <w:rsid w:val="004C347B"/>
    <w:rsid w:val="004C3A0B"/>
    <w:rsid w:val="004C3BC4"/>
    <w:rsid w:val="004C3BD4"/>
    <w:rsid w:val="004C519B"/>
    <w:rsid w:val="004C5310"/>
    <w:rsid w:val="004C54CE"/>
    <w:rsid w:val="004C5DD0"/>
    <w:rsid w:val="004C634B"/>
    <w:rsid w:val="004C6471"/>
    <w:rsid w:val="004C64D7"/>
    <w:rsid w:val="004C6748"/>
    <w:rsid w:val="004C6D90"/>
    <w:rsid w:val="004C6F0B"/>
    <w:rsid w:val="004C7063"/>
    <w:rsid w:val="004D041B"/>
    <w:rsid w:val="004D08BA"/>
    <w:rsid w:val="004D11D0"/>
    <w:rsid w:val="004D144B"/>
    <w:rsid w:val="004D14BC"/>
    <w:rsid w:val="004D2467"/>
    <w:rsid w:val="004D28B5"/>
    <w:rsid w:val="004D3B5D"/>
    <w:rsid w:val="004D3EFE"/>
    <w:rsid w:val="004D44AC"/>
    <w:rsid w:val="004D49DE"/>
    <w:rsid w:val="004D4E62"/>
    <w:rsid w:val="004D500E"/>
    <w:rsid w:val="004D5105"/>
    <w:rsid w:val="004D5C9A"/>
    <w:rsid w:val="004D6178"/>
    <w:rsid w:val="004D64E2"/>
    <w:rsid w:val="004D71A7"/>
    <w:rsid w:val="004D7619"/>
    <w:rsid w:val="004E006C"/>
    <w:rsid w:val="004E07C4"/>
    <w:rsid w:val="004E0B4E"/>
    <w:rsid w:val="004E0B6B"/>
    <w:rsid w:val="004E1359"/>
    <w:rsid w:val="004E13B3"/>
    <w:rsid w:val="004E1C12"/>
    <w:rsid w:val="004E20FE"/>
    <w:rsid w:val="004E21A1"/>
    <w:rsid w:val="004E223B"/>
    <w:rsid w:val="004E34D5"/>
    <w:rsid w:val="004E3F3C"/>
    <w:rsid w:val="004E3FEF"/>
    <w:rsid w:val="004E5042"/>
    <w:rsid w:val="004E51A5"/>
    <w:rsid w:val="004E5466"/>
    <w:rsid w:val="004E5F5E"/>
    <w:rsid w:val="004E65B4"/>
    <w:rsid w:val="004E6633"/>
    <w:rsid w:val="004E69FA"/>
    <w:rsid w:val="004E7427"/>
    <w:rsid w:val="004E77DD"/>
    <w:rsid w:val="004E7C2D"/>
    <w:rsid w:val="004E7F59"/>
    <w:rsid w:val="004F0749"/>
    <w:rsid w:val="004F1E8C"/>
    <w:rsid w:val="004F230C"/>
    <w:rsid w:val="004F285D"/>
    <w:rsid w:val="004F28E8"/>
    <w:rsid w:val="004F2D2F"/>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B39"/>
    <w:rsid w:val="00503EA6"/>
    <w:rsid w:val="005056A6"/>
    <w:rsid w:val="005060DB"/>
    <w:rsid w:val="005064C6"/>
    <w:rsid w:val="00506B3B"/>
    <w:rsid w:val="00506B43"/>
    <w:rsid w:val="00506DF8"/>
    <w:rsid w:val="00507590"/>
    <w:rsid w:val="00507C5C"/>
    <w:rsid w:val="00507C7F"/>
    <w:rsid w:val="00507DD3"/>
    <w:rsid w:val="00510402"/>
    <w:rsid w:val="005107FD"/>
    <w:rsid w:val="00511034"/>
    <w:rsid w:val="00511489"/>
    <w:rsid w:val="00511786"/>
    <w:rsid w:val="0051193C"/>
    <w:rsid w:val="005121F0"/>
    <w:rsid w:val="00512655"/>
    <w:rsid w:val="00512867"/>
    <w:rsid w:val="00512A68"/>
    <w:rsid w:val="00513B4C"/>
    <w:rsid w:val="00513CB1"/>
    <w:rsid w:val="005141E7"/>
    <w:rsid w:val="005142FB"/>
    <w:rsid w:val="00514560"/>
    <w:rsid w:val="00514877"/>
    <w:rsid w:val="0051497E"/>
    <w:rsid w:val="00515024"/>
    <w:rsid w:val="00515157"/>
    <w:rsid w:val="00515308"/>
    <w:rsid w:val="005158E8"/>
    <w:rsid w:val="00516860"/>
    <w:rsid w:val="005168E2"/>
    <w:rsid w:val="00516CE9"/>
    <w:rsid w:val="00516DBF"/>
    <w:rsid w:val="0051732E"/>
    <w:rsid w:val="005179EA"/>
    <w:rsid w:val="00517E9C"/>
    <w:rsid w:val="00520313"/>
    <w:rsid w:val="0052031C"/>
    <w:rsid w:val="00521567"/>
    <w:rsid w:val="00521E7B"/>
    <w:rsid w:val="005224F5"/>
    <w:rsid w:val="00522AFD"/>
    <w:rsid w:val="00523E44"/>
    <w:rsid w:val="0052403A"/>
    <w:rsid w:val="00525A16"/>
    <w:rsid w:val="0052688D"/>
    <w:rsid w:val="005269E0"/>
    <w:rsid w:val="00526BC2"/>
    <w:rsid w:val="00526D40"/>
    <w:rsid w:val="005279CA"/>
    <w:rsid w:val="00527E16"/>
    <w:rsid w:val="00527E6D"/>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C41"/>
    <w:rsid w:val="00534CBA"/>
    <w:rsid w:val="0053604D"/>
    <w:rsid w:val="00536311"/>
    <w:rsid w:val="00536D53"/>
    <w:rsid w:val="00536DAD"/>
    <w:rsid w:val="005373AF"/>
    <w:rsid w:val="00537839"/>
    <w:rsid w:val="00540008"/>
    <w:rsid w:val="005400BB"/>
    <w:rsid w:val="00541B22"/>
    <w:rsid w:val="00541EE9"/>
    <w:rsid w:val="00542024"/>
    <w:rsid w:val="00542A21"/>
    <w:rsid w:val="00542A79"/>
    <w:rsid w:val="00542F31"/>
    <w:rsid w:val="005437E4"/>
    <w:rsid w:val="00543A7A"/>
    <w:rsid w:val="00543BB0"/>
    <w:rsid w:val="00543CEF"/>
    <w:rsid w:val="00543D31"/>
    <w:rsid w:val="00545239"/>
    <w:rsid w:val="00545E21"/>
    <w:rsid w:val="00545FB5"/>
    <w:rsid w:val="00546FFB"/>
    <w:rsid w:val="00547059"/>
    <w:rsid w:val="00547731"/>
    <w:rsid w:val="005479EF"/>
    <w:rsid w:val="005500EB"/>
    <w:rsid w:val="00550483"/>
    <w:rsid w:val="005506A0"/>
    <w:rsid w:val="0055084C"/>
    <w:rsid w:val="00550F46"/>
    <w:rsid w:val="005512D6"/>
    <w:rsid w:val="0055153D"/>
    <w:rsid w:val="00552164"/>
    <w:rsid w:val="005524A8"/>
    <w:rsid w:val="0055271E"/>
    <w:rsid w:val="005529F5"/>
    <w:rsid w:val="0055305D"/>
    <w:rsid w:val="00553666"/>
    <w:rsid w:val="00553739"/>
    <w:rsid w:val="00553DB7"/>
    <w:rsid w:val="00553DFD"/>
    <w:rsid w:val="005543AE"/>
    <w:rsid w:val="00554499"/>
    <w:rsid w:val="00554E5A"/>
    <w:rsid w:val="0055520D"/>
    <w:rsid w:val="005556FF"/>
    <w:rsid w:val="00555726"/>
    <w:rsid w:val="005557A4"/>
    <w:rsid w:val="00555D5F"/>
    <w:rsid w:val="00555EBC"/>
    <w:rsid w:val="00557750"/>
    <w:rsid w:val="005605DB"/>
    <w:rsid w:val="0056094F"/>
    <w:rsid w:val="00560982"/>
    <w:rsid w:val="0056240D"/>
    <w:rsid w:val="00562864"/>
    <w:rsid w:val="0056453F"/>
    <w:rsid w:val="00564939"/>
    <w:rsid w:val="00564E2B"/>
    <w:rsid w:val="00565D97"/>
    <w:rsid w:val="00565F2F"/>
    <w:rsid w:val="0056611B"/>
    <w:rsid w:val="005676FC"/>
    <w:rsid w:val="00567D33"/>
    <w:rsid w:val="00570C2B"/>
    <w:rsid w:val="005714FA"/>
    <w:rsid w:val="005716D6"/>
    <w:rsid w:val="00571DCF"/>
    <w:rsid w:val="00572839"/>
    <w:rsid w:val="005728C1"/>
    <w:rsid w:val="00572EDC"/>
    <w:rsid w:val="00573284"/>
    <w:rsid w:val="005743B5"/>
    <w:rsid w:val="005746F0"/>
    <w:rsid w:val="00575AC5"/>
    <w:rsid w:val="00576BF9"/>
    <w:rsid w:val="005773DA"/>
    <w:rsid w:val="00580240"/>
    <w:rsid w:val="0058079F"/>
    <w:rsid w:val="00580DC2"/>
    <w:rsid w:val="00580ED5"/>
    <w:rsid w:val="0058102B"/>
    <w:rsid w:val="0058139A"/>
    <w:rsid w:val="00581DA2"/>
    <w:rsid w:val="00581F30"/>
    <w:rsid w:val="0058228D"/>
    <w:rsid w:val="005824CD"/>
    <w:rsid w:val="00582947"/>
    <w:rsid w:val="00582ED6"/>
    <w:rsid w:val="005832F9"/>
    <w:rsid w:val="005837F4"/>
    <w:rsid w:val="00583851"/>
    <w:rsid w:val="00583B93"/>
    <w:rsid w:val="00583D4F"/>
    <w:rsid w:val="0058436A"/>
    <w:rsid w:val="00584886"/>
    <w:rsid w:val="00585435"/>
    <w:rsid w:val="00585EAD"/>
    <w:rsid w:val="0058617A"/>
    <w:rsid w:val="00586365"/>
    <w:rsid w:val="0058730F"/>
    <w:rsid w:val="00587317"/>
    <w:rsid w:val="00590096"/>
    <w:rsid w:val="00590185"/>
    <w:rsid w:val="005912AF"/>
    <w:rsid w:val="00591752"/>
    <w:rsid w:val="00591F01"/>
    <w:rsid w:val="0059241B"/>
    <w:rsid w:val="0059248B"/>
    <w:rsid w:val="00592C37"/>
    <w:rsid w:val="00592C6F"/>
    <w:rsid w:val="00592F6D"/>
    <w:rsid w:val="00593189"/>
    <w:rsid w:val="0059397A"/>
    <w:rsid w:val="00593A48"/>
    <w:rsid w:val="00593FD9"/>
    <w:rsid w:val="00594138"/>
    <w:rsid w:val="005946D6"/>
    <w:rsid w:val="0059550E"/>
    <w:rsid w:val="00595846"/>
    <w:rsid w:val="00596108"/>
    <w:rsid w:val="005961E2"/>
    <w:rsid w:val="0059629C"/>
    <w:rsid w:val="00596481"/>
    <w:rsid w:val="00597BF8"/>
    <w:rsid w:val="005A004D"/>
    <w:rsid w:val="005A06C7"/>
    <w:rsid w:val="005A07CA"/>
    <w:rsid w:val="005A0E86"/>
    <w:rsid w:val="005A1AF8"/>
    <w:rsid w:val="005A1CEF"/>
    <w:rsid w:val="005A244C"/>
    <w:rsid w:val="005A2BFA"/>
    <w:rsid w:val="005A30CD"/>
    <w:rsid w:val="005A33D3"/>
    <w:rsid w:val="005A4B10"/>
    <w:rsid w:val="005A5447"/>
    <w:rsid w:val="005A5538"/>
    <w:rsid w:val="005A572A"/>
    <w:rsid w:val="005A66D2"/>
    <w:rsid w:val="005A6932"/>
    <w:rsid w:val="005B00F3"/>
    <w:rsid w:val="005B0309"/>
    <w:rsid w:val="005B0661"/>
    <w:rsid w:val="005B0784"/>
    <w:rsid w:val="005B15A7"/>
    <w:rsid w:val="005B1BE5"/>
    <w:rsid w:val="005B2B21"/>
    <w:rsid w:val="005B3E13"/>
    <w:rsid w:val="005B419F"/>
    <w:rsid w:val="005B43F8"/>
    <w:rsid w:val="005B55BD"/>
    <w:rsid w:val="005B63D3"/>
    <w:rsid w:val="005B6FF8"/>
    <w:rsid w:val="005B7553"/>
    <w:rsid w:val="005C183D"/>
    <w:rsid w:val="005C2665"/>
    <w:rsid w:val="005C2790"/>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0E6"/>
    <w:rsid w:val="005D432A"/>
    <w:rsid w:val="005D4B57"/>
    <w:rsid w:val="005D5D5C"/>
    <w:rsid w:val="005D6514"/>
    <w:rsid w:val="005D6659"/>
    <w:rsid w:val="005D68B1"/>
    <w:rsid w:val="005D73DC"/>
    <w:rsid w:val="005D7AE9"/>
    <w:rsid w:val="005D7C53"/>
    <w:rsid w:val="005E00C1"/>
    <w:rsid w:val="005E0199"/>
    <w:rsid w:val="005E0761"/>
    <w:rsid w:val="005E0AF8"/>
    <w:rsid w:val="005E0BF2"/>
    <w:rsid w:val="005E0C26"/>
    <w:rsid w:val="005E0D95"/>
    <w:rsid w:val="005E1063"/>
    <w:rsid w:val="005E198A"/>
    <w:rsid w:val="005E1E4A"/>
    <w:rsid w:val="005E1ED8"/>
    <w:rsid w:val="005E1F0E"/>
    <w:rsid w:val="005E1F3F"/>
    <w:rsid w:val="005E222F"/>
    <w:rsid w:val="005E22B8"/>
    <w:rsid w:val="005E2B7A"/>
    <w:rsid w:val="005E2CA6"/>
    <w:rsid w:val="005E3499"/>
    <w:rsid w:val="005E3731"/>
    <w:rsid w:val="005E3F49"/>
    <w:rsid w:val="005E4396"/>
    <w:rsid w:val="005E4611"/>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8DA"/>
    <w:rsid w:val="005F3B5E"/>
    <w:rsid w:val="005F3C62"/>
    <w:rsid w:val="005F41AF"/>
    <w:rsid w:val="005F45C1"/>
    <w:rsid w:val="005F4E29"/>
    <w:rsid w:val="005F6091"/>
    <w:rsid w:val="005F639A"/>
    <w:rsid w:val="005F6652"/>
    <w:rsid w:val="005F6DB2"/>
    <w:rsid w:val="005F723B"/>
    <w:rsid w:val="005F736D"/>
    <w:rsid w:val="005F7AB2"/>
    <w:rsid w:val="005F7F93"/>
    <w:rsid w:val="0060042B"/>
    <w:rsid w:val="006004DC"/>
    <w:rsid w:val="00600972"/>
    <w:rsid w:val="00601B59"/>
    <w:rsid w:val="00602601"/>
    <w:rsid w:val="006029E3"/>
    <w:rsid w:val="006031C0"/>
    <w:rsid w:val="006031D7"/>
    <w:rsid w:val="006035BC"/>
    <w:rsid w:val="00603A39"/>
    <w:rsid w:val="00603FCE"/>
    <w:rsid w:val="0060438C"/>
    <w:rsid w:val="006048FB"/>
    <w:rsid w:val="00606AD7"/>
    <w:rsid w:val="00606B17"/>
    <w:rsid w:val="006073A6"/>
    <w:rsid w:val="006078A8"/>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70DE"/>
    <w:rsid w:val="00617598"/>
    <w:rsid w:val="00617722"/>
    <w:rsid w:val="0061780E"/>
    <w:rsid w:val="00621BA1"/>
    <w:rsid w:val="006221B2"/>
    <w:rsid w:val="00622225"/>
    <w:rsid w:val="006224DE"/>
    <w:rsid w:val="006226E4"/>
    <w:rsid w:val="00623BD1"/>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F59"/>
    <w:rsid w:val="0063393B"/>
    <w:rsid w:val="00633BC0"/>
    <w:rsid w:val="00634631"/>
    <w:rsid w:val="006348C9"/>
    <w:rsid w:val="0063499C"/>
    <w:rsid w:val="006350DC"/>
    <w:rsid w:val="00635C58"/>
    <w:rsid w:val="0063766F"/>
    <w:rsid w:val="00637797"/>
    <w:rsid w:val="006377BF"/>
    <w:rsid w:val="00637D4A"/>
    <w:rsid w:val="00640CD6"/>
    <w:rsid w:val="00641011"/>
    <w:rsid w:val="006413BC"/>
    <w:rsid w:val="006420FA"/>
    <w:rsid w:val="0064228B"/>
    <w:rsid w:val="0064276F"/>
    <w:rsid w:val="00642F94"/>
    <w:rsid w:val="0064310E"/>
    <w:rsid w:val="00643B8B"/>
    <w:rsid w:val="00643DC8"/>
    <w:rsid w:val="00643EE3"/>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60"/>
    <w:rsid w:val="006531D4"/>
    <w:rsid w:val="00653233"/>
    <w:rsid w:val="006537AE"/>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60D5C"/>
    <w:rsid w:val="00660FC1"/>
    <w:rsid w:val="00660FDB"/>
    <w:rsid w:val="00661902"/>
    <w:rsid w:val="00662757"/>
    <w:rsid w:val="006627FD"/>
    <w:rsid w:val="00662A59"/>
    <w:rsid w:val="00662DCF"/>
    <w:rsid w:val="00663450"/>
    <w:rsid w:val="00663576"/>
    <w:rsid w:val="00663707"/>
    <w:rsid w:val="00663B4A"/>
    <w:rsid w:val="00663E5F"/>
    <w:rsid w:val="006640E4"/>
    <w:rsid w:val="00664B29"/>
    <w:rsid w:val="00665148"/>
    <w:rsid w:val="00665223"/>
    <w:rsid w:val="006658B5"/>
    <w:rsid w:val="00665E7E"/>
    <w:rsid w:val="00666B4F"/>
    <w:rsid w:val="00666EDC"/>
    <w:rsid w:val="0066700B"/>
    <w:rsid w:val="006671A2"/>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2E6C"/>
    <w:rsid w:val="00672F25"/>
    <w:rsid w:val="006740AA"/>
    <w:rsid w:val="00674425"/>
    <w:rsid w:val="00674B6A"/>
    <w:rsid w:val="00674CBA"/>
    <w:rsid w:val="00674E42"/>
    <w:rsid w:val="00675718"/>
    <w:rsid w:val="006759A0"/>
    <w:rsid w:val="00677431"/>
    <w:rsid w:val="0067768E"/>
    <w:rsid w:val="0068033D"/>
    <w:rsid w:val="00680654"/>
    <w:rsid w:val="006808D4"/>
    <w:rsid w:val="00680A4F"/>
    <w:rsid w:val="00680CB2"/>
    <w:rsid w:val="00680FE5"/>
    <w:rsid w:val="00680FFB"/>
    <w:rsid w:val="00681EA7"/>
    <w:rsid w:val="00682179"/>
    <w:rsid w:val="006821D7"/>
    <w:rsid w:val="006828D2"/>
    <w:rsid w:val="00683339"/>
    <w:rsid w:val="00685B8E"/>
    <w:rsid w:val="00686005"/>
    <w:rsid w:val="0068610A"/>
    <w:rsid w:val="006864E7"/>
    <w:rsid w:val="006868D4"/>
    <w:rsid w:val="00686D6D"/>
    <w:rsid w:val="00686F96"/>
    <w:rsid w:val="00687159"/>
    <w:rsid w:val="00687CD6"/>
    <w:rsid w:val="00690355"/>
    <w:rsid w:val="00691321"/>
    <w:rsid w:val="00691D32"/>
    <w:rsid w:val="00692BB7"/>
    <w:rsid w:val="0069337F"/>
    <w:rsid w:val="006934D1"/>
    <w:rsid w:val="006938DA"/>
    <w:rsid w:val="00693DD0"/>
    <w:rsid w:val="00694A2B"/>
    <w:rsid w:val="00695061"/>
    <w:rsid w:val="006950B1"/>
    <w:rsid w:val="006951CF"/>
    <w:rsid w:val="006955EE"/>
    <w:rsid w:val="00695C91"/>
    <w:rsid w:val="00695E67"/>
    <w:rsid w:val="0069734E"/>
    <w:rsid w:val="006976AD"/>
    <w:rsid w:val="00697EA8"/>
    <w:rsid w:val="006A031F"/>
    <w:rsid w:val="006A046A"/>
    <w:rsid w:val="006A0561"/>
    <w:rsid w:val="006A062C"/>
    <w:rsid w:val="006A0B5D"/>
    <w:rsid w:val="006A0B90"/>
    <w:rsid w:val="006A1911"/>
    <w:rsid w:val="006A2B7B"/>
    <w:rsid w:val="006A2D4C"/>
    <w:rsid w:val="006A3BE4"/>
    <w:rsid w:val="006A4206"/>
    <w:rsid w:val="006A4B74"/>
    <w:rsid w:val="006A4C31"/>
    <w:rsid w:val="006A57DA"/>
    <w:rsid w:val="006A5D58"/>
    <w:rsid w:val="006A692B"/>
    <w:rsid w:val="006A69CD"/>
    <w:rsid w:val="006A6D9D"/>
    <w:rsid w:val="006A7889"/>
    <w:rsid w:val="006A7CB3"/>
    <w:rsid w:val="006B0454"/>
    <w:rsid w:val="006B0AC4"/>
    <w:rsid w:val="006B0D05"/>
    <w:rsid w:val="006B0E97"/>
    <w:rsid w:val="006B101E"/>
    <w:rsid w:val="006B1107"/>
    <w:rsid w:val="006B113E"/>
    <w:rsid w:val="006B23A0"/>
    <w:rsid w:val="006B2854"/>
    <w:rsid w:val="006B3077"/>
    <w:rsid w:val="006B30E4"/>
    <w:rsid w:val="006B3451"/>
    <w:rsid w:val="006B35CB"/>
    <w:rsid w:val="006B35EA"/>
    <w:rsid w:val="006B39BB"/>
    <w:rsid w:val="006B39FB"/>
    <w:rsid w:val="006B3C34"/>
    <w:rsid w:val="006B5587"/>
    <w:rsid w:val="006B5688"/>
    <w:rsid w:val="006B6330"/>
    <w:rsid w:val="006B6A80"/>
    <w:rsid w:val="006B6BF2"/>
    <w:rsid w:val="006B768A"/>
    <w:rsid w:val="006B7DE9"/>
    <w:rsid w:val="006C08F9"/>
    <w:rsid w:val="006C0F20"/>
    <w:rsid w:val="006C17FB"/>
    <w:rsid w:val="006C1AA4"/>
    <w:rsid w:val="006C1DFE"/>
    <w:rsid w:val="006C1EC5"/>
    <w:rsid w:val="006C20AA"/>
    <w:rsid w:val="006C292F"/>
    <w:rsid w:val="006C2FE7"/>
    <w:rsid w:val="006C3473"/>
    <w:rsid w:val="006C3CB8"/>
    <w:rsid w:val="006C40C5"/>
    <w:rsid w:val="006C45AD"/>
    <w:rsid w:val="006C4CF9"/>
    <w:rsid w:val="006C4D46"/>
    <w:rsid w:val="006C537B"/>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64"/>
    <w:rsid w:val="006D3179"/>
    <w:rsid w:val="006D370F"/>
    <w:rsid w:val="006D3E28"/>
    <w:rsid w:val="006D45F7"/>
    <w:rsid w:val="006D6369"/>
    <w:rsid w:val="006D713A"/>
    <w:rsid w:val="006D7744"/>
    <w:rsid w:val="006D7897"/>
    <w:rsid w:val="006D7C31"/>
    <w:rsid w:val="006E0341"/>
    <w:rsid w:val="006E0646"/>
    <w:rsid w:val="006E0876"/>
    <w:rsid w:val="006E08DB"/>
    <w:rsid w:val="006E0950"/>
    <w:rsid w:val="006E15EF"/>
    <w:rsid w:val="006E1A2A"/>
    <w:rsid w:val="006E1AB2"/>
    <w:rsid w:val="006E1E5C"/>
    <w:rsid w:val="006E2A5C"/>
    <w:rsid w:val="006E2B54"/>
    <w:rsid w:val="006E2B78"/>
    <w:rsid w:val="006E31D2"/>
    <w:rsid w:val="006E3453"/>
    <w:rsid w:val="006E4312"/>
    <w:rsid w:val="006E43F3"/>
    <w:rsid w:val="006E463A"/>
    <w:rsid w:val="006E466A"/>
    <w:rsid w:val="006E5219"/>
    <w:rsid w:val="006E5D3C"/>
    <w:rsid w:val="006E64D5"/>
    <w:rsid w:val="006E6C55"/>
    <w:rsid w:val="006E7617"/>
    <w:rsid w:val="006E779C"/>
    <w:rsid w:val="006E7BBF"/>
    <w:rsid w:val="006E7DDA"/>
    <w:rsid w:val="006F0829"/>
    <w:rsid w:val="006F0E8B"/>
    <w:rsid w:val="006F0F1C"/>
    <w:rsid w:val="006F1DE9"/>
    <w:rsid w:val="006F3060"/>
    <w:rsid w:val="006F3B59"/>
    <w:rsid w:val="006F4963"/>
    <w:rsid w:val="006F51AA"/>
    <w:rsid w:val="006F60E8"/>
    <w:rsid w:val="006F743B"/>
    <w:rsid w:val="006F764F"/>
    <w:rsid w:val="006F7901"/>
    <w:rsid w:val="006F7AD3"/>
    <w:rsid w:val="006F7B02"/>
    <w:rsid w:val="00700787"/>
    <w:rsid w:val="00700F81"/>
    <w:rsid w:val="00701043"/>
    <w:rsid w:val="0070106A"/>
    <w:rsid w:val="00701632"/>
    <w:rsid w:val="007024D0"/>
    <w:rsid w:val="00702CCD"/>
    <w:rsid w:val="00702EFC"/>
    <w:rsid w:val="00702F0B"/>
    <w:rsid w:val="007032D6"/>
    <w:rsid w:val="00704162"/>
    <w:rsid w:val="00705297"/>
    <w:rsid w:val="007052C7"/>
    <w:rsid w:val="00706806"/>
    <w:rsid w:val="0070728A"/>
    <w:rsid w:val="00707CBD"/>
    <w:rsid w:val="00707CFC"/>
    <w:rsid w:val="007103E5"/>
    <w:rsid w:val="00710468"/>
    <w:rsid w:val="00710958"/>
    <w:rsid w:val="00710DF7"/>
    <w:rsid w:val="007117F4"/>
    <w:rsid w:val="0071213A"/>
    <w:rsid w:val="0071221F"/>
    <w:rsid w:val="0071246C"/>
    <w:rsid w:val="00713D13"/>
    <w:rsid w:val="00714456"/>
    <w:rsid w:val="007144E3"/>
    <w:rsid w:val="00714A6B"/>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4EC2"/>
    <w:rsid w:val="00725590"/>
    <w:rsid w:val="007255A8"/>
    <w:rsid w:val="00725F29"/>
    <w:rsid w:val="007261AC"/>
    <w:rsid w:val="00727EBC"/>
    <w:rsid w:val="00730563"/>
    <w:rsid w:val="0073065D"/>
    <w:rsid w:val="007318FB"/>
    <w:rsid w:val="00732408"/>
    <w:rsid w:val="00732B88"/>
    <w:rsid w:val="007333A5"/>
    <w:rsid w:val="007333CA"/>
    <w:rsid w:val="007334AC"/>
    <w:rsid w:val="00733826"/>
    <w:rsid w:val="00735282"/>
    <w:rsid w:val="007358F4"/>
    <w:rsid w:val="00737495"/>
    <w:rsid w:val="00737A71"/>
    <w:rsid w:val="00737CDF"/>
    <w:rsid w:val="00737E49"/>
    <w:rsid w:val="007404F7"/>
    <w:rsid w:val="0074098A"/>
    <w:rsid w:val="00740CA1"/>
    <w:rsid w:val="00741362"/>
    <w:rsid w:val="00741408"/>
    <w:rsid w:val="0074155D"/>
    <w:rsid w:val="007422A9"/>
    <w:rsid w:val="00742AC9"/>
    <w:rsid w:val="0074332A"/>
    <w:rsid w:val="0074399D"/>
    <w:rsid w:val="00743C86"/>
    <w:rsid w:val="007448E6"/>
    <w:rsid w:val="00744DF3"/>
    <w:rsid w:val="0074509A"/>
    <w:rsid w:val="007451E0"/>
    <w:rsid w:val="0074520C"/>
    <w:rsid w:val="00745428"/>
    <w:rsid w:val="007454BA"/>
    <w:rsid w:val="007455D2"/>
    <w:rsid w:val="007457F3"/>
    <w:rsid w:val="00745ACC"/>
    <w:rsid w:val="007462EF"/>
    <w:rsid w:val="00746A20"/>
    <w:rsid w:val="00746D91"/>
    <w:rsid w:val="007476AA"/>
    <w:rsid w:val="00747A98"/>
    <w:rsid w:val="00747F73"/>
    <w:rsid w:val="00750101"/>
    <w:rsid w:val="00750A88"/>
    <w:rsid w:val="007513EF"/>
    <w:rsid w:val="00751A67"/>
    <w:rsid w:val="00751E9C"/>
    <w:rsid w:val="00751ED7"/>
    <w:rsid w:val="00751FB2"/>
    <w:rsid w:val="007522C3"/>
    <w:rsid w:val="00752BCA"/>
    <w:rsid w:val="00752DBA"/>
    <w:rsid w:val="0075337B"/>
    <w:rsid w:val="00753384"/>
    <w:rsid w:val="00753F80"/>
    <w:rsid w:val="00754758"/>
    <w:rsid w:val="00754BBB"/>
    <w:rsid w:val="00754BC4"/>
    <w:rsid w:val="00754BDF"/>
    <w:rsid w:val="00755A4E"/>
    <w:rsid w:val="00755A72"/>
    <w:rsid w:val="0075641A"/>
    <w:rsid w:val="00756541"/>
    <w:rsid w:val="00756F19"/>
    <w:rsid w:val="00757D84"/>
    <w:rsid w:val="00760071"/>
    <w:rsid w:val="0076028E"/>
    <w:rsid w:val="007604F4"/>
    <w:rsid w:val="00760DA2"/>
    <w:rsid w:val="00760FAC"/>
    <w:rsid w:val="0076124A"/>
    <w:rsid w:val="007618C1"/>
    <w:rsid w:val="00761CB5"/>
    <w:rsid w:val="00761CD9"/>
    <w:rsid w:val="00761DCE"/>
    <w:rsid w:val="00761F9B"/>
    <w:rsid w:val="0076253C"/>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881"/>
    <w:rsid w:val="00771C9A"/>
    <w:rsid w:val="007745D4"/>
    <w:rsid w:val="00774714"/>
    <w:rsid w:val="007748DC"/>
    <w:rsid w:val="00775639"/>
    <w:rsid w:val="007757A7"/>
    <w:rsid w:val="0077604C"/>
    <w:rsid w:val="007767C2"/>
    <w:rsid w:val="00780256"/>
    <w:rsid w:val="007802BA"/>
    <w:rsid w:val="007804A5"/>
    <w:rsid w:val="007809E2"/>
    <w:rsid w:val="00780A60"/>
    <w:rsid w:val="00780D5C"/>
    <w:rsid w:val="007811D2"/>
    <w:rsid w:val="007811DF"/>
    <w:rsid w:val="00781FDD"/>
    <w:rsid w:val="00782115"/>
    <w:rsid w:val="00782123"/>
    <w:rsid w:val="00783AAF"/>
    <w:rsid w:val="00783DAC"/>
    <w:rsid w:val="00784194"/>
    <w:rsid w:val="0078440F"/>
    <w:rsid w:val="007851A2"/>
    <w:rsid w:val="00785A58"/>
    <w:rsid w:val="00785BF8"/>
    <w:rsid w:val="00785DA1"/>
    <w:rsid w:val="00785DCA"/>
    <w:rsid w:val="00785ED3"/>
    <w:rsid w:val="00786455"/>
    <w:rsid w:val="00786ACE"/>
    <w:rsid w:val="007877C6"/>
    <w:rsid w:val="00787BA2"/>
    <w:rsid w:val="00787C11"/>
    <w:rsid w:val="00790255"/>
    <w:rsid w:val="007902CC"/>
    <w:rsid w:val="007902E5"/>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D80"/>
    <w:rsid w:val="0079746B"/>
    <w:rsid w:val="007A01B2"/>
    <w:rsid w:val="007A02D1"/>
    <w:rsid w:val="007A0613"/>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64F"/>
    <w:rsid w:val="007B0E32"/>
    <w:rsid w:val="007B10C6"/>
    <w:rsid w:val="007B2184"/>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2E5C"/>
    <w:rsid w:val="007C33D7"/>
    <w:rsid w:val="007C3639"/>
    <w:rsid w:val="007C3AA4"/>
    <w:rsid w:val="007C3F1D"/>
    <w:rsid w:val="007C4A70"/>
    <w:rsid w:val="007C5298"/>
    <w:rsid w:val="007C5299"/>
    <w:rsid w:val="007C5E4A"/>
    <w:rsid w:val="007C61E1"/>
    <w:rsid w:val="007C6228"/>
    <w:rsid w:val="007C6B7C"/>
    <w:rsid w:val="007C76F6"/>
    <w:rsid w:val="007C7F30"/>
    <w:rsid w:val="007D08C1"/>
    <w:rsid w:val="007D0FA9"/>
    <w:rsid w:val="007D13A5"/>
    <w:rsid w:val="007D1A18"/>
    <w:rsid w:val="007D2045"/>
    <w:rsid w:val="007D2157"/>
    <w:rsid w:val="007D226C"/>
    <w:rsid w:val="007D23FE"/>
    <w:rsid w:val="007D26FC"/>
    <w:rsid w:val="007D2EA8"/>
    <w:rsid w:val="007D32F6"/>
    <w:rsid w:val="007D3430"/>
    <w:rsid w:val="007D39CF"/>
    <w:rsid w:val="007D40D2"/>
    <w:rsid w:val="007D4721"/>
    <w:rsid w:val="007D47FC"/>
    <w:rsid w:val="007D4C72"/>
    <w:rsid w:val="007D5240"/>
    <w:rsid w:val="007D58F9"/>
    <w:rsid w:val="007D5927"/>
    <w:rsid w:val="007D5CAD"/>
    <w:rsid w:val="007D5E61"/>
    <w:rsid w:val="007D6210"/>
    <w:rsid w:val="007D6255"/>
    <w:rsid w:val="007D67B4"/>
    <w:rsid w:val="007D6D39"/>
    <w:rsid w:val="007D6E91"/>
    <w:rsid w:val="007D6EC6"/>
    <w:rsid w:val="007E06AF"/>
    <w:rsid w:val="007E1ADD"/>
    <w:rsid w:val="007E1D5E"/>
    <w:rsid w:val="007E2294"/>
    <w:rsid w:val="007E3587"/>
    <w:rsid w:val="007E3DE0"/>
    <w:rsid w:val="007E3F6C"/>
    <w:rsid w:val="007E4448"/>
    <w:rsid w:val="007E467D"/>
    <w:rsid w:val="007E536E"/>
    <w:rsid w:val="007E59CE"/>
    <w:rsid w:val="007E5C50"/>
    <w:rsid w:val="007E6117"/>
    <w:rsid w:val="007E64DB"/>
    <w:rsid w:val="007E6B37"/>
    <w:rsid w:val="007E6B8C"/>
    <w:rsid w:val="007E7219"/>
    <w:rsid w:val="007E788E"/>
    <w:rsid w:val="007E7E37"/>
    <w:rsid w:val="007E7F75"/>
    <w:rsid w:val="007F02B6"/>
    <w:rsid w:val="007F0A09"/>
    <w:rsid w:val="007F1161"/>
    <w:rsid w:val="007F1AC7"/>
    <w:rsid w:val="007F1EAF"/>
    <w:rsid w:val="007F20FF"/>
    <w:rsid w:val="007F25BD"/>
    <w:rsid w:val="007F25EC"/>
    <w:rsid w:val="007F2726"/>
    <w:rsid w:val="007F2BD0"/>
    <w:rsid w:val="007F308A"/>
    <w:rsid w:val="007F338C"/>
    <w:rsid w:val="007F33DF"/>
    <w:rsid w:val="007F35B6"/>
    <w:rsid w:val="007F39E5"/>
    <w:rsid w:val="007F3B88"/>
    <w:rsid w:val="007F3F72"/>
    <w:rsid w:val="007F45BF"/>
    <w:rsid w:val="007F495A"/>
    <w:rsid w:val="007F4B9E"/>
    <w:rsid w:val="007F53AC"/>
    <w:rsid w:val="007F599E"/>
    <w:rsid w:val="007F5C52"/>
    <w:rsid w:val="007F632A"/>
    <w:rsid w:val="007F65F4"/>
    <w:rsid w:val="007F75D1"/>
    <w:rsid w:val="007F7B35"/>
    <w:rsid w:val="007F7DBB"/>
    <w:rsid w:val="007F7F06"/>
    <w:rsid w:val="0080044D"/>
    <w:rsid w:val="0080074B"/>
    <w:rsid w:val="008008FC"/>
    <w:rsid w:val="00800B54"/>
    <w:rsid w:val="00801411"/>
    <w:rsid w:val="00801DDB"/>
    <w:rsid w:val="0080211F"/>
    <w:rsid w:val="008021DD"/>
    <w:rsid w:val="0080301C"/>
    <w:rsid w:val="00803337"/>
    <w:rsid w:val="0080349C"/>
    <w:rsid w:val="00803BED"/>
    <w:rsid w:val="008044A1"/>
    <w:rsid w:val="00805037"/>
    <w:rsid w:val="0080535C"/>
    <w:rsid w:val="00806200"/>
    <w:rsid w:val="008069D9"/>
    <w:rsid w:val="008072EC"/>
    <w:rsid w:val="00807DE2"/>
    <w:rsid w:val="00810502"/>
    <w:rsid w:val="00810955"/>
    <w:rsid w:val="00810DFC"/>
    <w:rsid w:val="008111C7"/>
    <w:rsid w:val="00811730"/>
    <w:rsid w:val="00811945"/>
    <w:rsid w:val="00811CDE"/>
    <w:rsid w:val="0081369B"/>
    <w:rsid w:val="00813C47"/>
    <w:rsid w:val="0081489D"/>
    <w:rsid w:val="00814C8F"/>
    <w:rsid w:val="00814D5B"/>
    <w:rsid w:val="008155F3"/>
    <w:rsid w:val="008157A4"/>
    <w:rsid w:val="00816174"/>
    <w:rsid w:val="0081664B"/>
    <w:rsid w:val="008166DF"/>
    <w:rsid w:val="00816B49"/>
    <w:rsid w:val="00817EEB"/>
    <w:rsid w:val="00820966"/>
    <w:rsid w:val="00820B86"/>
    <w:rsid w:val="0082121C"/>
    <w:rsid w:val="008220CA"/>
    <w:rsid w:val="0082228A"/>
    <w:rsid w:val="00822AB9"/>
    <w:rsid w:val="00822C35"/>
    <w:rsid w:val="0082376A"/>
    <w:rsid w:val="00823D46"/>
    <w:rsid w:val="0082482C"/>
    <w:rsid w:val="00824922"/>
    <w:rsid w:val="00825265"/>
    <w:rsid w:val="00825757"/>
    <w:rsid w:val="00827E6B"/>
    <w:rsid w:val="008303E6"/>
    <w:rsid w:val="00831F0D"/>
    <w:rsid w:val="008322F7"/>
    <w:rsid w:val="008324C5"/>
    <w:rsid w:val="008328B8"/>
    <w:rsid w:val="00832B13"/>
    <w:rsid w:val="0083377C"/>
    <w:rsid w:val="0083388A"/>
    <w:rsid w:val="008347C5"/>
    <w:rsid w:val="00835FB0"/>
    <w:rsid w:val="008362B1"/>
    <w:rsid w:val="0083634B"/>
    <w:rsid w:val="008368D2"/>
    <w:rsid w:val="00836965"/>
    <w:rsid w:val="00836C3E"/>
    <w:rsid w:val="008376BA"/>
    <w:rsid w:val="00840091"/>
    <w:rsid w:val="008408C6"/>
    <w:rsid w:val="00841275"/>
    <w:rsid w:val="008413BE"/>
    <w:rsid w:val="00841BDE"/>
    <w:rsid w:val="00841F07"/>
    <w:rsid w:val="00842A7B"/>
    <w:rsid w:val="00842EF7"/>
    <w:rsid w:val="008432ED"/>
    <w:rsid w:val="008435C8"/>
    <w:rsid w:val="0084379B"/>
    <w:rsid w:val="00843F95"/>
    <w:rsid w:val="00844660"/>
    <w:rsid w:val="00844C65"/>
    <w:rsid w:val="00845984"/>
    <w:rsid w:val="008460B0"/>
    <w:rsid w:val="0084618E"/>
    <w:rsid w:val="008466B3"/>
    <w:rsid w:val="008473E3"/>
    <w:rsid w:val="0084762B"/>
    <w:rsid w:val="00847F13"/>
    <w:rsid w:val="0085014F"/>
    <w:rsid w:val="008516E8"/>
    <w:rsid w:val="0085196E"/>
    <w:rsid w:val="0085198C"/>
    <w:rsid w:val="008525FE"/>
    <w:rsid w:val="008526D1"/>
    <w:rsid w:val="008531A3"/>
    <w:rsid w:val="008535A3"/>
    <w:rsid w:val="00854A31"/>
    <w:rsid w:val="00854C55"/>
    <w:rsid w:val="00854CA6"/>
    <w:rsid w:val="00855196"/>
    <w:rsid w:val="00855598"/>
    <w:rsid w:val="00855771"/>
    <w:rsid w:val="00855855"/>
    <w:rsid w:val="008567BC"/>
    <w:rsid w:val="0085701E"/>
    <w:rsid w:val="008579AC"/>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551"/>
    <w:rsid w:val="0087165B"/>
    <w:rsid w:val="0087180D"/>
    <w:rsid w:val="00871D37"/>
    <w:rsid w:val="008723A2"/>
    <w:rsid w:val="008726CB"/>
    <w:rsid w:val="0087296D"/>
    <w:rsid w:val="00872FAA"/>
    <w:rsid w:val="00873B45"/>
    <w:rsid w:val="008740AD"/>
    <w:rsid w:val="0087421D"/>
    <w:rsid w:val="0087462A"/>
    <w:rsid w:val="0087471E"/>
    <w:rsid w:val="00874C6B"/>
    <w:rsid w:val="008763DA"/>
    <w:rsid w:val="008764D8"/>
    <w:rsid w:val="0087657F"/>
    <w:rsid w:val="0087664C"/>
    <w:rsid w:val="00876926"/>
    <w:rsid w:val="0087693C"/>
    <w:rsid w:val="00876F0D"/>
    <w:rsid w:val="00877605"/>
    <w:rsid w:val="008779A4"/>
    <w:rsid w:val="00877E5F"/>
    <w:rsid w:val="00877FFB"/>
    <w:rsid w:val="00880017"/>
    <w:rsid w:val="00880028"/>
    <w:rsid w:val="008806CE"/>
    <w:rsid w:val="00880700"/>
    <w:rsid w:val="008807A2"/>
    <w:rsid w:val="00880BF6"/>
    <w:rsid w:val="00880F2F"/>
    <w:rsid w:val="008810C0"/>
    <w:rsid w:val="0088135B"/>
    <w:rsid w:val="00881669"/>
    <w:rsid w:val="00881683"/>
    <w:rsid w:val="0088199F"/>
    <w:rsid w:val="008820F2"/>
    <w:rsid w:val="008825A6"/>
    <w:rsid w:val="008829D4"/>
    <w:rsid w:val="008833E7"/>
    <w:rsid w:val="0088421A"/>
    <w:rsid w:val="00884A24"/>
    <w:rsid w:val="00884BE3"/>
    <w:rsid w:val="00884FD9"/>
    <w:rsid w:val="00885042"/>
    <w:rsid w:val="00885910"/>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965"/>
    <w:rsid w:val="008A0F79"/>
    <w:rsid w:val="008A10CB"/>
    <w:rsid w:val="008A139C"/>
    <w:rsid w:val="008A158E"/>
    <w:rsid w:val="008A18A4"/>
    <w:rsid w:val="008A1ABD"/>
    <w:rsid w:val="008A20F2"/>
    <w:rsid w:val="008A221D"/>
    <w:rsid w:val="008A23B6"/>
    <w:rsid w:val="008A24C3"/>
    <w:rsid w:val="008A292A"/>
    <w:rsid w:val="008A42C4"/>
    <w:rsid w:val="008A43D4"/>
    <w:rsid w:val="008A4423"/>
    <w:rsid w:val="008A477D"/>
    <w:rsid w:val="008A5269"/>
    <w:rsid w:val="008A5DCE"/>
    <w:rsid w:val="008A5DFD"/>
    <w:rsid w:val="008A64A7"/>
    <w:rsid w:val="008A771F"/>
    <w:rsid w:val="008A7735"/>
    <w:rsid w:val="008A7D18"/>
    <w:rsid w:val="008A7F03"/>
    <w:rsid w:val="008B009A"/>
    <w:rsid w:val="008B0B54"/>
    <w:rsid w:val="008B1241"/>
    <w:rsid w:val="008B156F"/>
    <w:rsid w:val="008B1CC4"/>
    <w:rsid w:val="008B224C"/>
    <w:rsid w:val="008B24A1"/>
    <w:rsid w:val="008B2CC5"/>
    <w:rsid w:val="008B3DB3"/>
    <w:rsid w:val="008B3FB9"/>
    <w:rsid w:val="008B4253"/>
    <w:rsid w:val="008B4567"/>
    <w:rsid w:val="008B4A17"/>
    <w:rsid w:val="008B4B23"/>
    <w:rsid w:val="008B4F8C"/>
    <w:rsid w:val="008B5997"/>
    <w:rsid w:val="008B5999"/>
    <w:rsid w:val="008B5F4E"/>
    <w:rsid w:val="008B6170"/>
    <w:rsid w:val="008B626F"/>
    <w:rsid w:val="008B65EA"/>
    <w:rsid w:val="008B6B9D"/>
    <w:rsid w:val="008B729B"/>
    <w:rsid w:val="008B7ECA"/>
    <w:rsid w:val="008C0672"/>
    <w:rsid w:val="008C1838"/>
    <w:rsid w:val="008C1873"/>
    <w:rsid w:val="008C1CCF"/>
    <w:rsid w:val="008C22B7"/>
    <w:rsid w:val="008C2310"/>
    <w:rsid w:val="008C2666"/>
    <w:rsid w:val="008C2D0B"/>
    <w:rsid w:val="008C2D34"/>
    <w:rsid w:val="008C310B"/>
    <w:rsid w:val="008C42F0"/>
    <w:rsid w:val="008C4776"/>
    <w:rsid w:val="008C5CB4"/>
    <w:rsid w:val="008C649F"/>
    <w:rsid w:val="008C6BA3"/>
    <w:rsid w:val="008C6D60"/>
    <w:rsid w:val="008C77BD"/>
    <w:rsid w:val="008C7CFB"/>
    <w:rsid w:val="008C7E7D"/>
    <w:rsid w:val="008D1AC9"/>
    <w:rsid w:val="008D2253"/>
    <w:rsid w:val="008D266C"/>
    <w:rsid w:val="008D2922"/>
    <w:rsid w:val="008D31CE"/>
    <w:rsid w:val="008D3B33"/>
    <w:rsid w:val="008D3B4E"/>
    <w:rsid w:val="008D3F8B"/>
    <w:rsid w:val="008D4BE0"/>
    <w:rsid w:val="008D53FD"/>
    <w:rsid w:val="008D631E"/>
    <w:rsid w:val="008D72A9"/>
    <w:rsid w:val="008D7775"/>
    <w:rsid w:val="008D78B5"/>
    <w:rsid w:val="008E00E2"/>
    <w:rsid w:val="008E0D9F"/>
    <w:rsid w:val="008E0DC7"/>
    <w:rsid w:val="008E101F"/>
    <w:rsid w:val="008E1341"/>
    <w:rsid w:val="008E19A7"/>
    <w:rsid w:val="008E1E20"/>
    <w:rsid w:val="008E2195"/>
    <w:rsid w:val="008E2281"/>
    <w:rsid w:val="008E2592"/>
    <w:rsid w:val="008E324C"/>
    <w:rsid w:val="008E3355"/>
    <w:rsid w:val="008E39CA"/>
    <w:rsid w:val="008E3C3D"/>
    <w:rsid w:val="008E4934"/>
    <w:rsid w:val="008E5685"/>
    <w:rsid w:val="008E691A"/>
    <w:rsid w:val="008E711A"/>
    <w:rsid w:val="008F03FA"/>
    <w:rsid w:val="008F0807"/>
    <w:rsid w:val="008F0D33"/>
    <w:rsid w:val="008F1ED1"/>
    <w:rsid w:val="008F24C4"/>
    <w:rsid w:val="008F2858"/>
    <w:rsid w:val="008F2BAD"/>
    <w:rsid w:val="008F3183"/>
    <w:rsid w:val="008F38A3"/>
    <w:rsid w:val="008F3BED"/>
    <w:rsid w:val="008F5C41"/>
    <w:rsid w:val="008F6537"/>
    <w:rsid w:val="008F69F9"/>
    <w:rsid w:val="008F6D9C"/>
    <w:rsid w:val="008F6E52"/>
    <w:rsid w:val="008F70F1"/>
    <w:rsid w:val="008F74F3"/>
    <w:rsid w:val="008F75B3"/>
    <w:rsid w:val="008F7B7C"/>
    <w:rsid w:val="00900D3E"/>
    <w:rsid w:val="00902FB2"/>
    <w:rsid w:val="00902FF8"/>
    <w:rsid w:val="0090367F"/>
    <w:rsid w:val="00903EF6"/>
    <w:rsid w:val="00904409"/>
    <w:rsid w:val="00904AA2"/>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72A6"/>
    <w:rsid w:val="009172FF"/>
    <w:rsid w:val="0091773F"/>
    <w:rsid w:val="009177C2"/>
    <w:rsid w:val="009200FC"/>
    <w:rsid w:val="009201B1"/>
    <w:rsid w:val="00920553"/>
    <w:rsid w:val="00920FFA"/>
    <w:rsid w:val="009210D3"/>
    <w:rsid w:val="00921173"/>
    <w:rsid w:val="00921492"/>
    <w:rsid w:val="009214F7"/>
    <w:rsid w:val="00921FB4"/>
    <w:rsid w:val="0092245B"/>
    <w:rsid w:val="00922498"/>
    <w:rsid w:val="00922502"/>
    <w:rsid w:val="009225F6"/>
    <w:rsid w:val="00923855"/>
    <w:rsid w:val="009239F2"/>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32FF"/>
    <w:rsid w:val="009434F0"/>
    <w:rsid w:val="009435FC"/>
    <w:rsid w:val="00943715"/>
    <w:rsid w:val="00943ADB"/>
    <w:rsid w:val="00944376"/>
    <w:rsid w:val="00944C9E"/>
    <w:rsid w:val="00945911"/>
    <w:rsid w:val="0094659C"/>
    <w:rsid w:val="00946CA8"/>
    <w:rsid w:val="00946F41"/>
    <w:rsid w:val="00947B90"/>
    <w:rsid w:val="0095043B"/>
    <w:rsid w:val="00950454"/>
    <w:rsid w:val="0095083E"/>
    <w:rsid w:val="009517D0"/>
    <w:rsid w:val="009517FE"/>
    <w:rsid w:val="009529CD"/>
    <w:rsid w:val="00952B91"/>
    <w:rsid w:val="00952CB5"/>
    <w:rsid w:val="00953F31"/>
    <w:rsid w:val="009542D7"/>
    <w:rsid w:val="00954759"/>
    <w:rsid w:val="00956259"/>
    <w:rsid w:val="00956411"/>
    <w:rsid w:val="009564D4"/>
    <w:rsid w:val="00956C7A"/>
    <w:rsid w:val="00957227"/>
    <w:rsid w:val="009573D9"/>
    <w:rsid w:val="0095748C"/>
    <w:rsid w:val="009576B9"/>
    <w:rsid w:val="00957720"/>
    <w:rsid w:val="00957EC8"/>
    <w:rsid w:val="00957F60"/>
    <w:rsid w:val="00960583"/>
    <w:rsid w:val="00961AC5"/>
    <w:rsid w:val="00961C32"/>
    <w:rsid w:val="009625CB"/>
    <w:rsid w:val="0096295F"/>
    <w:rsid w:val="00963126"/>
    <w:rsid w:val="00963893"/>
    <w:rsid w:val="00963D97"/>
    <w:rsid w:val="009641F5"/>
    <w:rsid w:val="009648E6"/>
    <w:rsid w:val="00964E44"/>
    <w:rsid w:val="00965531"/>
    <w:rsid w:val="00965A4B"/>
    <w:rsid w:val="00965DD6"/>
    <w:rsid w:val="00966194"/>
    <w:rsid w:val="00966240"/>
    <w:rsid w:val="009667C5"/>
    <w:rsid w:val="0096721B"/>
    <w:rsid w:val="00967F8F"/>
    <w:rsid w:val="0097083D"/>
    <w:rsid w:val="00970FFA"/>
    <w:rsid w:val="00971132"/>
    <w:rsid w:val="009715C2"/>
    <w:rsid w:val="00971765"/>
    <w:rsid w:val="00971BEC"/>
    <w:rsid w:val="00972CCB"/>
    <w:rsid w:val="00972CE6"/>
    <w:rsid w:val="009730FF"/>
    <w:rsid w:val="00973999"/>
    <w:rsid w:val="00973CEC"/>
    <w:rsid w:val="00973DA9"/>
    <w:rsid w:val="00974FB9"/>
    <w:rsid w:val="009761D8"/>
    <w:rsid w:val="009765EA"/>
    <w:rsid w:val="00976842"/>
    <w:rsid w:val="00976AC1"/>
    <w:rsid w:val="00976F61"/>
    <w:rsid w:val="009772EC"/>
    <w:rsid w:val="0097775D"/>
    <w:rsid w:val="00980BF4"/>
    <w:rsid w:val="0098121A"/>
    <w:rsid w:val="0098320B"/>
    <w:rsid w:val="009833BF"/>
    <w:rsid w:val="00983634"/>
    <w:rsid w:val="00984275"/>
    <w:rsid w:val="009865BF"/>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D9"/>
    <w:rsid w:val="00997D6C"/>
    <w:rsid w:val="00997D96"/>
    <w:rsid w:val="00997DA4"/>
    <w:rsid w:val="00997DEF"/>
    <w:rsid w:val="009A0B90"/>
    <w:rsid w:val="009A1193"/>
    <w:rsid w:val="009A1966"/>
    <w:rsid w:val="009A1E56"/>
    <w:rsid w:val="009A2E6F"/>
    <w:rsid w:val="009A3407"/>
    <w:rsid w:val="009A3A4C"/>
    <w:rsid w:val="009A4662"/>
    <w:rsid w:val="009A474A"/>
    <w:rsid w:val="009A4882"/>
    <w:rsid w:val="009A53BF"/>
    <w:rsid w:val="009A548B"/>
    <w:rsid w:val="009A570E"/>
    <w:rsid w:val="009A5799"/>
    <w:rsid w:val="009A5895"/>
    <w:rsid w:val="009A5DB7"/>
    <w:rsid w:val="009A5DBB"/>
    <w:rsid w:val="009A5E27"/>
    <w:rsid w:val="009A618D"/>
    <w:rsid w:val="009A6431"/>
    <w:rsid w:val="009A6CCD"/>
    <w:rsid w:val="009A75A4"/>
    <w:rsid w:val="009A7AAE"/>
    <w:rsid w:val="009B04D7"/>
    <w:rsid w:val="009B05BE"/>
    <w:rsid w:val="009B06DD"/>
    <w:rsid w:val="009B092B"/>
    <w:rsid w:val="009B1287"/>
    <w:rsid w:val="009B1A1B"/>
    <w:rsid w:val="009B1D7B"/>
    <w:rsid w:val="009B215B"/>
    <w:rsid w:val="009B2413"/>
    <w:rsid w:val="009B3B67"/>
    <w:rsid w:val="009B450E"/>
    <w:rsid w:val="009B4533"/>
    <w:rsid w:val="009B4835"/>
    <w:rsid w:val="009B49D2"/>
    <w:rsid w:val="009B4A4C"/>
    <w:rsid w:val="009B4C93"/>
    <w:rsid w:val="009B5747"/>
    <w:rsid w:val="009B5CA3"/>
    <w:rsid w:val="009B5D31"/>
    <w:rsid w:val="009B5DBC"/>
    <w:rsid w:val="009B5E74"/>
    <w:rsid w:val="009B6370"/>
    <w:rsid w:val="009B6CD5"/>
    <w:rsid w:val="009B768F"/>
    <w:rsid w:val="009B783F"/>
    <w:rsid w:val="009B79FA"/>
    <w:rsid w:val="009B7B86"/>
    <w:rsid w:val="009C0044"/>
    <w:rsid w:val="009C07A9"/>
    <w:rsid w:val="009C0E0D"/>
    <w:rsid w:val="009C1942"/>
    <w:rsid w:val="009C1B33"/>
    <w:rsid w:val="009C1FFF"/>
    <w:rsid w:val="009C291B"/>
    <w:rsid w:val="009C2E18"/>
    <w:rsid w:val="009C3692"/>
    <w:rsid w:val="009C3A14"/>
    <w:rsid w:val="009C3A30"/>
    <w:rsid w:val="009C3C96"/>
    <w:rsid w:val="009C3DE1"/>
    <w:rsid w:val="009C4797"/>
    <w:rsid w:val="009C4C83"/>
    <w:rsid w:val="009C5691"/>
    <w:rsid w:val="009C596F"/>
    <w:rsid w:val="009C5BAC"/>
    <w:rsid w:val="009C61A5"/>
    <w:rsid w:val="009C656D"/>
    <w:rsid w:val="009C67BE"/>
    <w:rsid w:val="009C7506"/>
    <w:rsid w:val="009C75E0"/>
    <w:rsid w:val="009C78CA"/>
    <w:rsid w:val="009C7921"/>
    <w:rsid w:val="009C7A31"/>
    <w:rsid w:val="009C7C0D"/>
    <w:rsid w:val="009C7C42"/>
    <w:rsid w:val="009C7D94"/>
    <w:rsid w:val="009D00A6"/>
    <w:rsid w:val="009D0B77"/>
    <w:rsid w:val="009D0C14"/>
    <w:rsid w:val="009D173D"/>
    <w:rsid w:val="009D1B06"/>
    <w:rsid w:val="009D2E5E"/>
    <w:rsid w:val="009D3AAF"/>
    <w:rsid w:val="009D41FB"/>
    <w:rsid w:val="009D4B2D"/>
    <w:rsid w:val="009D570B"/>
    <w:rsid w:val="009D57AB"/>
    <w:rsid w:val="009D5A10"/>
    <w:rsid w:val="009D600D"/>
    <w:rsid w:val="009D6370"/>
    <w:rsid w:val="009D64D4"/>
    <w:rsid w:val="009D6E60"/>
    <w:rsid w:val="009D72F5"/>
    <w:rsid w:val="009D78D0"/>
    <w:rsid w:val="009D7AB4"/>
    <w:rsid w:val="009D7DC4"/>
    <w:rsid w:val="009E0513"/>
    <w:rsid w:val="009E0722"/>
    <w:rsid w:val="009E0C88"/>
    <w:rsid w:val="009E1C45"/>
    <w:rsid w:val="009E2650"/>
    <w:rsid w:val="009E26FE"/>
    <w:rsid w:val="009E28AA"/>
    <w:rsid w:val="009E2A77"/>
    <w:rsid w:val="009E2AEE"/>
    <w:rsid w:val="009E2B50"/>
    <w:rsid w:val="009E2D40"/>
    <w:rsid w:val="009E32C1"/>
    <w:rsid w:val="009E3ED0"/>
    <w:rsid w:val="009E3F39"/>
    <w:rsid w:val="009E47E7"/>
    <w:rsid w:val="009E5113"/>
    <w:rsid w:val="009E55D1"/>
    <w:rsid w:val="009E590A"/>
    <w:rsid w:val="009E5DE6"/>
    <w:rsid w:val="009E6156"/>
    <w:rsid w:val="009E6808"/>
    <w:rsid w:val="009E6C20"/>
    <w:rsid w:val="009E6EBC"/>
    <w:rsid w:val="009E760E"/>
    <w:rsid w:val="009E7745"/>
    <w:rsid w:val="009E7CB4"/>
    <w:rsid w:val="009F00CD"/>
    <w:rsid w:val="009F0499"/>
    <w:rsid w:val="009F0711"/>
    <w:rsid w:val="009F11A7"/>
    <w:rsid w:val="009F1F26"/>
    <w:rsid w:val="009F28A4"/>
    <w:rsid w:val="009F2BB5"/>
    <w:rsid w:val="009F2BF7"/>
    <w:rsid w:val="009F3513"/>
    <w:rsid w:val="009F379B"/>
    <w:rsid w:val="009F3E0A"/>
    <w:rsid w:val="009F3FB9"/>
    <w:rsid w:val="009F40CE"/>
    <w:rsid w:val="009F4774"/>
    <w:rsid w:val="009F4F45"/>
    <w:rsid w:val="009F5056"/>
    <w:rsid w:val="009F5F1F"/>
    <w:rsid w:val="009F74CB"/>
    <w:rsid w:val="009F7719"/>
    <w:rsid w:val="009F7B84"/>
    <w:rsid w:val="009F7F02"/>
    <w:rsid w:val="00A000CC"/>
    <w:rsid w:val="00A0035D"/>
    <w:rsid w:val="00A009BE"/>
    <w:rsid w:val="00A00FC6"/>
    <w:rsid w:val="00A00FE2"/>
    <w:rsid w:val="00A01AE0"/>
    <w:rsid w:val="00A01E7A"/>
    <w:rsid w:val="00A02338"/>
    <w:rsid w:val="00A026BE"/>
    <w:rsid w:val="00A03C3F"/>
    <w:rsid w:val="00A03F07"/>
    <w:rsid w:val="00A03FED"/>
    <w:rsid w:val="00A04111"/>
    <w:rsid w:val="00A04252"/>
    <w:rsid w:val="00A0520E"/>
    <w:rsid w:val="00A05603"/>
    <w:rsid w:val="00A0582F"/>
    <w:rsid w:val="00A05D88"/>
    <w:rsid w:val="00A05E90"/>
    <w:rsid w:val="00A05EAB"/>
    <w:rsid w:val="00A063EF"/>
    <w:rsid w:val="00A06791"/>
    <w:rsid w:val="00A067BE"/>
    <w:rsid w:val="00A07085"/>
    <w:rsid w:val="00A07326"/>
    <w:rsid w:val="00A07B62"/>
    <w:rsid w:val="00A07D24"/>
    <w:rsid w:val="00A105E5"/>
    <w:rsid w:val="00A107AE"/>
    <w:rsid w:val="00A10D84"/>
    <w:rsid w:val="00A115BD"/>
    <w:rsid w:val="00A1161B"/>
    <w:rsid w:val="00A1241B"/>
    <w:rsid w:val="00A125B4"/>
    <w:rsid w:val="00A135F5"/>
    <w:rsid w:val="00A139B6"/>
    <w:rsid w:val="00A13DAA"/>
    <w:rsid w:val="00A1435C"/>
    <w:rsid w:val="00A14AC8"/>
    <w:rsid w:val="00A15DE0"/>
    <w:rsid w:val="00A15EE0"/>
    <w:rsid w:val="00A1629F"/>
    <w:rsid w:val="00A1733B"/>
    <w:rsid w:val="00A202ED"/>
    <w:rsid w:val="00A2087F"/>
    <w:rsid w:val="00A21404"/>
    <w:rsid w:val="00A22760"/>
    <w:rsid w:val="00A22C84"/>
    <w:rsid w:val="00A2375D"/>
    <w:rsid w:val="00A237EB"/>
    <w:rsid w:val="00A237F3"/>
    <w:rsid w:val="00A24750"/>
    <w:rsid w:val="00A24D21"/>
    <w:rsid w:val="00A2523C"/>
    <w:rsid w:val="00A25653"/>
    <w:rsid w:val="00A25981"/>
    <w:rsid w:val="00A261FD"/>
    <w:rsid w:val="00A26740"/>
    <w:rsid w:val="00A27DE7"/>
    <w:rsid w:val="00A3032D"/>
    <w:rsid w:val="00A30C0F"/>
    <w:rsid w:val="00A323AA"/>
    <w:rsid w:val="00A32D03"/>
    <w:rsid w:val="00A33475"/>
    <w:rsid w:val="00A33499"/>
    <w:rsid w:val="00A33C1C"/>
    <w:rsid w:val="00A34230"/>
    <w:rsid w:val="00A352B9"/>
    <w:rsid w:val="00A35A5C"/>
    <w:rsid w:val="00A36527"/>
    <w:rsid w:val="00A36F48"/>
    <w:rsid w:val="00A37659"/>
    <w:rsid w:val="00A376F4"/>
    <w:rsid w:val="00A37A9C"/>
    <w:rsid w:val="00A407D5"/>
    <w:rsid w:val="00A408F0"/>
    <w:rsid w:val="00A4186A"/>
    <w:rsid w:val="00A41A83"/>
    <w:rsid w:val="00A420A3"/>
    <w:rsid w:val="00A4248C"/>
    <w:rsid w:val="00A4277C"/>
    <w:rsid w:val="00A42C66"/>
    <w:rsid w:val="00A4315F"/>
    <w:rsid w:val="00A434E0"/>
    <w:rsid w:val="00A4352A"/>
    <w:rsid w:val="00A435CD"/>
    <w:rsid w:val="00A43C8F"/>
    <w:rsid w:val="00A44202"/>
    <w:rsid w:val="00A442FF"/>
    <w:rsid w:val="00A44446"/>
    <w:rsid w:val="00A44563"/>
    <w:rsid w:val="00A44E92"/>
    <w:rsid w:val="00A4572A"/>
    <w:rsid w:val="00A45A63"/>
    <w:rsid w:val="00A4660B"/>
    <w:rsid w:val="00A46A68"/>
    <w:rsid w:val="00A470AA"/>
    <w:rsid w:val="00A47374"/>
    <w:rsid w:val="00A47595"/>
    <w:rsid w:val="00A47DE0"/>
    <w:rsid w:val="00A501DE"/>
    <w:rsid w:val="00A50350"/>
    <w:rsid w:val="00A505BF"/>
    <w:rsid w:val="00A505DD"/>
    <w:rsid w:val="00A51204"/>
    <w:rsid w:val="00A51D6A"/>
    <w:rsid w:val="00A51F19"/>
    <w:rsid w:val="00A5218D"/>
    <w:rsid w:val="00A5297E"/>
    <w:rsid w:val="00A52E49"/>
    <w:rsid w:val="00A52F0B"/>
    <w:rsid w:val="00A531F2"/>
    <w:rsid w:val="00A5339E"/>
    <w:rsid w:val="00A53676"/>
    <w:rsid w:val="00A53967"/>
    <w:rsid w:val="00A53D3C"/>
    <w:rsid w:val="00A53F7F"/>
    <w:rsid w:val="00A54457"/>
    <w:rsid w:val="00A5451F"/>
    <w:rsid w:val="00A55121"/>
    <w:rsid w:val="00A55BF7"/>
    <w:rsid w:val="00A55C8A"/>
    <w:rsid w:val="00A55F27"/>
    <w:rsid w:val="00A56CB5"/>
    <w:rsid w:val="00A575DF"/>
    <w:rsid w:val="00A577CC"/>
    <w:rsid w:val="00A57F2B"/>
    <w:rsid w:val="00A6012E"/>
    <w:rsid w:val="00A605C9"/>
    <w:rsid w:val="00A6093B"/>
    <w:rsid w:val="00A614F0"/>
    <w:rsid w:val="00A6166C"/>
    <w:rsid w:val="00A619AE"/>
    <w:rsid w:val="00A62CF6"/>
    <w:rsid w:val="00A6308C"/>
    <w:rsid w:val="00A63991"/>
    <w:rsid w:val="00A6430C"/>
    <w:rsid w:val="00A64537"/>
    <w:rsid w:val="00A647F8"/>
    <w:rsid w:val="00A64A43"/>
    <w:rsid w:val="00A64B50"/>
    <w:rsid w:val="00A66146"/>
    <w:rsid w:val="00A662F3"/>
    <w:rsid w:val="00A66C39"/>
    <w:rsid w:val="00A7047E"/>
    <w:rsid w:val="00A70DF9"/>
    <w:rsid w:val="00A71177"/>
    <w:rsid w:val="00A712D3"/>
    <w:rsid w:val="00A72643"/>
    <w:rsid w:val="00A72F19"/>
    <w:rsid w:val="00A73486"/>
    <w:rsid w:val="00A73731"/>
    <w:rsid w:val="00A73D68"/>
    <w:rsid w:val="00A74491"/>
    <w:rsid w:val="00A75456"/>
    <w:rsid w:val="00A75DFB"/>
    <w:rsid w:val="00A76CFF"/>
    <w:rsid w:val="00A8086E"/>
    <w:rsid w:val="00A80B98"/>
    <w:rsid w:val="00A80CBD"/>
    <w:rsid w:val="00A80E8D"/>
    <w:rsid w:val="00A810F1"/>
    <w:rsid w:val="00A81773"/>
    <w:rsid w:val="00A81C3B"/>
    <w:rsid w:val="00A81D91"/>
    <w:rsid w:val="00A82816"/>
    <w:rsid w:val="00A82C0E"/>
    <w:rsid w:val="00A82DDA"/>
    <w:rsid w:val="00A8336D"/>
    <w:rsid w:val="00A8341D"/>
    <w:rsid w:val="00A83710"/>
    <w:rsid w:val="00A84473"/>
    <w:rsid w:val="00A8510C"/>
    <w:rsid w:val="00A8572F"/>
    <w:rsid w:val="00A85A81"/>
    <w:rsid w:val="00A85AEF"/>
    <w:rsid w:val="00A85B3E"/>
    <w:rsid w:val="00A86C24"/>
    <w:rsid w:val="00A86DFD"/>
    <w:rsid w:val="00A86FBB"/>
    <w:rsid w:val="00A87787"/>
    <w:rsid w:val="00A87BA2"/>
    <w:rsid w:val="00A908ED"/>
    <w:rsid w:val="00A90D4D"/>
    <w:rsid w:val="00A91019"/>
    <w:rsid w:val="00A91A01"/>
    <w:rsid w:val="00A91E74"/>
    <w:rsid w:val="00A92085"/>
    <w:rsid w:val="00A9257D"/>
    <w:rsid w:val="00A92675"/>
    <w:rsid w:val="00A9300E"/>
    <w:rsid w:val="00A93241"/>
    <w:rsid w:val="00A93725"/>
    <w:rsid w:val="00A9373B"/>
    <w:rsid w:val="00A94AA1"/>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596"/>
    <w:rsid w:val="00AA1886"/>
    <w:rsid w:val="00AA1F16"/>
    <w:rsid w:val="00AA2055"/>
    <w:rsid w:val="00AA2BAA"/>
    <w:rsid w:val="00AA2D99"/>
    <w:rsid w:val="00AA331B"/>
    <w:rsid w:val="00AA3545"/>
    <w:rsid w:val="00AA3848"/>
    <w:rsid w:val="00AA4158"/>
    <w:rsid w:val="00AA51D4"/>
    <w:rsid w:val="00AA5C17"/>
    <w:rsid w:val="00AA5FCB"/>
    <w:rsid w:val="00AA6323"/>
    <w:rsid w:val="00AA6650"/>
    <w:rsid w:val="00AA69AA"/>
    <w:rsid w:val="00AA71EE"/>
    <w:rsid w:val="00AA7331"/>
    <w:rsid w:val="00AA788D"/>
    <w:rsid w:val="00AA7B92"/>
    <w:rsid w:val="00AB03A7"/>
    <w:rsid w:val="00AB12DC"/>
    <w:rsid w:val="00AB1AD0"/>
    <w:rsid w:val="00AB1B63"/>
    <w:rsid w:val="00AB1FB5"/>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CA8"/>
    <w:rsid w:val="00AC3E82"/>
    <w:rsid w:val="00AC3F21"/>
    <w:rsid w:val="00AC4BE5"/>
    <w:rsid w:val="00AC4CEA"/>
    <w:rsid w:val="00AC4DE2"/>
    <w:rsid w:val="00AC4E8F"/>
    <w:rsid w:val="00AC5053"/>
    <w:rsid w:val="00AC57D9"/>
    <w:rsid w:val="00AC5D0E"/>
    <w:rsid w:val="00AC5D63"/>
    <w:rsid w:val="00AC60BC"/>
    <w:rsid w:val="00AC653D"/>
    <w:rsid w:val="00AC6C6F"/>
    <w:rsid w:val="00AC7299"/>
    <w:rsid w:val="00AC7E3D"/>
    <w:rsid w:val="00AC7E97"/>
    <w:rsid w:val="00AD05CF"/>
    <w:rsid w:val="00AD08D1"/>
    <w:rsid w:val="00AD090C"/>
    <w:rsid w:val="00AD0B0A"/>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6CD8"/>
    <w:rsid w:val="00AD7778"/>
    <w:rsid w:val="00AD7F3E"/>
    <w:rsid w:val="00AE03AD"/>
    <w:rsid w:val="00AE1009"/>
    <w:rsid w:val="00AE1696"/>
    <w:rsid w:val="00AE1BA6"/>
    <w:rsid w:val="00AE1EDC"/>
    <w:rsid w:val="00AE1F79"/>
    <w:rsid w:val="00AE2702"/>
    <w:rsid w:val="00AE3425"/>
    <w:rsid w:val="00AE38E5"/>
    <w:rsid w:val="00AE394C"/>
    <w:rsid w:val="00AE40E0"/>
    <w:rsid w:val="00AE463F"/>
    <w:rsid w:val="00AE4A33"/>
    <w:rsid w:val="00AE5115"/>
    <w:rsid w:val="00AE62B2"/>
    <w:rsid w:val="00AE745B"/>
    <w:rsid w:val="00AF0202"/>
    <w:rsid w:val="00AF05AB"/>
    <w:rsid w:val="00AF06D5"/>
    <w:rsid w:val="00AF08A6"/>
    <w:rsid w:val="00AF08DC"/>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8D6"/>
    <w:rsid w:val="00AF59D9"/>
    <w:rsid w:val="00AF5ED8"/>
    <w:rsid w:val="00AF6F41"/>
    <w:rsid w:val="00B003D1"/>
    <w:rsid w:val="00B00635"/>
    <w:rsid w:val="00B00776"/>
    <w:rsid w:val="00B01FAB"/>
    <w:rsid w:val="00B01FF3"/>
    <w:rsid w:val="00B0275E"/>
    <w:rsid w:val="00B02F57"/>
    <w:rsid w:val="00B02F93"/>
    <w:rsid w:val="00B03112"/>
    <w:rsid w:val="00B03424"/>
    <w:rsid w:val="00B036F7"/>
    <w:rsid w:val="00B043A3"/>
    <w:rsid w:val="00B049DD"/>
    <w:rsid w:val="00B04F14"/>
    <w:rsid w:val="00B053F0"/>
    <w:rsid w:val="00B0558C"/>
    <w:rsid w:val="00B05BDC"/>
    <w:rsid w:val="00B05CE4"/>
    <w:rsid w:val="00B06AC9"/>
    <w:rsid w:val="00B06FAD"/>
    <w:rsid w:val="00B072DA"/>
    <w:rsid w:val="00B074E5"/>
    <w:rsid w:val="00B10430"/>
    <w:rsid w:val="00B136CD"/>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30A1"/>
    <w:rsid w:val="00B23914"/>
    <w:rsid w:val="00B23C27"/>
    <w:rsid w:val="00B24828"/>
    <w:rsid w:val="00B2498B"/>
    <w:rsid w:val="00B24BA6"/>
    <w:rsid w:val="00B24D74"/>
    <w:rsid w:val="00B2507F"/>
    <w:rsid w:val="00B25489"/>
    <w:rsid w:val="00B25EF3"/>
    <w:rsid w:val="00B2629F"/>
    <w:rsid w:val="00B268FD"/>
    <w:rsid w:val="00B26A3F"/>
    <w:rsid w:val="00B26EA5"/>
    <w:rsid w:val="00B27446"/>
    <w:rsid w:val="00B278AC"/>
    <w:rsid w:val="00B27AC4"/>
    <w:rsid w:val="00B300B1"/>
    <w:rsid w:val="00B3069F"/>
    <w:rsid w:val="00B306C5"/>
    <w:rsid w:val="00B30EF9"/>
    <w:rsid w:val="00B30FA5"/>
    <w:rsid w:val="00B31127"/>
    <w:rsid w:val="00B3141B"/>
    <w:rsid w:val="00B31555"/>
    <w:rsid w:val="00B322E1"/>
    <w:rsid w:val="00B3234B"/>
    <w:rsid w:val="00B3241C"/>
    <w:rsid w:val="00B3259B"/>
    <w:rsid w:val="00B32BE4"/>
    <w:rsid w:val="00B3369F"/>
    <w:rsid w:val="00B339A2"/>
    <w:rsid w:val="00B340D1"/>
    <w:rsid w:val="00B34137"/>
    <w:rsid w:val="00B3423E"/>
    <w:rsid w:val="00B346A2"/>
    <w:rsid w:val="00B346CB"/>
    <w:rsid w:val="00B34FD4"/>
    <w:rsid w:val="00B3545D"/>
    <w:rsid w:val="00B36829"/>
    <w:rsid w:val="00B36A0A"/>
    <w:rsid w:val="00B36CD9"/>
    <w:rsid w:val="00B371F4"/>
    <w:rsid w:val="00B376C0"/>
    <w:rsid w:val="00B4097E"/>
    <w:rsid w:val="00B40A34"/>
    <w:rsid w:val="00B40A5A"/>
    <w:rsid w:val="00B40D91"/>
    <w:rsid w:val="00B4164D"/>
    <w:rsid w:val="00B41CED"/>
    <w:rsid w:val="00B439D4"/>
    <w:rsid w:val="00B4589A"/>
    <w:rsid w:val="00B46B88"/>
    <w:rsid w:val="00B46BB3"/>
    <w:rsid w:val="00B46CB7"/>
    <w:rsid w:val="00B47369"/>
    <w:rsid w:val="00B473FE"/>
    <w:rsid w:val="00B474A0"/>
    <w:rsid w:val="00B47722"/>
    <w:rsid w:val="00B47B30"/>
    <w:rsid w:val="00B50311"/>
    <w:rsid w:val="00B51ED4"/>
    <w:rsid w:val="00B53011"/>
    <w:rsid w:val="00B5393B"/>
    <w:rsid w:val="00B54305"/>
    <w:rsid w:val="00B54834"/>
    <w:rsid w:val="00B54849"/>
    <w:rsid w:val="00B54B3D"/>
    <w:rsid w:val="00B55160"/>
    <w:rsid w:val="00B552E4"/>
    <w:rsid w:val="00B555A5"/>
    <w:rsid w:val="00B556BF"/>
    <w:rsid w:val="00B5570E"/>
    <w:rsid w:val="00B55983"/>
    <w:rsid w:val="00B5693D"/>
    <w:rsid w:val="00B56B48"/>
    <w:rsid w:val="00B56DC8"/>
    <w:rsid w:val="00B571C6"/>
    <w:rsid w:val="00B57321"/>
    <w:rsid w:val="00B57402"/>
    <w:rsid w:val="00B574E0"/>
    <w:rsid w:val="00B57997"/>
    <w:rsid w:val="00B57D77"/>
    <w:rsid w:val="00B57DED"/>
    <w:rsid w:val="00B61C8C"/>
    <w:rsid w:val="00B61E80"/>
    <w:rsid w:val="00B622B9"/>
    <w:rsid w:val="00B625F1"/>
    <w:rsid w:val="00B62BE0"/>
    <w:rsid w:val="00B62D4A"/>
    <w:rsid w:val="00B634A2"/>
    <w:rsid w:val="00B64D27"/>
    <w:rsid w:val="00B651D4"/>
    <w:rsid w:val="00B65B0A"/>
    <w:rsid w:val="00B65EDE"/>
    <w:rsid w:val="00B65FEF"/>
    <w:rsid w:val="00B66382"/>
    <w:rsid w:val="00B66E99"/>
    <w:rsid w:val="00B67251"/>
    <w:rsid w:val="00B67677"/>
    <w:rsid w:val="00B67930"/>
    <w:rsid w:val="00B703D2"/>
    <w:rsid w:val="00B706C1"/>
    <w:rsid w:val="00B70DBF"/>
    <w:rsid w:val="00B71471"/>
    <w:rsid w:val="00B7163E"/>
    <w:rsid w:val="00B7182D"/>
    <w:rsid w:val="00B71F06"/>
    <w:rsid w:val="00B72693"/>
    <w:rsid w:val="00B727F7"/>
    <w:rsid w:val="00B7292E"/>
    <w:rsid w:val="00B72EDE"/>
    <w:rsid w:val="00B72F45"/>
    <w:rsid w:val="00B733EE"/>
    <w:rsid w:val="00B735C3"/>
    <w:rsid w:val="00B750BF"/>
    <w:rsid w:val="00B75221"/>
    <w:rsid w:val="00B766BA"/>
    <w:rsid w:val="00B76D2A"/>
    <w:rsid w:val="00B76F61"/>
    <w:rsid w:val="00B77214"/>
    <w:rsid w:val="00B77775"/>
    <w:rsid w:val="00B77C53"/>
    <w:rsid w:val="00B8017B"/>
    <w:rsid w:val="00B8085C"/>
    <w:rsid w:val="00B80994"/>
    <w:rsid w:val="00B81A22"/>
    <w:rsid w:val="00B82288"/>
    <w:rsid w:val="00B82E9B"/>
    <w:rsid w:val="00B8383B"/>
    <w:rsid w:val="00B84582"/>
    <w:rsid w:val="00B84685"/>
    <w:rsid w:val="00B8485A"/>
    <w:rsid w:val="00B84DEB"/>
    <w:rsid w:val="00B85077"/>
    <w:rsid w:val="00B8525D"/>
    <w:rsid w:val="00B8553F"/>
    <w:rsid w:val="00B86259"/>
    <w:rsid w:val="00B86C88"/>
    <w:rsid w:val="00B87A77"/>
    <w:rsid w:val="00B90141"/>
    <w:rsid w:val="00B909F5"/>
    <w:rsid w:val="00B91AEC"/>
    <w:rsid w:val="00B92176"/>
    <w:rsid w:val="00B940F0"/>
    <w:rsid w:val="00B94814"/>
    <w:rsid w:val="00B951FF"/>
    <w:rsid w:val="00B95EC7"/>
    <w:rsid w:val="00B96099"/>
    <w:rsid w:val="00B96CDD"/>
    <w:rsid w:val="00B97BD4"/>
    <w:rsid w:val="00B97EE3"/>
    <w:rsid w:val="00B97F4E"/>
    <w:rsid w:val="00BA091C"/>
    <w:rsid w:val="00BA09A3"/>
    <w:rsid w:val="00BA1020"/>
    <w:rsid w:val="00BA167C"/>
    <w:rsid w:val="00BA1C22"/>
    <w:rsid w:val="00BA1D5A"/>
    <w:rsid w:val="00BA22D6"/>
    <w:rsid w:val="00BA26B9"/>
    <w:rsid w:val="00BA3420"/>
    <w:rsid w:val="00BA3769"/>
    <w:rsid w:val="00BA3E6D"/>
    <w:rsid w:val="00BA4C5D"/>
    <w:rsid w:val="00BA5A80"/>
    <w:rsid w:val="00BA65F4"/>
    <w:rsid w:val="00BA665C"/>
    <w:rsid w:val="00BA6A03"/>
    <w:rsid w:val="00BA6AC4"/>
    <w:rsid w:val="00BA6E66"/>
    <w:rsid w:val="00BA6E6D"/>
    <w:rsid w:val="00BA7059"/>
    <w:rsid w:val="00BA7246"/>
    <w:rsid w:val="00BA7600"/>
    <w:rsid w:val="00BA786E"/>
    <w:rsid w:val="00BA7880"/>
    <w:rsid w:val="00BA7B31"/>
    <w:rsid w:val="00BB0699"/>
    <w:rsid w:val="00BB06F9"/>
    <w:rsid w:val="00BB090F"/>
    <w:rsid w:val="00BB099D"/>
    <w:rsid w:val="00BB0BB0"/>
    <w:rsid w:val="00BB0F12"/>
    <w:rsid w:val="00BB115A"/>
    <w:rsid w:val="00BB195D"/>
    <w:rsid w:val="00BB25EF"/>
    <w:rsid w:val="00BB29DF"/>
    <w:rsid w:val="00BB34BB"/>
    <w:rsid w:val="00BB3AA9"/>
    <w:rsid w:val="00BB3E1F"/>
    <w:rsid w:val="00BB4283"/>
    <w:rsid w:val="00BB4431"/>
    <w:rsid w:val="00BB4434"/>
    <w:rsid w:val="00BB48BF"/>
    <w:rsid w:val="00BB4AF3"/>
    <w:rsid w:val="00BB51E3"/>
    <w:rsid w:val="00BB58BF"/>
    <w:rsid w:val="00BB6BFF"/>
    <w:rsid w:val="00BB6E49"/>
    <w:rsid w:val="00BB6F4B"/>
    <w:rsid w:val="00BB71DC"/>
    <w:rsid w:val="00BB76EA"/>
    <w:rsid w:val="00BC0A41"/>
    <w:rsid w:val="00BC133D"/>
    <w:rsid w:val="00BC1357"/>
    <w:rsid w:val="00BC2018"/>
    <w:rsid w:val="00BC2D96"/>
    <w:rsid w:val="00BC32DF"/>
    <w:rsid w:val="00BC38DC"/>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104E"/>
    <w:rsid w:val="00BD148C"/>
    <w:rsid w:val="00BD263B"/>
    <w:rsid w:val="00BD2D4B"/>
    <w:rsid w:val="00BD55FD"/>
    <w:rsid w:val="00BD5896"/>
    <w:rsid w:val="00BD5D19"/>
    <w:rsid w:val="00BD640B"/>
    <w:rsid w:val="00BD6523"/>
    <w:rsid w:val="00BD6A15"/>
    <w:rsid w:val="00BD77BC"/>
    <w:rsid w:val="00BD77C5"/>
    <w:rsid w:val="00BD7E45"/>
    <w:rsid w:val="00BE0098"/>
    <w:rsid w:val="00BE0239"/>
    <w:rsid w:val="00BE1E16"/>
    <w:rsid w:val="00BE2C23"/>
    <w:rsid w:val="00BE30AC"/>
    <w:rsid w:val="00BE3255"/>
    <w:rsid w:val="00BE3BF4"/>
    <w:rsid w:val="00BE4707"/>
    <w:rsid w:val="00BE56C5"/>
    <w:rsid w:val="00BE6392"/>
    <w:rsid w:val="00BE6706"/>
    <w:rsid w:val="00BE6F70"/>
    <w:rsid w:val="00BE7441"/>
    <w:rsid w:val="00BE75B6"/>
    <w:rsid w:val="00BE76E3"/>
    <w:rsid w:val="00BE7BD6"/>
    <w:rsid w:val="00BE7E85"/>
    <w:rsid w:val="00BF00EC"/>
    <w:rsid w:val="00BF02DD"/>
    <w:rsid w:val="00BF0C6D"/>
    <w:rsid w:val="00BF1878"/>
    <w:rsid w:val="00BF1EED"/>
    <w:rsid w:val="00BF260D"/>
    <w:rsid w:val="00BF261A"/>
    <w:rsid w:val="00BF2BFD"/>
    <w:rsid w:val="00BF3102"/>
    <w:rsid w:val="00BF3228"/>
    <w:rsid w:val="00BF3381"/>
    <w:rsid w:val="00BF3467"/>
    <w:rsid w:val="00BF4351"/>
    <w:rsid w:val="00BF4B2B"/>
    <w:rsid w:val="00BF5917"/>
    <w:rsid w:val="00BF59E3"/>
    <w:rsid w:val="00BF5C1D"/>
    <w:rsid w:val="00BF65FA"/>
    <w:rsid w:val="00BF6904"/>
    <w:rsid w:val="00BF69EE"/>
    <w:rsid w:val="00BF69F7"/>
    <w:rsid w:val="00BF6DCA"/>
    <w:rsid w:val="00BF714C"/>
    <w:rsid w:val="00BF785B"/>
    <w:rsid w:val="00BF79C8"/>
    <w:rsid w:val="00C001F8"/>
    <w:rsid w:val="00C0112F"/>
    <w:rsid w:val="00C01FBA"/>
    <w:rsid w:val="00C020A9"/>
    <w:rsid w:val="00C02405"/>
    <w:rsid w:val="00C029CF"/>
    <w:rsid w:val="00C03011"/>
    <w:rsid w:val="00C0334E"/>
    <w:rsid w:val="00C03CAB"/>
    <w:rsid w:val="00C03FBA"/>
    <w:rsid w:val="00C0404A"/>
    <w:rsid w:val="00C0419D"/>
    <w:rsid w:val="00C04A4E"/>
    <w:rsid w:val="00C04F58"/>
    <w:rsid w:val="00C05839"/>
    <w:rsid w:val="00C05B4F"/>
    <w:rsid w:val="00C0636D"/>
    <w:rsid w:val="00C07E93"/>
    <w:rsid w:val="00C10935"/>
    <w:rsid w:val="00C1093A"/>
    <w:rsid w:val="00C10946"/>
    <w:rsid w:val="00C110D4"/>
    <w:rsid w:val="00C11713"/>
    <w:rsid w:val="00C12893"/>
    <w:rsid w:val="00C137D3"/>
    <w:rsid w:val="00C14103"/>
    <w:rsid w:val="00C151FD"/>
    <w:rsid w:val="00C15705"/>
    <w:rsid w:val="00C15E1A"/>
    <w:rsid w:val="00C15EDB"/>
    <w:rsid w:val="00C16064"/>
    <w:rsid w:val="00C16682"/>
    <w:rsid w:val="00C16CC6"/>
    <w:rsid w:val="00C17345"/>
    <w:rsid w:val="00C17826"/>
    <w:rsid w:val="00C17C6F"/>
    <w:rsid w:val="00C17EF8"/>
    <w:rsid w:val="00C20614"/>
    <w:rsid w:val="00C20741"/>
    <w:rsid w:val="00C20965"/>
    <w:rsid w:val="00C2097D"/>
    <w:rsid w:val="00C2144E"/>
    <w:rsid w:val="00C218AD"/>
    <w:rsid w:val="00C21BCF"/>
    <w:rsid w:val="00C2248E"/>
    <w:rsid w:val="00C22B4C"/>
    <w:rsid w:val="00C22E73"/>
    <w:rsid w:val="00C22F76"/>
    <w:rsid w:val="00C23587"/>
    <w:rsid w:val="00C23789"/>
    <w:rsid w:val="00C23B26"/>
    <w:rsid w:val="00C240AF"/>
    <w:rsid w:val="00C240F7"/>
    <w:rsid w:val="00C24E27"/>
    <w:rsid w:val="00C2672C"/>
    <w:rsid w:val="00C26B43"/>
    <w:rsid w:val="00C26B60"/>
    <w:rsid w:val="00C26C59"/>
    <w:rsid w:val="00C271B2"/>
    <w:rsid w:val="00C27FF9"/>
    <w:rsid w:val="00C305C2"/>
    <w:rsid w:val="00C30C08"/>
    <w:rsid w:val="00C30FC3"/>
    <w:rsid w:val="00C314AC"/>
    <w:rsid w:val="00C31F3E"/>
    <w:rsid w:val="00C3214F"/>
    <w:rsid w:val="00C328AA"/>
    <w:rsid w:val="00C32918"/>
    <w:rsid w:val="00C32E15"/>
    <w:rsid w:val="00C32E4B"/>
    <w:rsid w:val="00C332DF"/>
    <w:rsid w:val="00C33A96"/>
    <w:rsid w:val="00C354CB"/>
    <w:rsid w:val="00C359B8"/>
    <w:rsid w:val="00C35A08"/>
    <w:rsid w:val="00C35E01"/>
    <w:rsid w:val="00C3624E"/>
    <w:rsid w:val="00C3640D"/>
    <w:rsid w:val="00C36423"/>
    <w:rsid w:val="00C3692F"/>
    <w:rsid w:val="00C36E23"/>
    <w:rsid w:val="00C372EC"/>
    <w:rsid w:val="00C37417"/>
    <w:rsid w:val="00C375F2"/>
    <w:rsid w:val="00C37BD6"/>
    <w:rsid w:val="00C40DC6"/>
    <w:rsid w:val="00C41072"/>
    <w:rsid w:val="00C41A62"/>
    <w:rsid w:val="00C41BD3"/>
    <w:rsid w:val="00C41D55"/>
    <w:rsid w:val="00C41F0D"/>
    <w:rsid w:val="00C41F5E"/>
    <w:rsid w:val="00C4204A"/>
    <w:rsid w:val="00C4267C"/>
    <w:rsid w:val="00C42F66"/>
    <w:rsid w:val="00C4416F"/>
    <w:rsid w:val="00C45211"/>
    <w:rsid w:val="00C46557"/>
    <w:rsid w:val="00C4723C"/>
    <w:rsid w:val="00C4754C"/>
    <w:rsid w:val="00C47725"/>
    <w:rsid w:val="00C477BC"/>
    <w:rsid w:val="00C47DAE"/>
    <w:rsid w:val="00C50498"/>
    <w:rsid w:val="00C50630"/>
    <w:rsid w:val="00C51220"/>
    <w:rsid w:val="00C5194F"/>
    <w:rsid w:val="00C51F7E"/>
    <w:rsid w:val="00C5250C"/>
    <w:rsid w:val="00C528C1"/>
    <w:rsid w:val="00C52D72"/>
    <w:rsid w:val="00C52E82"/>
    <w:rsid w:val="00C53175"/>
    <w:rsid w:val="00C53627"/>
    <w:rsid w:val="00C53DD2"/>
    <w:rsid w:val="00C54550"/>
    <w:rsid w:val="00C54938"/>
    <w:rsid w:val="00C54ACC"/>
    <w:rsid w:val="00C54E5F"/>
    <w:rsid w:val="00C551CF"/>
    <w:rsid w:val="00C5540A"/>
    <w:rsid w:val="00C55FB9"/>
    <w:rsid w:val="00C56275"/>
    <w:rsid w:val="00C56436"/>
    <w:rsid w:val="00C5699C"/>
    <w:rsid w:val="00C56C29"/>
    <w:rsid w:val="00C57492"/>
    <w:rsid w:val="00C57513"/>
    <w:rsid w:val="00C57939"/>
    <w:rsid w:val="00C6067F"/>
    <w:rsid w:val="00C61087"/>
    <w:rsid w:val="00C6116E"/>
    <w:rsid w:val="00C62354"/>
    <w:rsid w:val="00C625CE"/>
    <w:rsid w:val="00C62A5C"/>
    <w:rsid w:val="00C633FC"/>
    <w:rsid w:val="00C63D4B"/>
    <w:rsid w:val="00C6409C"/>
    <w:rsid w:val="00C6431C"/>
    <w:rsid w:val="00C6444E"/>
    <w:rsid w:val="00C64869"/>
    <w:rsid w:val="00C64AC4"/>
    <w:rsid w:val="00C64C19"/>
    <w:rsid w:val="00C650A7"/>
    <w:rsid w:val="00C652F7"/>
    <w:rsid w:val="00C65E47"/>
    <w:rsid w:val="00C66FD0"/>
    <w:rsid w:val="00C673C6"/>
    <w:rsid w:val="00C6763D"/>
    <w:rsid w:val="00C70245"/>
    <w:rsid w:val="00C70327"/>
    <w:rsid w:val="00C70A67"/>
    <w:rsid w:val="00C70E62"/>
    <w:rsid w:val="00C7113E"/>
    <w:rsid w:val="00C711A8"/>
    <w:rsid w:val="00C713D8"/>
    <w:rsid w:val="00C71435"/>
    <w:rsid w:val="00C714D9"/>
    <w:rsid w:val="00C728F4"/>
    <w:rsid w:val="00C72968"/>
    <w:rsid w:val="00C72C9B"/>
    <w:rsid w:val="00C730AF"/>
    <w:rsid w:val="00C73D9D"/>
    <w:rsid w:val="00C73FC5"/>
    <w:rsid w:val="00C74734"/>
    <w:rsid w:val="00C7499C"/>
    <w:rsid w:val="00C74B26"/>
    <w:rsid w:val="00C761F2"/>
    <w:rsid w:val="00C762A5"/>
    <w:rsid w:val="00C77CF4"/>
    <w:rsid w:val="00C800B4"/>
    <w:rsid w:val="00C801C8"/>
    <w:rsid w:val="00C8154F"/>
    <w:rsid w:val="00C81825"/>
    <w:rsid w:val="00C82885"/>
    <w:rsid w:val="00C834D5"/>
    <w:rsid w:val="00C835E8"/>
    <w:rsid w:val="00C83E7C"/>
    <w:rsid w:val="00C8400D"/>
    <w:rsid w:val="00C8401E"/>
    <w:rsid w:val="00C84A08"/>
    <w:rsid w:val="00C851BB"/>
    <w:rsid w:val="00C85466"/>
    <w:rsid w:val="00C856E0"/>
    <w:rsid w:val="00C859CF"/>
    <w:rsid w:val="00C86236"/>
    <w:rsid w:val="00C86901"/>
    <w:rsid w:val="00C86C0C"/>
    <w:rsid w:val="00C86DEC"/>
    <w:rsid w:val="00C87276"/>
    <w:rsid w:val="00C872E9"/>
    <w:rsid w:val="00C87775"/>
    <w:rsid w:val="00C87AB3"/>
    <w:rsid w:val="00C87B36"/>
    <w:rsid w:val="00C907E8"/>
    <w:rsid w:val="00C91A9A"/>
    <w:rsid w:val="00C921C9"/>
    <w:rsid w:val="00C92728"/>
    <w:rsid w:val="00C92EFF"/>
    <w:rsid w:val="00C9338F"/>
    <w:rsid w:val="00C93DB7"/>
    <w:rsid w:val="00C93EAF"/>
    <w:rsid w:val="00C941E0"/>
    <w:rsid w:val="00C944E5"/>
    <w:rsid w:val="00C94821"/>
    <w:rsid w:val="00C95087"/>
    <w:rsid w:val="00C95CC9"/>
    <w:rsid w:val="00C96239"/>
    <w:rsid w:val="00C965CD"/>
    <w:rsid w:val="00C96B6A"/>
    <w:rsid w:val="00C96D9F"/>
    <w:rsid w:val="00C96FB9"/>
    <w:rsid w:val="00C978A0"/>
    <w:rsid w:val="00CA1D3C"/>
    <w:rsid w:val="00CA2291"/>
    <w:rsid w:val="00CA22C4"/>
    <w:rsid w:val="00CA2648"/>
    <w:rsid w:val="00CA3105"/>
    <w:rsid w:val="00CA32F2"/>
    <w:rsid w:val="00CA3809"/>
    <w:rsid w:val="00CA3B17"/>
    <w:rsid w:val="00CA3EA2"/>
    <w:rsid w:val="00CA4910"/>
    <w:rsid w:val="00CA549E"/>
    <w:rsid w:val="00CA55F4"/>
    <w:rsid w:val="00CA562E"/>
    <w:rsid w:val="00CA574B"/>
    <w:rsid w:val="00CA641D"/>
    <w:rsid w:val="00CA68F4"/>
    <w:rsid w:val="00CA7231"/>
    <w:rsid w:val="00CA74E2"/>
    <w:rsid w:val="00CA7763"/>
    <w:rsid w:val="00CB0525"/>
    <w:rsid w:val="00CB0C82"/>
    <w:rsid w:val="00CB15DB"/>
    <w:rsid w:val="00CB21BC"/>
    <w:rsid w:val="00CB23A6"/>
    <w:rsid w:val="00CB2EC3"/>
    <w:rsid w:val="00CB329B"/>
    <w:rsid w:val="00CB3FEB"/>
    <w:rsid w:val="00CB4135"/>
    <w:rsid w:val="00CB4354"/>
    <w:rsid w:val="00CB4D3F"/>
    <w:rsid w:val="00CB4EAE"/>
    <w:rsid w:val="00CB4ECC"/>
    <w:rsid w:val="00CB500D"/>
    <w:rsid w:val="00CB5631"/>
    <w:rsid w:val="00CB6045"/>
    <w:rsid w:val="00CB611F"/>
    <w:rsid w:val="00CB66AE"/>
    <w:rsid w:val="00CB724D"/>
    <w:rsid w:val="00CB7309"/>
    <w:rsid w:val="00CC0E93"/>
    <w:rsid w:val="00CC3158"/>
    <w:rsid w:val="00CC3431"/>
    <w:rsid w:val="00CC386D"/>
    <w:rsid w:val="00CC44A0"/>
    <w:rsid w:val="00CC497E"/>
    <w:rsid w:val="00CC4E9C"/>
    <w:rsid w:val="00CC50B0"/>
    <w:rsid w:val="00CC5C32"/>
    <w:rsid w:val="00CC5E4D"/>
    <w:rsid w:val="00CC5E80"/>
    <w:rsid w:val="00CC6131"/>
    <w:rsid w:val="00CC6286"/>
    <w:rsid w:val="00CC64A1"/>
    <w:rsid w:val="00CC6B7F"/>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5D21"/>
    <w:rsid w:val="00CD6191"/>
    <w:rsid w:val="00CD67E2"/>
    <w:rsid w:val="00CD7FFC"/>
    <w:rsid w:val="00CE0793"/>
    <w:rsid w:val="00CE1685"/>
    <w:rsid w:val="00CE197D"/>
    <w:rsid w:val="00CE199B"/>
    <w:rsid w:val="00CE2471"/>
    <w:rsid w:val="00CE28A6"/>
    <w:rsid w:val="00CE3235"/>
    <w:rsid w:val="00CE3932"/>
    <w:rsid w:val="00CE39B8"/>
    <w:rsid w:val="00CE3E04"/>
    <w:rsid w:val="00CE476D"/>
    <w:rsid w:val="00CE4A3C"/>
    <w:rsid w:val="00CE4A64"/>
    <w:rsid w:val="00CE5452"/>
    <w:rsid w:val="00CE5A0D"/>
    <w:rsid w:val="00CE5A2F"/>
    <w:rsid w:val="00CE5CAF"/>
    <w:rsid w:val="00CE6EAD"/>
    <w:rsid w:val="00CE7218"/>
    <w:rsid w:val="00CE734F"/>
    <w:rsid w:val="00CE7778"/>
    <w:rsid w:val="00CE7BDC"/>
    <w:rsid w:val="00CE7F3D"/>
    <w:rsid w:val="00CF0266"/>
    <w:rsid w:val="00CF0779"/>
    <w:rsid w:val="00CF134B"/>
    <w:rsid w:val="00CF1D15"/>
    <w:rsid w:val="00CF33D8"/>
    <w:rsid w:val="00CF40DF"/>
    <w:rsid w:val="00CF42E4"/>
    <w:rsid w:val="00CF46BC"/>
    <w:rsid w:val="00CF4706"/>
    <w:rsid w:val="00CF479A"/>
    <w:rsid w:val="00CF4EF7"/>
    <w:rsid w:val="00CF58DA"/>
    <w:rsid w:val="00CF59EF"/>
    <w:rsid w:val="00CF5C19"/>
    <w:rsid w:val="00CF6647"/>
    <w:rsid w:val="00CF66EC"/>
    <w:rsid w:val="00CF6834"/>
    <w:rsid w:val="00CF6DF8"/>
    <w:rsid w:val="00CF6ED5"/>
    <w:rsid w:val="00CF7117"/>
    <w:rsid w:val="00CF746B"/>
    <w:rsid w:val="00CF790D"/>
    <w:rsid w:val="00CF7F66"/>
    <w:rsid w:val="00D00002"/>
    <w:rsid w:val="00D01488"/>
    <w:rsid w:val="00D02125"/>
    <w:rsid w:val="00D02669"/>
    <w:rsid w:val="00D02896"/>
    <w:rsid w:val="00D029D0"/>
    <w:rsid w:val="00D02D13"/>
    <w:rsid w:val="00D02FD5"/>
    <w:rsid w:val="00D032FD"/>
    <w:rsid w:val="00D0339D"/>
    <w:rsid w:val="00D04C3A"/>
    <w:rsid w:val="00D04ECE"/>
    <w:rsid w:val="00D05098"/>
    <w:rsid w:val="00D0542A"/>
    <w:rsid w:val="00D0544B"/>
    <w:rsid w:val="00D05B10"/>
    <w:rsid w:val="00D05CA6"/>
    <w:rsid w:val="00D06423"/>
    <w:rsid w:val="00D06BA6"/>
    <w:rsid w:val="00D07387"/>
    <w:rsid w:val="00D074CC"/>
    <w:rsid w:val="00D0794B"/>
    <w:rsid w:val="00D07BF5"/>
    <w:rsid w:val="00D07F6F"/>
    <w:rsid w:val="00D10221"/>
    <w:rsid w:val="00D10A3B"/>
    <w:rsid w:val="00D10C13"/>
    <w:rsid w:val="00D1261F"/>
    <w:rsid w:val="00D135C5"/>
    <w:rsid w:val="00D1398B"/>
    <w:rsid w:val="00D13A39"/>
    <w:rsid w:val="00D13BC4"/>
    <w:rsid w:val="00D13CEA"/>
    <w:rsid w:val="00D13E28"/>
    <w:rsid w:val="00D15566"/>
    <w:rsid w:val="00D15E43"/>
    <w:rsid w:val="00D16741"/>
    <w:rsid w:val="00D16CAA"/>
    <w:rsid w:val="00D16D4C"/>
    <w:rsid w:val="00D16E2D"/>
    <w:rsid w:val="00D208A0"/>
    <w:rsid w:val="00D20EFD"/>
    <w:rsid w:val="00D210CC"/>
    <w:rsid w:val="00D211B2"/>
    <w:rsid w:val="00D226EA"/>
    <w:rsid w:val="00D23009"/>
    <w:rsid w:val="00D23582"/>
    <w:rsid w:val="00D235F9"/>
    <w:rsid w:val="00D2370E"/>
    <w:rsid w:val="00D23CBB"/>
    <w:rsid w:val="00D2507F"/>
    <w:rsid w:val="00D25598"/>
    <w:rsid w:val="00D25B58"/>
    <w:rsid w:val="00D25F1D"/>
    <w:rsid w:val="00D27138"/>
    <w:rsid w:val="00D271BF"/>
    <w:rsid w:val="00D276A2"/>
    <w:rsid w:val="00D276AC"/>
    <w:rsid w:val="00D278C5"/>
    <w:rsid w:val="00D3003B"/>
    <w:rsid w:val="00D303B8"/>
    <w:rsid w:val="00D30502"/>
    <w:rsid w:val="00D311D3"/>
    <w:rsid w:val="00D314E5"/>
    <w:rsid w:val="00D31649"/>
    <w:rsid w:val="00D31833"/>
    <w:rsid w:val="00D318DD"/>
    <w:rsid w:val="00D32AA5"/>
    <w:rsid w:val="00D33DDC"/>
    <w:rsid w:val="00D34164"/>
    <w:rsid w:val="00D342DF"/>
    <w:rsid w:val="00D347AD"/>
    <w:rsid w:val="00D34804"/>
    <w:rsid w:val="00D35334"/>
    <w:rsid w:val="00D354A5"/>
    <w:rsid w:val="00D3734F"/>
    <w:rsid w:val="00D374DE"/>
    <w:rsid w:val="00D3750C"/>
    <w:rsid w:val="00D37837"/>
    <w:rsid w:val="00D37BF3"/>
    <w:rsid w:val="00D37EC2"/>
    <w:rsid w:val="00D40204"/>
    <w:rsid w:val="00D4074F"/>
    <w:rsid w:val="00D40E65"/>
    <w:rsid w:val="00D410B3"/>
    <w:rsid w:val="00D420A6"/>
    <w:rsid w:val="00D421AF"/>
    <w:rsid w:val="00D42721"/>
    <w:rsid w:val="00D42801"/>
    <w:rsid w:val="00D42BA0"/>
    <w:rsid w:val="00D42FB2"/>
    <w:rsid w:val="00D43B8F"/>
    <w:rsid w:val="00D44248"/>
    <w:rsid w:val="00D44CB9"/>
    <w:rsid w:val="00D44F8E"/>
    <w:rsid w:val="00D4557A"/>
    <w:rsid w:val="00D4576F"/>
    <w:rsid w:val="00D46074"/>
    <w:rsid w:val="00D461F2"/>
    <w:rsid w:val="00D46AC3"/>
    <w:rsid w:val="00D47396"/>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4CA8"/>
    <w:rsid w:val="00D55514"/>
    <w:rsid w:val="00D5585A"/>
    <w:rsid w:val="00D56519"/>
    <w:rsid w:val="00D56D27"/>
    <w:rsid w:val="00D573E6"/>
    <w:rsid w:val="00D5785C"/>
    <w:rsid w:val="00D60517"/>
    <w:rsid w:val="00D622CE"/>
    <w:rsid w:val="00D62FC8"/>
    <w:rsid w:val="00D63567"/>
    <w:rsid w:val="00D6365D"/>
    <w:rsid w:val="00D6366A"/>
    <w:rsid w:val="00D63F4D"/>
    <w:rsid w:val="00D64397"/>
    <w:rsid w:val="00D644CD"/>
    <w:rsid w:val="00D64E52"/>
    <w:rsid w:val="00D655BB"/>
    <w:rsid w:val="00D65998"/>
    <w:rsid w:val="00D65F0D"/>
    <w:rsid w:val="00D67274"/>
    <w:rsid w:val="00D672E1"/>
    <w:rsid w:val="00D6773A"/>
    <w:rsid w:val="00D679E1"/>
    <w:rsid w:val="00D70A7D"/>
    <w:rsid w:val="00D70CF5"/>
    <w:rsid w:val="00D70D32"/>
    <w:rsid w:val="00D70D88"/>
    <w:rsid w:val="00D711A7"/>
    <w:rsid w:val="00D714CA"/>
    <w:rsid w:val="00D71733"/>
    <w:rsid w:val="00D72A83"/>
    <w:rsid w:val="00D7300D"/>
    <w:rsid w:val="00D739D9"/>
    <w:rsid w:val="00D73F82"/>
    <w:rsid w:val="00D73FF5"/>
    <w:rsid w:val="00D75425"/>
    <w:rsid w:val="00D7549A"/>
    <w:rsid w:val="00D75C5E"/>
    <w:rsid w:val="00D76C13"/>
    <w:rsid w:val="00D76FAD"/>
    <w:rsid w:val="00D7783D"/>
    <w:rsid w:val="00D77F58"/>
    <w:rsid w:val="00D8017E"/>
    <w:rsid w:val="00D803DF"/>
    <w:rsid w:val="00D809F3"/>
    <w:rsid w:val="00D80A8D"/>
    <w:rsid w:val="00D817E4"/>
    <w:rsid w:val="00D82243"/>
    <w:rsid w:val="00D82514"/>
    <w:rsid w:val="00D83239"/>
    <w:rsid w:val="00D83AC4"/>
    <w:rsid w:val="00D84093"/>
    <w:rsid w:val="00D840E4"/>
    <w:rsid w:val="00D853E6"/>
    <w:rsid w:val="00D863F0"/>
    <w:rsid w:val="00D864F8"/>
    <w:rsid w:val="00D86B09"/>
    <w:rsid w:val="00D872E4"/>
    <w:rsid w:val="00D87706"/>
    <w:rsid w:val="00D87E29"/>
    <w:rsid w:val="00D91BA3"/>
    <w:rsid w:val="00D92251"/>
    <w:rsid w:val="00D9225E"/>
    <w:rsid w:val="00D92860"/>
    <w:rsid w:val="00D929EC"/>
    <w:rsid w:val="00D92E41"/>
    <w:rsid w:val="00D93052"/>
    <w:rsid w:val="00D938F4"/>
    <w:rsid w:val="00D93E23"/>
    <w:rsid w:val="00D94644"/>
    <w:rsid w:val="00D94D20"/>
    <w:rsid w:val="00D94FA8"/>
    <w:rsid w:val="00D9501B"/>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BD9"/>
    <w:rsid w:val="00DA2FA2"/>
    <w:rsid w:val="00DA302C"/>
    <w:rsid w:val="00DA3F57"/>
    <w:rsid w:val="00DA431F"/>
    <w:rsid w:val="00DA46D3"/>
    <w:rsid w:val="00DA4901"/>
    <w:rsid w:val="00DA4B2C"/>
    <w:rsid w:val="00DA56F3"/>
    <w:rsid w:val="00DA5CA6"/>
    <w:rsid w:val="00DA5D30"/>
    <w:rsid w:val="00DA5D42"/>
    <w:rsid w:val="00DA645E"/>
    <w:rsid w:val="00DA6736"/>
    <w:rsid w:val="00DA69AD"/>
    <w:rsid w:val="00DA6AB6"/>
    <w:rsid w:val="00DA6F2C"/>
    <w:rsid w:val="00DA7193"/>
    <w:rsid w:val="00DB02BA"/>
    <w:rsid w:val="00DB02F9"/>
    <w:rsid w:val="00DB07D0"/>
    <w:rsid w:val="00DB0A66"/>
    <w:rsid w:val="00DB172A"/>
    <w:rsid w:val="00DB1BC7"/>
    <w:rsid w:val="00DB1E14"/>
    <w:rsid w:val="00DB20DB"/>
    <w:rsid w:val="00DB2102"/>
    <w:rsid w:val="00DB2EF1"/>
    <w:rsid w:val="00DB41AA"/>
    <w:rsid w:val="00DB42F5"/>
    <w:rsid w:val="00DB4F74"/>
    <w:rsid w:val="00DB52F3"/>
    <w:rsid w:val="00DB5605"/>
    <w:rsid w:val="00DB59B4"/>
    <w:rsid w:val="00DB5C32"/>
    <w:rsid w:val="00DB5FA8"/>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3374"/>
    <w:rsid w:val="00DC3456"/>
    <w:rsid w:val="00DC3AA6"/>
    <w:rsid w:val="00DC4021"/>
    <w:rsid w:val="00DC4BD6"/>
    <w:rsid w:val="00DC4E1E"/>
    <w:rsid w:val="00DC50EB"/>
    <w:rsid w:val="00DC601A"/>
    <w:rsid w:val="00DC6358"/>
    <w:rsid w:val="00DC64D3"/>
    <w:rsid w:val="00DC69C4"/>
    <w:rsid w:val="00DC773F"/>
    <w:rsid w:val="00DC77C2"/>
    <w:rsid w:val="00DC77E3"/>
    <w:rsid w:val="00DD1B7C"/>
    <w:rsid w:val="00DD25F4"/>
    <w:rsid w:val="00DD269B"/>
    <w:rsid w:val="00DD29E5"/>
    <w:rsid w:val="00DD2F45"/>
    <w:rsid w:val="00DD3900"/>
    <w:rsid w:val="00DD4903"/>
    <w:rsid w:val="00DD498F"/>
    <w:rsid w:val="00DD4C42"/>
    <w:rsid w:val="00DD6559"/>
    <w:rsid w:val="00DD6CFA"/>
    <w:rsid w:val="00DD74A3"/>
    <w:rsid w:val="00DD7B5E"/>
    <w:rsid w:val="00DD7D8B"/>
    <w:rsid w:val="00DE0645"/>
    <w:rsid w:val="00DE099B"/>
    <w:rsid w:val="00DE1024"/>
    <w:rsid w:val="00DE1098"/>
    <w:rsid w:val="00DE1289"/>
    <w:rsid w:val="00DE2753"/>
    <w:rsid w:val="00DE3A56"/>
    <w:rsid w:val="00DE3B5C"/>
    <w:rsid w:val="00DE4008"/>
    <w:rsid w:val="00DE4F6A"/>
    <w:rsid w:val="00DE596D"/>
    <w:rsid w:val="00DE5A66"/>
    <w:rsid w:val="00DE6CCB"/>
    <w:rsid w:val="00DE6EE1"/>
    <w:rsid w:val="00DE6EF1"/>
    <w:rsid w:val="00DE7724"/>
    <w:rsid w:val="00DF0116"/>
    <w:rsid w:val="00DF01D5"/>
    <w:rsid w:val="00DF05E1"/>
    <w:rsid w:val="00DF0DCD"/>
    <w:rsid w:val="00DF1316"/>
    <w:rsid w:val="00DF137A"/>
    <w:rsid w:val="00DF14CA"/>
    <w:rsid w:val="00DF1B95"/>
    <w:rsid w:val="00DF1CCD"/>
    <w:rsid w:val="00DF1EFC"/>
    <w:rsid w:val="00DF230C"/>
    <w:rsid w:val="00DF28C6"/>
    <w:rsid w:val="00DF4534"/>
    <w:rsid w:val="00DF4CF1"/>
    <w:rsid w:val="00DF50BD"/>
    <w:rsid w:val="00DF559C"/>
    <w:rsid w:val="00DF5AC1"/>
    <w:rsid w:val="00DF6CDC"/>
    <w:rsid w:val="00DF7368"/>
    <w:rsid w:val="00DF76DD"/>
    <w:rsid w:val="00DF7D23"/>
    <w:rsid w:val="00E00076"/>
    <w:rsid w:val="00E002B3"/>
    <w:rsid w:val="00E0127E"/>
    <w:rsid w:val="00E015A8"/>
    <w:rsid w:val="00E018C3"/>
    <w:rsid w:val="00E02833"/>
    <w:rsid w:val="00E02DC2"/>
    <w:rsid w:val="00E0342F"/>
    <w:rsid w:val="00E03454"/>
    <w:rsid w:val="00E0391E"/>
    <w:rsid w:val="00E03F31"/>
    <w:rsid w:val="00E04C45"/>
    <w:rsid w:val="00E04F95"/>
    <w:rsid w:val="00E055BD"/>
    <w:rsid w:val="00E05EC9"/>
    <w:rsid w:val="00E05EF3"/>
    <w:rsid w:val="00E06BEC"/>
    <w:rsid w:val="00E072E4"/>
    <w:rsid w:val="00E07669"/>
    <w:rsid w:val="00E10412"/>
    <w:rsid w:val="00E10551"/>
    <w:rsid w:val="00E10CB5"/>
    <w:rsid w:val="00E10D9E"/>
    <w:rsid w:val="00E11B4C"/>
    <w:rsid w:val="00E11CD2"/>
    <w:rsid w:val="00E11EDE"/>
    <w:rsid w:val="00E11F11"/>
    <w:rsid w:val="00E1274E"/>
    <w:rsid w:val="00E1367C"/>
    <w:rsid w:val="00E13989"/>
    <w:rsid w:val="00E13B8B"/>
    <w:rsid w:val="00E13C42"/>
    <w:rsid w:val="00E13FAD"/>
    <w:rsid w:val="00E149EC"/>
    <w:rsid w:val="00E14D81"/>
    <w:rsid w:val="00E14E82"/>
    <w:rsid w:val="00E1552B"/>
    <w:rsid w:val="00E158C3"/>
    <w:rsid w:val="00E15956"/>
    <w:rsid w:val="00E15ACA"/>
    <w:rsid w:val="00E15F70"/>
    <w:rsid w:val="00E16FD0"/>
    <w:rsid w:val="00E17860"/>
    <w:rsid w:val="00E17F5D"/>
    <w:rsid w:val="00E20D8E"/>
    <w:rsid w:val="00E21073"/>
    <w:rsid w:val="00E219F6"/>
    <w:rsid w:val="00E21BD0"/>
    <w:rsid w:val="00E21F17"/>
    <w:rsid w:val="00E22454"/>
    <w:rsid w:val="00E22CA4"/>
    <w:rsid w:val="00E23A68"/>
    <w:rsid w:val="00E24206"/>
    <w:rsid w:val="00E244A7"/>
    <w:rsid w:val="00E24B84"/>
    <w:rsid w:val="00E24FC6"/>
    <w:rsid w:val="00E25E16"/>
    <w:rsid w:val="00E2647D"/>
    <w:rsid w:val="00E3001D"/>
    <w:rsid w:val="00E3002C"/>
    <w:rsid w:val="00E31003"/>
    <w:rsid w:val="00E312C2"/>
    <w:rsid w:val="00E31DBA"/>
    <w:rsid w:val="00E32115"/>
    <w:rsid w:val="00E332A9"/>
    <w:rsid w:val="00E33953"/>
    <w:rsid w:val="00E33AA3"/>
    <w:rsid w:val="00E3453C"/>
    <w:rsid w:val="00E34624"/>
    <w:rsid w:val="00E3475E"/>
    <w:rsid w:val="00E349FF"/>
    <w:rsid w:val="00E34AD5"/>
    <w:rsid w:val="00E3557E"/>
    <w:rsid w:val="00E3606D"/>
    <w:rsid w:val="00E36085"/>
    <w:rsid w:val="00E36561"/>
    <w:rsid w:val="00E36B3A"/>
    <w:rsid w:val="00E36F9E"/>
    <w:rsid w:val="00E3756A"/>
    <w:rsid w:val="00E4049C"/>
    <w:rsid w:val="00E40944"/>
    <w:rsid w:val="00E42E00"/>
    <w:rsid w:val="00E43872"/>
    <w:rsid w:val="00E43CF2"/>
    <w:rsid w:val="00E44132"/>
    <w:rsid w:val="00E44F61"/>
    <w:rsid w:val="00E45319"/>
    <w:rsid w:val="00E46028"/>
    <w:rsid w:val="00E465D1"/>
    <w:rsid w:val="00E47E4E"/>
    <w:rsid w:val="00E50065"/>
    <w:rsid w:val="00E50E2B"/>
    <w:rsid w:val="00E51652"/>
    <w:rsid w:val="00E51A36"/>
    <w:rsid w:val="00E51B50"/>
    <w:rsid w:val="00E51D31"/>
    <w:rsid w:val="00E530F4"/>
    <w:rsid w:val="00E53496"/>
    <w:rsid w:val="00E534A5"/>
    <w:rsid w:val="00E5382E"/>
    <w:rsid w:val="00E53E69"/>
    <w:rsid w:val="00E54229"/>
    <w:rsid w:val="00E543A7"/>
    <w:rsid w:val="00E543C1"/>
    <w:rsid w:val="00E5521E"/>
    <w:rsid w:val="00E56CAC"/>
    <w:rsid w:val="00E56EE5"/>
    <w:rsid w:val="00E57041"/>
    <w:rsid w:val="00E5765C"/>
    <w:rsid w:val="00E57935"/>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94A"/>
    <w:rsid w:val="00E67EAD"/>
    <w:rsid w:val="00E70DFA"/>
    <w:rsid w:val="00E71349"/>
    <w:rsid w:val="00E7159D"/>
    <w:rsid w:val="00E716DD"/>
    <w:rsid w:val="00E719E3"/>
    <w:rsid w:val="00E71B63"/>
    <w:rsid w:val="00E7208C"/>
    <w:rsid w:val="00E728A0"/>
    <w:rsid w:val="00E72C2B"/>
    <w:rsid w:val="00E73418"/>
    <w:rsid w:val="00E73667"/>
    <w:rsid w:val="00E73755"/>
    <w:rsid w:val="00E739A5"/>
    <w:rsid w:val="00E742EF"/>
    <w:rsid w:val="00E7434D"/>
    <w:rsid w:val="00E74D93"/>
    <w:rsid w:val="00E7546C"/>
    <w:rsid w:val="00E75641"/>
    <w:rsid w:val="00E75B42"/>
    <w:rsid w:val="00E76CC3"/>
    <w:rsid w:val="00E77301"/>
    <w:rsid w:val="00E77BE3"/>
    <w:rsid w:val="00E808B0"/>
    <w:rsid w:val="00E80B15"/>
    <w:rsid w:val="00E80B1A"/>
    <w:rsid w:val="00E8101D"/>
    <w:rsid w:val="00E81562"/>
    <w:rsid w:val="00E81734"/>
    <w:rsid w:val="00E81945"/>
    <w:rsid w:val="00E81A2B"/>
    <w:rsid w:val="00E823BF"/>
    <w:rsid w:val="00E82733"/>
    <w:rsid w:val="00E82750"/>
    <w:rsid w:val="00E82791"/>
    <w:rsid w:val="00E82911"/>
    <w:rsid w:val="00E837FB"/>
    <w:rsid w:val="00E83D0C"/>
    <w:rsid w:val="00E843D3"/>
    <w:rsid w:val="00E84758"/>
    <w:rsid w:val="00E8488A"/>
    <w:rsid w:val="00E84906"/>
    <w:rsid w:val="00E8497C"/>
    <w:rsid w:val="00E84A9F"/>
    <w:rsid w:val="00E85BCD"/>
    <w:rsid w:val="00E8703B"/>
    <w:rsid w:val="00E87352"/>
    <w:rsid w:val="00E877FC"/>
    <w:rsid w:val="00E87850"/>
    <w:rsid w:val="00E9057B"/>
    <w:rsid w:val="00E91620"/>
    <w:rsid w:val="00E91665"/>
    <w:rsid w:val="00E91D84"/>
    <w:rsid w:val="00E91FA4"/>
    <w:rsid w:val="00E921E8"/>
    <w:rsid w:val="00E92489"/>
    <w:rsid w:val="00E92A93"/>
    <w:rsid w:val="00E92C7B"/>
    <w:rsid w:val="00E92D55"/>
    <w:rsid w:val="00E92EA2"/>
    <w:rsid w:val="00E93300"/>
    <w:rsid w:val="00E93A0C"/>
    <w:rsid w:val="00E95985"/>
    <w:rsid w:val="00E959FA"/>
    <w:rsid w:val="00E95CE7"/>
    <w:rsid w:val="00E95DE1"/>
    <w:rsid w:val="00E961D8"/>
    <w:rsid w:val="00E9646F"/>
    <w:rsid w:val="00E96B04"/>
    <w:rsid w:val="00E974CB"/>
    <w:rsid w:val="00E97759"/>
    <w:rsid w:val="00EA09F2"/>
    <w:rsid w:val="00EA0BBA"/>
    <w:rsid w:val="00EA0E56"/>
    <w:rsid w:val="00EA1081"/>
    <w:rsid w:val="00EA1131"/>
    <w:rsid w:val="00EA12B6"/>
    <w:rsid w:val="00EA1962"/>
    <w:rsid w:val="00EA227F"/>
    <w:rsid w:val="00EA235D"/>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B0727"/>
    <w:rsid w:val="00EB0748"/>
    <w:rsid w:val="00EB0BAC"/>
    <w:rsid w:val="00EB0D4F"/>
    <w:rsid w:val="00EB12D2"/>
    <w:rsid w:val="00EB136D"/>
    <w:rsid w:val="00EB1CB1"/>
    <w:rsid w:val="00EB1DE3"/>
    <w:rsid w:val="00EB1EFE"/>
    <w:rsid w:val="00EB269A"/>
    <w:rsid w:val="00EB28EC"/>
    <w:rsid w:val="00EB30FE"/>
    <w:rsid w:val="00EB32ED"/>
    <w:rsid w:val="00EB3364"/>
    <w:rsid w:val="00EB3442"/>
    <w:rsid w:val="00EB3F2A"/>
    <w:rsid w:val="00EB443B"/>
    <w:rsid w:val="00EB468C"/>
    <w:rsid w:val="00EB4C64"/>
    <w:rsid w:val="00EB5145"/>
    <w:rsid w:val="00EB5176"/>
    <w:rsid w:val="00EB6058"/>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D47"/>
    <w:rsid w:val="00EC620C"/>
    <w:rsid w:val="00EC713C"/>
    <w:rsid w:val="00EC7326"/>
    <w:rsid w:val="00EC73A2"/>
    <w:rsid w:val="00EC73AE"/>
    <w:rsid w:val="00EC7F70"/>
    <w:rsid w:val="00ED0094"/>
    <w:rsid w:val="00ED0594"/>
    <w:rsid w:val="00ED0970"/>
    <w:rsid w:val="00ED0B28"/>
    <w:rsid w:val="00ED1072"/>
    <w:rsid w:val="00ED1DBD"/>
    <w:rsid w:val="00ED1E47"/>
    <w:rsid w:val="00ED329B"/>
    <w:rsid w:val="00ED3EEA"/>
    <w:rsid w:val="00ED3FDA"/>
    <w:rsid w:val="00ED40AE"/>
    <w:rsid w:val="00ED5190"/>
    <w:rsid w:val="00ED557B"/>
    <w:rsid w:val="00ED5601"/>
    <w:rsid w:val="00ED58FE"/>
    <w:rsid w:val="00ED5C21"/>
    <w:rsid w:val="00ED63FA"/>
    <w:rsid w:val="00ED64C7"/>
    <w:rsid w:val="00ED6D9E"/>
    <w:rsid w:val="00EE0170"/>
    <w:rsid w:val="00EE0C00"/>
    <w:rsid w:val="00EE10B8"/>
    <w:rsid w:val="00EE162D"/>
    <w:rsid w:val="00EE1794"/>
    <w:rsid w:val="00EE2B2E"/>
    <w:rsid w:val="00EE2C40"/>
    <w:rsid w:val="00EE32C9"/>
    <w:rsid w:val="00EE370A"/>
    <w:rsid w:val="00EE3C19"/>
    <w:rsid w:val="00EE3EDC"/>
    <w:rsid w:val="00EE4101"/>
    <w:rsid w:val="00EE460C"/>
    <w:rsid w:val="00EE4887"/>
    <w:rsid w:val="00EE4B61"/>
    <w:rsid w:val="00EE4C15"/>
    <w:rsid w:val="00EE537D"/>
    <w:rsid w:val="00EE539C"/>
    <w:rsid w:val="00EE5E85"/>
    <w:rsid w:val="00EE5FA4"/>
    <w:rsid w:val="00EE64BA"/>
    <w:rsid w:val="00EE6BD6"/>
    <w:rsid w:val="00EE7051"/>
    <w:rsid w:val="00EE7BBB"/>
    <w:rsid w:val="00EF17F6"/>
    <w:rsid w:val="00EF1F1B"/>
    <w:rsid w:val="00EF221F"/>
    <w:rsid w:val="00EF354D"/>
    <w:rsid w:val="00EF3672"/>
    <w:rsid w:val="00EF4044"/>
    <w:rsid w:val="00EF4076"/>
    <w:rsid w:val="00EF47E9"/>
    <w:rsid w:val="00EF4CCA"/>
    <w:rsid w:val="00EF4D16"/>
    <w:rsid w:val="00EF56FE"/>
    <w:rsid w:val="00EF5D8E"/>
    <w:rsid w:val="00EF5F2B"/>
    <w:rsid w:val="00EF62AF"/>
    <w:rsid w:val="00EF6D8B"/>
    <w:rsid w:val="00EF7637"/>
    <w:rsid w:val="00EF7852"/>
    <w:rsid w:val="00EF7B67"/>
    <w:rsid w:val="00EF7DF7"/>
    <w:rsid w:val="00F003B4"/>
    <w:rsid w:val="00F00B4A"/>
    <w:rsid w:val="00F00F95"/>
    <w:rsid w:val="00F01B85"/>
    <w:rsid w:val="00F0231F"/>
    <w:rsid w:val="00F02661"/>
    <w:rsid w:val="00F02674"/>
    <w:rsid w:val="00F02767"/>
    <w:rsid w:val="00F02855"/>
    <w:rsid w:val="00F02876"/>
    <w:rsid w:val="00F02BA5"/>
    <w:rsid w:val="00F02CCD"/>
    <w:rsid w:val="00F02CD1"/>
    <w:rsid w:val="00F030E1"/>
    <w:rsid w:val="00F0385C"/>
    <w:rsid w:val="00F03CC3"/>
    <w:rsid w:val="00F04638"/>
    <w:rsid w:val="00F05100"/>
    <w:rsid w:val="00F0511B"/>
    <w:rsid w:val="00F05667"/>
    <w:rsid w:val="00F05991"/>
    <w:rsid w:val="00F0603A"/>
    <w:rsid w:val="00F060DC"/>
    <w:rsid w:val="00F06429"/>
    <w:rsid w:val="00F069D8"/>
    <w:rsid w:val="00F073C9"/>
    <w:rsid w:val="00F07420"/>
    <w:rsid w:val="00F079C3"/>
    <w:rsid w:val="00F103FF"/>
    <w:rsid w:val="00F10BC9"/>
    <w:rsid w:val="00F10CC9"/>
    <w:rsid w:val="00F10DDF"/>
    <w:rsid w:val="00F10F6E"/>
    <w:rsid w:val="00F110EB"/>
    <w:rsid w:val="00F11C8F"/>
    <w:rsid w:val="00F124C1"/>
    <w:rsid w:val="00F12A02"/>
    <w:rsid w:val="00F12F82"/>
    <w:rsid w:val="00F130C2"/>
    <w:rsid w:val="00F13A3F"/>
    <w:rsid w:val="00F140DF"/>
    <w:rsid w:val="00F14C76"/>
    <w:rsid w:val="00F15A1B"/>
    <w:rsid w:val="00F16296"/>
    <w:rsid w:val="00F168EF"/>
    <w:rsid w:val="00F17DAE"/>
    <w:rsid w:val="00F20475"/>
    <w:rsid w:val="00F206BF"/>
    <w:rsid w:val="00F20C2F"/>
    <w:rsid w:val="00F21A05"/>
    <w:rsid w:val="00F22635"/>
    <w:rsid w:val="00F23705"/>
    <w:rsid w:val="00F2379E"/>
    <w:rsid w:val="00F238DB"/>
    <w:rsid w:val="00F23A73"/>
    <w:rsid w:val="00F23A98"/>
    <w:rsid w:val="00F23E26"/>
    <w:rsid w:val="00F244BB"/>
    <w:rsid w:val="00F246EB"/>
    <w:rsid w:val="00F24ED7"/>
    <w:rsid w:val="00F258F6"/>
    <w:rsid w:val="00F25C3B"/>
    <w:rsid w:val="00F263D6"/>
    <w:rsid w:val="00F26DF9"/>
    <w:rsid w:val="00F26E35"/>
    <w:rsid w:val="00F270EC"/>
    <w:rsid w:val="00F272FF"/>
    <w:rsid w:val="00F27806"/>
    <w:rsid w:val="00F2786A"/>
    <w:rsid w:val="00F27C19"/>
    <w:rsid w:val="00F27CD5"/>
    <w:rsid w:val="00F27EFE"/>
    <w:rsid w:val="00F30209"/>
    <w:rsid w:val="00F30353"/>
    <w:rsid w:val="00F3139F"/>
    <w:rsid w:val="00F316B6"/>
    <w:rsid w:val="00F31B7A"/>
    <w:rsid w:val="00F31CA4"/>
    <w:rsid w:val="00F326D7"/>
    <w:rsid w:val="00F33007"/>
    <w:rsid w:val="00F33C35"/>
    <w:rsid w:val="00F34252"/>
    <w:rsid w:val="00F346C9"/>
    <w:rsid w:val="00F35403"/>
    <w:rsid w:val="00F355E0"/>
    <w:rsid w:val="00F359A1"/>
    <w:rsid w:val="00F35BD2"/>
    <w:rsid w:val="00F35C38"/>
    <w:rsid w:val="00F35D64"/>
    <w:rsid w:val="00F36A95"/>
    <w:rsid w:val="00F36AA7"/>
    <w:rsid w:val="00F37B08"/>
    <w:rsid w:val="00F4015C"/>
    <w:rsid w:val="00F403FB"/>
    <w:rsid w:val="00F40A04"/>
    <w:rsid w:val="00F411E4"/>
    <w:rsid w:val="00F417F5"/>
    <w:rsid w:val="00F41EA6"/>
    <w:rsid w:val="00F423EF"/>
    <w:rsid w:val="00F432A4"/>
    <w:rsid w:val="00F43584"/>
    <w:rsid w:val="00F43884"/>
    <w:rsid w:val="00F4388C"/>
    <w:rsid w:val="00F43C90"/>
    <w:rsid w:val="00F44265"/>
    <w:rsid w:val="00F4448E"/>
    <w:rsid w:val="00F44704"/>
    <w:rsid w:val="00F450AC"/>
    <w:rsid w:val="00F45192"/>
    <w:rsid w:val="00F46A24"/>
    <w:rsid w:val="00F46B4B"/>
    <w:rsid w:val="00F4712B"/>
    <w:rsid w:val="00F4736D"/>
    <w:rsid w:val="00F47781"/>
    <w:rsid w:val="00F50251"/>
    <w:rsid w:val="00F507BD"/>
    <w:rsid w:val="00F50ACD"/>
    <w:rsid w:val="00F51567"/>
    <w:rsid w:val="00F52F4D"/>
    <w:rsid w:val="00F52FB8"/>
    <w:rsid w:val="00F5398E"/>
    <w:rsid w:val="00F53DF2"/>
    <w:rsid w:val="00F5463E"/>
    <w:rsid w:val="00F547E6"/>
    <w:rsid w:val="00F54C22"/>
    <w:rsid w:val="00F54D40"/>
    <w:rsid w:val="00F5532E"/>
    <w:rsid w:val="00F55A45"/>
    <w:rsid w:val="00F55CB4"/>
    <w:rsid w:val="00F55EC6"/>
    <w:rsid w:val="00F567FE"/>
    <w:rsid w:val="00F568CD"/>
    <w:rsid w:val="00F571F4"/>
    <w:rsid w:val="00F574A9"/>
    <w:rsid w:val="00F57580"/>
    <w:rsid w:val="00F604EE"/>
    <w:rsid w:val="00F607D7"/>
    <w:rsid w:val="00F60A89"/>
    <w:rsid w:val="00F612AE"/>
    <w:rsid w:val="00F620A0"/>
    <w:rsid w:val="00F621F7"/>
    <w:rsid w:val="00F626CF"/>
    <w:rsid w:val="00F631DC"/>
    <w:rsid w:val="00F63256"/>
    <w:rsid w:val="00F63307"/>
    <w:rsid w:val="00F6369F"/>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48CE"/>
    <w:rsid w:val="00F74D3A"/>
    <w:rsid w:val="00F75464"/>
    <w:rsid w:val="00F75C00"/>
    <w:rsid w:val="00F75FA1"/>
    <w:rsid w:val="00F763E7"/>
    <w:rsid w:val="00F77073"/>
    <w:rsid w:val="00F7767B"/>
    <w:rsid w:val="00F7791F"/>
    <w:rsid w:val="00F77CDC"/>
    <w:rsid w:val="00F807A8"/>
    <w:rsid w:val="00F815B8"/>
    <w:rsid w:val="00F81916"/>
    <w:rsid w:val="00F8213E"/>
    <w:rsid w:val="00F82144"/>
    <w:rsid w:val="00F82C5F"/>
    <w:rsid w:val="00F834FA"/>
    <w:rsid w:val="00F835B5"/>
    <w:rsid w:val="00F837A6"/>
    <w:rsid w:val="00F83AD5"/>
    <w:rsid w:val="00F83D7F"/>
    <w:rsid w:val="00F845F7"/>
    <w:rsid w:val="00F8487E"/>
    <w:rsid w:val="00F86208"/>
    <w:rsid w:val="00F865A4"/>
    <w:rsid w:val="00F869E2"/>
    <w:rsid w:val="00F86BCD"/>
    <w:rsid w:val="00F86E1D"/>
    <w:rsid w:val="00F86FEE"/>
    <w:rsid w:val="00F900CD"/>
    <w:rsid w:val="00F9034B"/>
    <w:rsid w:val="00F90EAD"/>
    <w:rsid w:val="00F90F66"/>
    <w:rsid w:val="00F90F68"/>
    <w:rsid w:val="00F91086"/>
    <w:rsid w:val="00F91A50"/>
    <w:rsid w:val="00F91A63"/>
    <w:rsid w:val="00F91F66"/>
    <w:rsid w:val="00F91FE9"/>
    <w:rsid w:val="00F92506"/>
    <w:rsid w:val="00F92545"/>
    <w:rsid w:val="00F93759"/>
    <w:rsid w:val="00F941D1"/>
    <w:rsid w:val="00F94689"/>
    <w:rsid w:val="00F95293"/>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1251"/>
    <w:rsid w:val="00FA1539"/>
    <w:rsid w:val="00FA1B46"/>
    <w:rsid w:val="00FA206C"/>
    <w:rsid w:val="00FA21D7"/>
    <w:rsid w:val="00FA24FD"/>
    <w:rsid w:val="00FA2559"/>
    <w:rsid w:val="00FA2620"/>
    <w:rsid w:val="00FA2B38"/>
    <w:rsid w:val="00FA2FA0"/>
    <w:rsid w:val="00FA327B"/>
    <w:rsid w:val="00FA328F"/>
    <w:rsid w:val="00FA3EBC"/>
    <w:rsid w:val="00FA4000"/>
    <w:rsid w:val="00FA421E"/>
    <w:rsid w:val="00FA444E"/>
    <w:rsid w:val="00FA44E6"/>
    <w:rsid w:val="00FA612F"/>
    <w:rsid w:val="00FA6422"/>
    <w:rsid w:val="00FA64B2"/>
    <w:rsid w:val="00FA698A"/>
    <w:rsid w:val="00FA6A3C"/>
    <w:rsid w:val="00FA6F10"/>
    <w:rsid w:val="00FA7599"/>
    <w:rsid w:val="00FA7F1D"/>
    <w:rsid w:val="00FB0313"/>
    <w:rsid w:val="00FB1032"/>
    <w:rsid w:val="00FB16EC"/>
    <w:rsid w:val="00FB1AE1"/>
    <w:rsid w:val="00FB278B"/>
    <w:rsid w:val="00FB350C"/>
    <w:rsid w:val="00FB37CF"/>
    <w:rsid w:val="00FB3AB4"/>
    <w:rsid w:val="00FB439B"/>
    <w:rsid w:val="00FB4D69"/>
    <w:rsid w:val="00FB66C7"/>
    <w:rsid w:val="00FB69F5"/>
    <w:rsid w:val="00FB7758"/>
    <w:rsid w:val="00FB77F5"/>
    <w:rsid w:val="00FB7D65"/>
    <w:rsid w:val="00FC0038"/>
    <w:rsid w:val="00FC1365"/>
    <w:rsid w:val="00FC25A6"/>
    <w:rsid w:val="00FC2627"/>
    <w:rsid w:val="00FC26FA"/>
    <w:rsid w:val="00FC29CF"/>
    <w:rsid w:val="00FC2F14"/>
    <w:rsid w:val="00FC3BD6"/>
    <w:rsid w:val="00FC4781"/>
    <w:rsid w:val="00FC4F81"/>
    <w:rsid w:val="00FC623B"/>
    <w:rsid w:val="00FC6829"/>
    <w:rsid w:val="00FC6A40"/>
    <w:rsid w:val="00FC6A84"/>
    <w:rsid w:val="00FC730D"/>
    <w:rsid w:val="00FC7703"/>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751"/>
    <w:rsid w:val="00FD3899"/>
    <w:rsid w:val="00FD39CB"/>
    <w:rsid w:val="00FD3D98"/>
    <w:rsid w:val="00FD45C3"/>
    <w:rsid w:val="00FD598F"/>
    <w:rsid w:val="00FD6441"/>
    <w:rsid w:val="00FD6605"/>
    <w:rsid w:val="00FD6BDD"/>
    <w:rsid w:val="00FD74B6"/>
    <w:rsid w:val="00FD77A8"/>
    <w:rsid w:val="00FD7A4E"/>
    <w:rsid w:val="00FE01EB"/>
    <w:rsid w:val="00FE0561"/>
    <w:rsid w:val="00FE0D8B"/>
    <w:rsid w:val="00FE19A3"/>
    <w:rsid w:val="00FE1B30"/>
    <w:rsid w:val="00FE1EEF"/>
    <w:rsid w:val="00FE2B17"/>
    <w:rsid w:val="00FE300D"/>
    <w:rsid w:val="00FE31D1"/>
    <w:rsid w:val="00FE3B3B"/>
    <w:rsid w:val="00FE3D0F"/>
    <w:rsid w:val="00FE4ED3"/>
    <w:rsid w:val="00FE56C2"/>
    <w:rsid w:val="00FE5A56"/>
    <w:rsid w:val="00FE5D69"/>
    <w:rsid w:val="00FE5F07"/>
    <w:rsid w:val="00FE65E0"/>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6655"/>
    <w:rsid w:val="00FF6D6E"/>
    <w:rsid w:val="00FF6DAA"/>
    <w:rsid w:val="00FF6DE9"/>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93725"/>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1934196">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8" ma:contentTypeDescription="Create a new document." ma:contentTypeScope="" ma:versionID="31e7b53c194bcc68fbd0375086922259">
  <xsd:schema xmlns:xsd="http://www.w3.org/2001/XMLSchema" xmlns:xs="http://www.w3.org/2001/XMLSchema" xmlns:p="http://schemas.microsoft.com/office/2006/metadata/properties" xmlns:ns2="77e7d536-9cde-4514-95f2-d894f5dbb2f2" targetNamespace="http://schemas.microsoft.com/office/2006/metadata/properties" ma:root="true" ma:fieldsID="049458d2ae29ca6e7c21e657d1a566d2" ns2:_="">
    <xsd:import namespace="77e7d536-9cde-4514-95f2-d894f5dbb2f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176500-51A6-4F37-9DD0-2EA6F707640B}">
  <ds:schemaRefs>
    <ds:schemaRef ds:uri="http://schemas.microsoft.com/sharepoint/v3/contenttype/forms"/>
  </ds:schemaRefs>
</ds:datastoreItem>
</file>

<file path=customXml/itemProps2.xml><?xml version="1.0" encoding="utf-8"?>
<ds:datastoreItem xmlns:ds="http://schemas.openxmlformats.org/officeDocument/2006/customXml" ds:itemID="{F15B947C-30D1-48B7-B141-43383B4564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DF99F68-3F58-4845-9114-DB736862844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E7A4DEC-205B-429B-8BFF-F4DD16937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6</Pages>
  <Words>2906</Words>
  <Characters>16566</Characters>
  <Application>Microsoft Office Word</Application>
  <DocSecurity>0</DocSecurity>
  <Lines>138</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19434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245</cp:revision>
  <cp:lastPrinted>2010-04-02T09:58:00Z</cp:lastPrinted>
  <dcterms:created xsi:type="dcterms:W3CDTF">2019-10-02T08:10:00Z</dcterms:created>
  <dcterms:modified xsi:type="dcterms:W3CDTF">2020-10-22T02:47:00Z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