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4A37B" w14:textId="32D0AB64" w:rsidR="005D30DC" w:rsidRPr="00E6118C" w:rsidRDefault="005D30DC" w:rsidP="005D30DC">
      <w:pPr>
        <w:pStyle w:val="aff3"/>
        <w:snapToGrid w:val="0"/>
        <w:ind w:left="2384" w:hangingChars="993" w:hanging="2384"/>
        <w:rPr>
          <w:rFonts w:ascii="Arial" w:hAnsi="Arial" w:cs="Arial"/>
          <w:b/>
          <w:bCs/>
          <w:sz w:val="24"/>
          <w:szCs w:val="24"/>
          <w:lang w:val="en-GB"/>
        </w:rPr>
      </w:pPr>
      <w:bookmarkStart w:id="0" w:name="OLE_LINK2"/>
      <w:bookmarkStart w:id="1" w:name="OLE_LINK3"/>
      <w:r w:rsidRPr="00E6118C">
        <w:rPr>
          <w:rFonts w:ascii="Arial" w:hAnsi="Arial" w:cs="Arial"/>
          <w:b/>
          <w:bCs/>
          <w:sz w:val="24"/>
          <w:szCs w:val="24"/>
          <w:lang w:val="en-GB"/>
        </w:rPr>
        <w:t>3GPP TSG RAN WG1 #103-e</w:t>
      </w:r>
      <w:r w:rsidRPr="00E6118C">
        <w:rPr>
          <w:rFonts w:ascii="Arial" w:hAnsi="Arial" w:cs="Arial"/>
          <w:b/>
          <w:bCs/>
          <w:sz w:val="24"/>
          <w:szCs w:val="24"/>
          <w:lang w:val="en-GB"/>
        </w:rPr>
        <w:tab/>
      </w:r>
      <w:r w:rsidRPr="00E6118C">
        <w:rPr>
          <w:rFonts w:ascii="Arial" w:hAnsi="Arial" w:cs="Arial"/>
          <w:b/>
          <w:bCs/>
          <w:sz w:val="24"/>
          <w:szCs w:val="24"/>
          <w:lang w:val="en-GB"/>
        </w:rPr>
        <w:tab/>
      </w:r>
      <w:r w:rsidRPr="00E6118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0662A5" w:rsidRPr="000662A5">
        <w:rPr>
          <w:rFonts w:ascii="Arial" w:hAnsi="Arial" w:cs="Arial"/>
          <w:b/>
          <w:bCs/>
          <w:sz w:val="24"/>
          <w:szCs w:val="24"/>
          <w:lang w:val="en-GB"/>
        </w:rPr>
        <w:t>R1-2008945</w:t>
      </w:r>
      <w:bookmarkStart w:id="2" w:name="_GoBack"/>
      <w:bookmarkEnd w:id="2"/>
    </w:p>
    <w:p w14:paraId="0DB08ED0" w14:textId="77777777" w:rsidR="005D30DC" w:rsidRDefault="005D30DC" w:rsidP="005D30DC">
      <w:pPr>
        <w:pStyle w:val="aff3"/>
        <w:snapToGrid w:val="0"/>
        <w:ind w:left="2384" w:hangingChars="993" w:hanging="2384"/>
        <w:rPr>
          <w:rFonts w:ascii="Arial" w:hAnsi="Arial" w:cs="Arial"/>
          <w:b/>
          <w:bCs/>
          <w:sz w:val="24"/>
          <w:szCs w:val="24"/>
          <w:lang w:val="en-GB"/>
        </w:rPr>
      </w:pPr>
      <w:proofErr w:type="gramStart"/>
      <w:r w:rsidRPr="00E6118C">
        <w:rPr>
          <w:rFonts w:ascii="Arial" w:hAnsi="Arial" w:cs="Arial"/>
          <w:b/>
          <w:bCs/>
          <w:sz w:val="24"/>
          <w:szCs w:val="24"/>
          <w:lang w:val="en-GB"/>
        </w:rPr>
        <w:t>e-Meeting</w:t>
      </w:r>
      <w:proofErr w:type="gramEnd"/>
      <w:r w:rsidRPr="00E6118C">
        <w:rPr>
          <w:rFonts w:ascii="Arial" w:hAnsi="Arial" w:cs="Arial"/>
          <w:b/>
          <w:bCs/>
          <w:sz w:val="24"/>
          <w:szCs w:val="24"/>
          <w:lang w:val="en-GB"/>
        </w:rPr>
        <w:t>, October 26th – November 13th, 2020</w:t>
      </w:r>
    </w:p>
    <w:p w14:paraId="317E1240" w14:textId="77777777" w:rsidR="006A6600" w:rsidRPr="005D30DC"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51899DCA"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r w:rsidR="00A91AA9">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6815B5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A91AA9">
        <w:rPr>
          <w:rFonts w:ascii="Arial" w:eastAsiaTheme="minorEastAsia" w:hAnsi="Arial" w:cs="Arial"/>
          <w:b/>
          <w:bCs/>
          <w:sz w:val="24"/>
          <w:szCs w:val="24"/>
          <w:lang w:val="en-GB" w:eastAsia="zh-CN"/>
        </w:rPr>
        <w:t>multi-TRP inter-cell operation</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2F8B92B3" w:rsidR="00570E42" w:rsidRDefault="000F7931"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102e meeting [1], agreements on multi-TRP</w:t>
      </w:r>
      <w:r w:rsidR="00A91AA9">
        <w:rPr>
          <w:rFonts w:eastAsia="宋体"/>
          <w:color w:val="000000" w:themeColor="text1"/>
          <w:sz w:val="22"/>
          <w:szCs w:val="22"/>
          <w:lang w:eastAsia="zh-CN"/>
        </w:rPr>
        <w:t xml:space="preserve"> inter-cell operation was</w:t>
      </w:r>
      <w:r>
        <w:rPr>
          <w:rFonts w:eastAsia="宋体"/>
          <w:color w:val="000000" w:themeColor="text1"/>
          <w:sz w:val="22"/>
          <w:szCs w:val="22"/>
          <w:lang w:eastAsia="zh-CN"/>
        </w:rPr>
        <w:t xml:space="preserve"> achieved as:</w:t>
      </w:r>
    </w:p>
    <w:p w14:paraId="7698E3C0" w14:textId="77777777" w:rsidR="00A91AA9" w:rsidRDefault="00A91AA9" w:rsidP="00A91AA9">
      <w:pPr>
        <w:spacing w:after="0"/>
        <w:rPr>
          <w:rFonts w:cs="Times"/>
          <w:b/>
          <w:highlight w:val="green"/>
          <w:lang w:eastAsia="x-none"/>
        </w:rPr>
      </w:pPr>
      <w:r>
        <w:rPr>
          <w:rFonts w:cs="Times"/>
          <w:b/>
          <w:highlight w:val="green"/>
          <w:lang w:eastAsia="x-none"/>
        </w:rPr>
        <w:t>Agreement</w:t>
      </w:r>
    </w:p>
    <w:p w14:paraId="6266403F" w14:textId="77777777" w:rsidR="00A91AA9" w:rsidRDefault="00A91AA9" w:rsidP="00A91AA9">
      <w:pPr>
        <w:spacing w:after="0"/>
        <w:rPr>
          <w:rFonts w:cs="Times"/>
          <w:lang w:eastAsia="x-none"/>
        </w:rPr>
      </w:pPr>
      <w:r>
        <w:rPr>
          <w:rFonts w:cs="Times"/>
          <w:lang w:eastAsia="x-none"/>
        </w:rPr>
        <w:t>Study the following aspects of QCL /TCI-related enhancement to enable inter-cell multi-DCI based multi-TRP operation.</w:t>
      </w:r>
    </w:p>
    <w:p w14:paraId="07BBA8B3" w14:textId="77777777" w:rsidR="00A91AA9" w:rsidRDefault="00A91AA9" w:rsidP="00A91AA9">
      <w:pPr>
        <w:pStyle w:val="a7"/>
        <w:numPr>
          <w:ilvl w:val="0"/>
          <w:numId w:val="23"/>
        </w:numPr>
        <w:spacing w:after="0"/>
        <w:contextualSpacing w:val="0"/>
        <w:jc w:val="both"/>
        <w:rPr>
          <w:rFonts w:cs="Times"/>
        </w:rPr>
      </w:pPr>
      <w:r>
        <w:rPr>
          <w:rFonts w:cs="Times"/>
        </w:rPr>
        <w:t>Details on configuration of non-serving cell RS;</w:t>
      </w:r>
    </w:p>
    <w:p w14:paraId="45439F83" w14:textId="77777777" w:rsidR="00A91AA9" w:rsidRDefault="00A91AA9" w:rsidP="00A91AA9">
      <w:pPr>
        <w:pStyle w:val="a7"/>
        <w:numPr>
          <w:ilvl w:val="0"/>
          <w:numId w:val="23"/>
        </w:numPr>
        <w:spacing w:after="0"/>
        <w:contextualSpacing w:val="0"/>
        <w:jc w:val="both"/>
        <w:rPr>
          <w:rFonts w:cs="Times"/>
        </w:rPr>
      </w:pPr>
      <w:r>
        <w:rPr>
          <w:rFonts w:cs="Times"/>
        </w:rPr>
        <w:t>Allowed source and target RS types for RS transmitted from the non-serving cell TRP ;</w:t>
      </w:r>
    </w:p>
    <w:p w14:paraId="4E4B3F2D" w14:textId="77777777" w:rsidR="00A91AA9" w:rsidRDefault="00A91AA9" w:rsidP="00A91AA9">
      <w:pPr>
        <w:pStyle w:val="a7"/>
        <w:numPr>
          <w:ilvl w:val="0"/>
          <w:numId w:val="23"/>
        </w:numPr>
        <w:spacing w:after="0"/>
        <w:contextualSpacing w:val="0"/>
        <w:jc w:val="both"/>
        <w:rPr>
          <w:rFonts w:cs="Times"/>
        </w:rPr>
      </w:pPr>
      <w:r>
        <w:rPr>
          <w:rFonts w:cs="Times"/>
        </w:rPr>
        <w:t>Allowed QCL types for RS transmitted from the non-serving cell TRP ;</w:t>
      </w:r>
    </w:p>
    <w:p w14:paraId="37C39257" w14:textId="77777777" w:rsidR="00A91AA9" w:rsidRDefault="00A91AA9" w:rsidP="00A91AA9">
      <w:pPr>
        <w:pStyle w:val="a7"/>
        <w:numPr>
          <w:ilvl w:val="0"/>
          <w:numId w:val="23"/>
        </w:numPr>
        <w:spacing w:after="0"/>
        <w:contextualSpacing w:val="0"/>
        <w:jc w:val="both"/>
        <w:rPr>
          <w:rFonts w:cs="Times"/>
        </w:rPr>
      </w:pPr>
      <w:r>
        <w:rPr>
          <w:rFonts w:cs="Times"/>
        </w:rPr>
        <w:t>Measurement and reporting related to QCL /TCI enhancement except for that in 8.1.1, if any;</w:t>
      </w:r>
    </w:p>
    <w:p w14:paraId="64D1EA25" w14:textId="77777777" w:rsidR="00A91AA9" w:rsidRDefault="00A91AA9" w:rsidP="00A91AA9">
      <w:pPr>
        <w:pStyle w:val="a7"/>
        <w:numPr>
          <w:ilvl w:val="0"/>
          <w:numId w:val="23"/>
        </w:numPr>
        <w:spacing w:after="0"/>
        <w:contextualSpacing w:val="0"/>
        <w:jc w:val="both"/>
        <w:rPr>
          <w:rFonts w:cs="Times"/>
        </w:rPr>
      </w:pPr>
      <w:r>
        <w:rPr>
          <w:rFonts w:cs="Times"/>
        </w:rPr>
        <w:t xml:space="preserve">Clarification on potential UE </w:t>
      </w:r>
      <w:proofErr w:type="spellStart"/>
      <w:r>
        <w:rPr>
          <w:rFonts w:cs="Times"/>
        </w:rPr>
        <w:t>behavior</w:t>
      </w:r>
      <w:proofErr w:type="spellEnd"/>
      <w:r>
        <w:rPr>
          <w:rFonts w:cs="Times"/>
        </w:rPr>
        <w:t xml:space="preserve"> for associating/multiplexing non-serving cell RS with other RS/channels;</w:t>
      </w:r>
    </w:p>
    <w:p w14:paraId="641085C6" w14:textId="77777777" w:rsidR="00A91AA9" w:rsidRDefault="00A91AA9" w:rsidP="00A91AA9">
      <w:pPr>
        <w:pStyle w:val="a7"/>
        <w:numPr>
          <w:ilvl w:val="0"/>
          <w:numId w:val="23"/>
        </w:numPr>
        <w:spacing w:after="0"/>
        <w:contextualSpacing w:val="0"/>
        <w:jc w:val="both"/>
        <w:rPr>
          <w:rFonts w:cs="Times"/>
        </w:rPr>
      </w:pPr>
      <w:r>
        <w:rPr>
          <w:rFonts w:cs="Times"/>
        </w:rPr>
        <w:t>Other details not precluded.</w:t>
      </w:r>
    </w:p>
    <w:p w14:paraId="4B1E7DEA" w14:textId="3E5374BA" w:rsidR="0095370B" w:rsidRPr="00CE13B8" w:rsidRDefault="0095370B" w:rsidP="0095370B">
      <w:pPr>
        <w:spacing w:before="120" w:after="120"/>
        <w:jc w:val="both"/>
        <w:rPr>
          <w:rFonts w:eastAsiaTheme="minorEastAsia"/>
          <w:color w:val="000000" w:themeColor="text1"/>
          <w:sz w:val="22"/>
          <w:szCs w:val="22"/>
          <w:lang w:val="en-US" w:eastAsia="zh-CN"/>
        </w:rPr>
      </w:pPr>
      <w:bookmarkStart w:id="7" w:name="OLE_LINK9"/>
      <w:bookmarkStart w:id="8" w:name="OLE_LINK10"/>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A91AA9">
        <w:rPr>
          <w:rFonts w:eastAsiaTheme="minorEastAsia"/>
          <w:color w:val="000000" w:themeColor="text1"/>
          <w:sz w:val="22"/>
          <w:szCs w:val="22"/>
          <w:lang w:val="en-US" w:eastAsia="zh-CN"/>
        </w:rPr>
        <w:t xml:space="preserve">inter-cell </w:t>
      </w:r>
      <w:r w:rsidR="007728B9">
        <w:rPr>
          <w:rFonts w:eastAsiaTheme="minorEastAsia"/>
          <w:color w:val="000000" w:themeColor="text1"/>
          <w:sz w:val="22"/>
          <w:szCs w:val="22"/>
          <w:lang w:val="en-US" w:eastAsia="zh-CN"/>
        </w:rPr>
        <w:t>operation</w:t>
      </w:r>
      <w:r w:rsidR="00FA6B9A">
        <w:rPr>
          <w:rFonts w:eastAsiaTheme="minorEastAsia"/>
          <w:color w:val="000000" w:themeColor="text1"/>
          <w:sz w:val="22"/>
          <w:szCs w:val="22"/>
          <w:lang w:val="en-US" w:eastAsia="zh-CN"/>
        </w:rPr>
        <w:t xml:space="preserve"> </w:t>
      </w:r>
      <w:r w:rsidR="003E602B">
        <w:rPr>
          <w:rFonts w:eastAsiaTheme="minorEastAsia"/>
          <w:color w:val="000000" w:themeColor="text1"/>
          <w:sz w:val="22"/>
          <w:szCs w:val="22"/>
          <w:lang w:val="en-US" w:eastAsia="zh-CN"/>
        </w:rPr>
        <w:t>for multi-TRP</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6AD1F03E" w14:textId="77777777" w:rsidR="007728B9" w:rsidRDefault="007728B9"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To enable inter-cell multi-DCI based multi-TRP operation, source RS transmitted from non-serving cell TRP should be allowed, and SSB is one of key source RS, which should also be supported in case of inter-cell multi-TRP operation. </w:t>
      </w:r>
    </w:p>
    <w:p w14:paraId="775CF542" w14:textId="77777777" w:rsidR="00932AE0" w:rsidRDefault="007728B9"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he</w:t>
      </w:r>
      <w:r>
        <w:rPr>
          <w:rFonts w:eastAsiaTheme="minorEastAsia"/>
          <w:color w:val="000000" w:themeColor="text1"/>
          <w:sz w:val="22"/>
          <w:szCs w:val="22"/>
          <w:lang w:val="en-US" w:eastAsia="zh-CN"/>
        </w:rPr>
        <w:t xml:space="preserve"> SSB from non-serving cell is not needed to be identified by initial access procedure. </w:t>
      </w:r>
      <w:r w:rsidR="00932AE0">
        <w:rPr>
          <w:rFonts w:eastAsiaTheme="minorEastAsia"/>
          <w:color w:val="000000" w:themeColor="text1"/>
          <w:sz w:val="22"/>
          <w:szCs w:val="22"/>
          <w:lang w:val="en-US" w:eastAsia="zh-CN"/>
        </w:rPr>
        <w:t xml:space="preserve">The </w:t>
      </w:r>
      <w:r>
        <w:rPr>
          <w:rFonts w:eastAsiaTheme="minorEastAsia"/>
          <w:color w:val="000000" w:themeColor="text1"/>
          <w:sz w:val="22"/>
          <w:szCs w:val="22"/>
          <w:lang w:val="en-US" w:eastAsia="zh-CN"/>
        </w:rPr>
        <w:t xml:space="preserve">configuration of SSB from non-serving cell </w:t>
      </w:r>
      <w:r w:rsidR="00932AE0">
        <w:rPr>
          <w:rFonts w:eastAsiaTheme="minorEastAsia"/>
          <w:color w:val="000000" w:themeColor="text1"/>
          <w:sz w:val="22"/>
          <w:szCs w:val="22"/>
          <w:lang w:val="en-US" w:eastAsia="zh-CN"/>
        </w:rPr>
        <w:t>can</w:t>
      </w:r>
      <w:r>
        <w:rPr>
          <w:rFonts w:eastAsiaTheme="minorEastAsia"/>
          <w:color w:val="000000" w:themeColor="text1"/>
          <w:sz w:val="22"/>
          <w:szCs w:val="22"/>
          <w:lang w:val="en-US" w:eastAsia="zh-CN"/>
        </w:rPr>
        <w:t xml:space="preserve"> be </w:t>
      </w:r>
      <w:r w:rsidR="00932AE0">
        <w:rPr>
          <w:rFonts w:eastAsiaTheme="minorEastAsia"/>
          <w:color w:val="000000" w:themeColor="text1"/>
          <w:sz w:val="22"/>
          <w:szCs w:val="22"/>
          <w:lang w:val="en-US" w:eastAsia="zh-CN"/>
        </w:rPr>
        <w:t xml:space="preserve">directly indicated </w:t>
      </w:r>
      <w:r>
        <w:rPr>
          <w:rFonts w:eastAsiaTheme="minorEastAsia"/>
          <w:color w:val="000000" w:themeColor="text1"/>
          <w:sz w:val="22"/>
          <w:szCs w:val="22"/>
          <w:lang w:val="en-US" w:eastAsia="zh-CN"/>
        </w:rPr>
        <w:t>to the UE</w:t>
      </w:r>
      <w:r w:rsidR="00932AE0">
        <w:rPr>
          <w:rFonts w:eastAsiaTheme="minorEastAsia"/>
          <w:color w:val="000000" w:themeColor="text1"/>
          <w:sz w:val="22"/>
          <w:szCs w:val="22"/>
          <w:lang w:val="en-US" w:eastAsia="zh-CN"/>
        </w:rPr>
        <w:t>, for example, at least the PCI of the SSB.</w:t>
      </w:r>
    </w:p>
    <w:p w14:paraId="33A14F29" w14:textId="77777777" w:rsidR="00932AE0" w:rsidRDefault="00932AE0"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additional, for different cells, to achieve more flexibility, the time and frequency resource for SSBs may be different, which may also be needed to be indicated to the UE. </w:t>
      </w:r>
    </w:p>
    <w:p w14:paraId="0D14D1EB" w14:textId="2871CA38" w:rsidR="007728B9" w:rsidRDefault="00932AE0"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multiple SSBs from non-serving cell may be configured for UE to measure, and select one or more SSBs as source RS for QCL.</w:t>
      </w:r>
      <w:r w:rsidR="000B52E5">
        <w:rPr>
          <w:rFonts w:eastAsiaTheme="minorEastAsia"/>
          <w:color w:val="000000" w:themeColor="text1"/>
          <w:sz w:val="22"/>
          <w:szCs w:val="22"/>
          <w:lang w:val="en-US" w:eastAsia="zh-CN"/>
        </w:rPr>
        <w:t xml:space="preserve"> So the SSB related measurement should be enhanced, for example, to include a sequence of non-serving cell SSB resource lists in the </w:t>
      </w:r>
      <w:r w:rsidR="000B52E5" w:rsidRPr="000B52E5">
        <w:rPr>
          <w:rFonts w:eastAsiaTheme="minorEastAsia"/>
          <w:i/>
          <w:color w:val="000000" w:themeColor="text1"/>
          <w:sz w:val="22"/>
          <w:szCs w:val="22"/>
          <w:lang w:val="en-US" w:eastAsia="zh-CN"/>
        </w:rPr>
        <w:t>CSI-SSB-</w:t>
      </w:r>
      <w:proofErr w:type="spellStart"/>
      <w:r w:rsidR="000B52E5" w:rsidRPr="000B52E5">
        <w:rPr>
          <w:rFonts w:eastAsiaTheme="minorEastAsia"/>
          <w:i/>
          <w:color w:val="000000" w:themeColor="text1"/>
          <w:sz w:val="22"/>
          <w:szCs w:val="22"/>
          <w:lang w:val="en-US" w:eastAsia="zh-CN"/>
        </w:rPr>
        <w:t>ResourceSet</w:t>
      </w:r>
      <w:proofErr w:type="spellEnd"/>
      <w:r w:rsidR="000B52E5">
        <w:rPr>
          <w:rFonts w:eastAsiaTheme="minorEastAsia"/>
          <w:color w:val="000000" w:themeColor="text1"/>
          <w:sz w:val="22"/>
          <w:szCs w:val="22"/>
          <w:lang w:val="en-US" w:eastAsia="zh-CN"/>
        </w:rPr>
        <w:t>.</w:t>
      </w:r>
    </w:p>
    <w:p w14:paraId="399BB84D" w14:textId="6203B299" w:rsidR="00932AE0" w:rsidRPr="00972CAC" w:rsidRDefault="00972CAC" w:rsidP="002F6E68">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SSB from non-serving cell should be supported for source RS, and PCI, time/frequency resource of the SSB should be configured to UE. </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1FB3B3F6"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D754A3">
        <w:rPr>
          <w:rFonts w:eastAsia="宋体"/>
          <w:color w:val="000000" w:themeColor="text1"/>
          <w:sz w:val="22"/>
          <w:szCs w:val="22"/>
          <w:lang w:eastAsia="zh-CN"/>
        </w:rPr>
        <w:t>inter-cell operation</w:t>
      </w:r>
      <w:r w:rsidR="007F35F1">
        <w:rPr>
          <w:rFonts w:eastAsia="宋体"/>
          <w:color w:val="000000" w:themeColor="text1"/>
          <w:sz w:val="22"/>
          <w:szCs w:val="22"/>
          <w:lang w:eastAsia="zh-CN"/>
        </w:rPr>
        <w:t xml:space="preserve"> for multi-TRP</w:t>
      </w:r>
      <w:r>
        <w:rPr>
          <w:rFonts w:eastAsia="宋体" w:hint="eastAsia"/>
          <w:color w:val="000000" w:themeColor="text1"/>
          <w:sz w:val="22"/>
          <w:szCs w:val="22"/>
          <w:lang w:eastAsia="zh-CN"/>
        </w:rPr>
        <w:t>, and we proposed that:</w:t>
      </w:r>
    </w:p>
    <w:p w14:paraId="373D4B2E" w14:textId="77777777" w:rsidR="00D754A3" w:rsidRPr="00972CAC" w:rsidRDefault="00D754A3" w:rsidP="00D754A3">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SSB from non-serving cell should be supported for source RS, and PCI, time/frequency resource of the SSB should be configured to UE.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2D0F96C2" w14:textId="3E1FE8C0" w:rsidR="00A10253" w:rsidRPr="00D14EAE" w:rsidRDefault="00D14EAE" w:rsidP="007F4896">
      <w:pPr>
        <w:pStyle w:val="a7"/>
        <w:numPr>
          <w:ilvl w:val="0"/>
          <w:numId w:val="2"/>
        </w:numPr>
        <w:spacing w:after="0"/>
        <w:rPr>
          <w:rFonts w:eastAsia="宋体"/>
          <w:color w:val="000000"/>
          <w:lang w:eastAsia="zh-CN"/>
        </w:rPr>
      </w:pPr>
      <w:r w:rsidRPr="00D14EAE">
        <w:rPr>
          <w:rFonts w:eastAsia="宋体"/>
          <w:color w:val="000000"/>
          <w:lang w:eastAsia="zh-CN"/>
        </w:rPr>
        <w:t>Chairman’s notes, RAN1#102-e, August 17th – 28th, 2020.</w:t>
      </w:r>
    </w:p>
    <w:sectPr w:rsidR="00A10253" w:rsidRPr="00D14EAE"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FBC3A" w14:textId="77777777" w:rsidR="00EE0A93" w:rsidRPr="00D733E0" w:rsidRDefault="00EE0A93" w:rsidP="00D400AF">
      <w:pPr>
        <w:spacing w:after="0"/>
        <w:rPr>
          <w:rFonts w:ascii="Arial" w:eastAsia="宋体" w:hAnsi="Arial" w:cs="Arial"/>
          <w:color w:val="0000FF"/>
          <w:kern w:val="2"/>
          <w:lang w:val="en-US" w:eastAsia="zh-CN"/>
        </w:rPr>
      </w:pPr>
      <w:r>
        <w:separator/>
      </w:r>
    </w:p>
  </w:endnote>
  <w:endnote w:type="continuationSeparator" w:id="0">
    <w:p w14:paraId="26EB84C7" w14:textId="77777777" w:rsidR="00EE0A93" w:rsidRPr="00D733E0" w:rsidRDefault="00EE0A93"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8BCED91" w:rsidR="007F4896" w:rsidRPr="007A56A3" w:rsidRDefault="007F489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662A5" w:rsidRPr="000662A5">
          <w:rPr>
            <w:noProof/>
            <w:sz w:val="21"/>
            <w:lang w:val="zh-CN" w:eastAsia="zh-CN"/>
          </w:rPr>
          <w:t>1</w:t>
        </w:r>
        <w:r w:rsidRPr="007A56A3">
          <w:rPr>
            <w:sz w:val="21"/>
          </w:rPr>
          <w:fldChar w:fldCharType="end"/>
        </w:r>
      </w:p>
    </w:sdtContent>
  </w:sdt>
  <w:p w14:paraId="55D08AE3" w14:textId="77777777" w:rsidR="007F4896" w:rsidRDefault="007F489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C0F53" w14:textId="77777777" w:rsidR="00EE0A93" w:rsidRPr="00D733E0" w:rsidRDefault="00EE0A93" w:rsidP="00D400AF">
      <w:pPr>
        <w:spacing w:after="0"/>
        <w:rPr>
          <w:rFonts w:ascii="Arial" w:eastAsia="宋体" w:hAnsi="Arial" w:cs="Arial"/>
          <w:color w:val="0000FF"/>
          <w:kern w:val="2"/>
          <w:lang w:val="en-US" w:eastAsia="zh-CN"/>
        </w:rPr>
      </w:pPr>
      <w:r>
        <w:separator/>
      </w:r>
    </w:p>
  </w:footnote>
  <w:footnote w:type="continuationSeparator" w:id="0">
    <w:p w14:paraId="1DA9C557" w14:textId="77777777" w:rsidR="00EE0A93" w:rsidRPr="00D733E0" w:rsidRDefault="00EE0A93"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19"/>
  </w:num>
  <w:num w:numId="6">
    <w:abstractNumId w:val="1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2"/>
  </w:num>
  <w:num w:numId="10">
    <w:abstractNumId w:val="18"/>
  </w:num>
  <w:num w:numId="11">
    <w:abstractNumId w:val="4"/>
  </w:num>
  <w:num w:numId="12">
    <w:abstractNumId w:val="1"/>
  </w:num>
  <w:num w:numId="13">
    <w:abstractNumId w:val="10"/>
  </w:num>
  <w:num w:numId="14">
    <w:abstractNumId w:val="8"/>
  </w:num>
  <w:num w:numId="15">
    <w:abstractNumId w:val="5"/>
  </w:num>
  <w:num w:numId="16">
    <w:abstractNumId w:val="6"/>
  </w:num>
  <w:num w:numId="17">
    <w:abstractNumId w:val="14"/>
  </w:num>
  <w:num w:numId="18">
    <w:abstractNumId w:val="11"/>
  </w:num>
  <w:num w:numId="19">
    <w:abstractNumId w:val="9"/>
  </w:num>
  <w:num w:numId="20">
    <w:abstractNumId w:val="13"/>
  </w:num>
  <w:num w:numId="21">
    <w:abstractNumId w:val="16"/>
  </w:num>
  <w:num w:numId="22">
    <w:abstractNumId w:val="15"/>
  </w:num>
  <w:num w:numId="2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2A5"/>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2E5"/>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931"/>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33DC"/>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4C5F"/>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2C20"/>
    <w:rsid w:val="003D4A8B"/>
    <w:rsid w:val="003D57D9"/>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5856"/>
    <w:rsid w:val="0050680A"/>
    <w:rsid w:val="005077FE"/>
    <w:rsid w:val="005122EA"/>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106"/>
    <w:rsid w:val="00664975"/>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28B9"/>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D75"/>
    <w:rsid w:val="009039D5"/>
    <w:rsid w:val="00903A16"/>
    <w:rsid w:val="00904A7D"/>
    <w:rsid w:val="00905F5A"/>
    <w:rsid w:val="00913DD3"/>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2AE0"/>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2CAC"/>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4FA"/>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1AA9"/>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D73E7"/>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4EAE"/>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5485B"/>
    <w:rsid w:val="00D6062A"/>
    <w:rsid w:val="00D60DB5"/>
    <w:rsid w:val="00D62611"/>
    <w:rsid w:val="00D716C9"/>
    <w:rsid w:val="00D754A3"/>
    <w:rsid w:val="00D77273"/>
    <w:rsid w:val="00D77554"/>
    <w:rsid w:val="00D8208B"/>
    <w:rsid w:val="00D85742"/>
    <w:rsid w:val="00D85DB2"/>
    <w:rsid w:val="00D85FFE"/>
    <w:rsid w:val="00D872A2"/>
    <w:rsid w:val="00D90034"/>
    <w:rsid w:val="00D90FAA"/>
    <w:rsid w:val="00D93FFC"/>
    <w:rsid w:val="00D94006"/>
    <w:rsid w:val="00D9783E"/>
    <w:rsid w:val="00DA56D8"/>
    <w:rsid w:val="00DA57AE"/>
    <w:rsid w:val="00DA6280"/>
    <w:rsid w:val="00DA6BFA"/>
    <w:rsid w:val="00DA788F"/>
    <w:rsid w:val="00DA7A33"/>
    <w:rsid w:val="00DB0119"/>
    <w:rsid w:val="00DB0D6D"/>
    <w:rsid w:val="00DB0DE4"/>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17B8"/>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67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93"/>
    <w:rsid w:val="00EE0AFE"/>
    <w:rsid w:val="00EE11D6"/>
    <w:rsid w:val="00EE26A1"/>
    <w:rsid w:val="00EE30FD"/>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9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DB8F2-E6DA-44CF-81EE-3DE612A7A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2017</TotalTime>
  <Pages>1</Pages>
  <Words>353</Words>
  <Characters>2017</Characters>
  <Application>Microsoft Office Word</Application>
  <DocSecurity>0</DocSecurity>
  <Lines>16</Lines>
  <Paragraphs>4</Paragraphs>
  <ScaleCrop>false</ScaleCrop>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121</cp:revision>
  <dcterms:created xsi:type="dcterms:W3CDTF">2019-09-25T05:48:00Z</dcterms:created>
  <dcterms:modified xsi:type="dcterms:W3CDTF">2020-10-22T05:36:00Z</dcterms:modified>
</cp:coreProperties>
</file>