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45F2B" w14:textId="5953E756" w:rsidR="00C81B5A" w:rsidRDefault="0094751F">
      <w:pPr>
        <w:pStyle w:val="ac"/>
        <w:widowControl w:val="0"/>
        <w:ind w:right="-58"/>
        <w:jc w:val="left"/>
      </w:pPr>
      <w:r>
        <w:rPr>
          <w:rFonts w:ascii="Arial" w:hAnsi="Arial" w:cs="Arial"/>
          <w:b/>
          <w:bCs/>
          <w:sz w:val="28"/>
        </w:rPr>
        <w:t xml:space="preserve">3GPP TSG RAN WG1 </w:t>
      </w:r>
      <w:r>
        <w:rPr>
          <w:rFonts w:ascii="Arial" w:eastAsia="ＭＳ 明朝" w:hAnsi="Arial" w:cs="Arial"/>
          <w:b/>
          <w:bCs/>
          <w:sz w:val="28"/>
          <w:lang w:eastAsia="ja-JP"/>
        </w:rPr>
        <w:t>#10</w:t>
      </w:r>
      <w:r w:rsidR="00C6671D">
        <w:rPr>
          <w:rFonts w:ascii="Arial" w:eastAsia="ＭＳ 明朝" w:hAnsi="Arial" w:cs="Arial"/>
          <w:b/>
          <w:bCs/>
          <w:sz w:val="28"/>
          <w:lang w:eastAsia="ja-JP"/>
        </w:rPr>
        <w:t>3</w:t>
      </w:r>
      <w:r w:rsidR="00924B1F">
        <w:rPr>
          <w:rFonts w:ascii="Arial" w:eastAsia="ＭＳ 明朝" w:hAnsi="Arial" w:cs="Arial"/>
          <w:b/>
          <w:bCs/>
          <w:sz w:val="28"/>
          <w:lang w:eastAsia="ja-JP"/>
        </w:rPr>
        <w:t>-e</w:t>
      </w:r>
      <w:r>
        <w:rPr>
          <w:rFonts w:ascii="Arial" w:eastAsia="ＭＳ 明朝" w:hAnsi="Arial" w:cs="Arial"/>
          <w:b/>
          <w:bCs/>
          <w:sz w:val="28"/>
          <w:lang w:eastAsia="ja-JP"/>
        </w:rPr>
        <w:tab/>
      </w:r>
      <w:r>
        <w:rPr>
          <w:rFonts w:ascii="Arial" w:eastAsia="ＭＳ 明朝" w:hAnsi="Arial" w:cs="Arial"/>
          <w:b/>
          <w:bCs/>
          <w:color w:val="000000"/>
          <w:sz w:val="28"/>
          <w:lang w:eastAsia="ja-JP"/>
        </w:rPr>
        <w:tab/>
        <w:t>R1-</w:t>
      </w:r>
      <w:r w:rsidR="00381BAF" w:rsidRPr="00381BAF">
        <w:rPr>
          <w:rFonts w:ascii="Arial" w:eastAsia="ＭＳ 明朝" w:hAnsi="Arial" w:cs="Arial"/>
          <w:b/>
          <w:bCs/>
          <w:color w:val="000000"/>
          <w:sz w:val="28"/>
          <w:lang w:eastAsia="ja-JP"/>
        </w:rPr>
        <w:t>2008353</w:t>
      </w:r>
    </w:p>
    <w:p w14:paraId="2AB3CACA" w14:textId="186AB71D" w:rsidR="00C81B5A" w:rsidRDefault="0094751F">
      <w:pPr>
        <w:pStyle w:val="CRCoverPage"/>
        <w:tabs>
          <w:tab w:val="right" w:pos="9639"/>
        </w:tabs>
        <w:spacing w:after="0"/>
      </w:pPr>
      <w:r>
        <w:rPr>
          <w:rFonts w:cs="Arial"/>
          <w:b/>
          <w:bCs/>
          <w:sz w:val="28"/>
          <w:lang w:eastAsia="ja-JP"/>
        </w:rPr>
        <w:t xml:space="preserve">e-Meeting, </w:t>
      </w:r>
      <w:r w:rsidR="003268A3">
        <w:rPr>
          <w:rFonts w:cs="Arial"/>
          <w:b/>
          <w:bCs/>
          <w:sz w:val="28"/>
          <w:lang w:eastAsia="ja-JP"/>
        </w:rPr>
        <w:t>Oct.</w:t>
      </w:r>
      <w:r>
        <w:rPr>
          <w:rFonts w:cs="Arial"/>
          <w:b/>
          <w:bCs/>
          <w:sz w:val="28"/>
          <w:lang w:eastAsia="ja-JP"/>
        </w:rPr>
        <w:t xml:space="preserve"> </w:t>
      </w:r>
      <w:r w:rsidR="003268A3">
        <w:rPr>
          <w:rFonts w:cs="Arial"/>
          <w:b/>
          <w:bCs/>
          <w:sz w:val="28"/>
          <w:lang w:eastAsia="ja-JP"/>
        </w:rPr>
        <w:t>26</w:t>
      </w:r>
      <w:r>
        <w:rPr>
          <w:rFonts w:cs="Arial"/>
          <w:b/>
          <w:bCs/>
          <w:sz w:val="28"/>
          <w:vertAlign w:val="superscript"/>
          <w:lang w:eastAsia="ja-JP"/>
        </w:rPr>
        <w:t>th</w:t>
      </w:r>
      <w:r>
        <w:rPr>
          <w:rFonts w:cs="Arial"/>
          <w:b/>
          <w:bCs/>
          <w:sz w:val="28"/>
          <w:lang w:eastAsia="ja-JP"/>
        </w:rPr>
        <w:t xml:space="preserve"> –</w:t>
      </w:r>
      <w:r w:rsidR="00924B1F">
        <w:rPr>
          <w:rFonts w:cs="Arial"/>
          <w:b/>
          <w:bCs/>
          <w:sz w:val="28"/>
          <w:lang w:eastAsia="ja-JP"/>
        </w:rPr>
        <w:t xml:space="preserve"> </w:t>
      </w:r>
      <w:r w:rsidR="003268A3">
        <w:rPr>
          <w:rFonts w:cs="Arial"/>
          <w:b/>
          <w:bCs/>
          <w:sz w:val="28"/>
          <w:lang w:eastAsia="ja-JP"/>
        </w:rPr>
        <w:t>Nov. 13</w:t>
      </w:r>
      <w:r>
        <w:rPr>
          <w:rFonts w:cs="Arial"/>
          <w:b/>
          <w:bCs/>
          <w:sz w:val="28"/>
          <w:vertAlign w:val="superscript"/>
          <w:lang w:eastAsia="ja-JP"/>
        </w:rPr>
        <w:t>th</w:t>
      </w:r>
      <w:r>
        <w:rPr>
          <w:rFonts w:cs="Arial"/>
          <w:b/>
          <w:bCs/>
          <w:sz w:val="28"/>
          <w:lang w:eastAsia="ja-JP"/>
        </w:rPr>
        <w:t>, 2020</w:t>
      </w:r>
    </w:p>
    <w:p w14:paraId="4E777CE0" w14:textId="77777777" w:rsidR="00C81B5A" w:rsidRDefault="00C81B5A">
      <w:pPr>
        <w:pBdr>
          <w:top w:val="single" w:sz="4" w:space="1" w:color="000000"/>
        </w:pBdr>
        <w:spacing w:after="0"/>
        <w:jc w:val="left"/>
        <w:rPr>
          <w:b/>
          <w:color w:val="000000"/>
          <w:kern w:val="3"/>
          <w:lang w:val="de-DE" w:eastAsia="zh-CN"/>
        </w:rPr>
      </w:pPr>
    </w:p>
    <w:p w14:paraId="58FE80E1" w14:textId="6A8AE365" w:rsidR="00C81B5A" w:rsidRDefault="003268A3">
      <w:pPr>
        <w:spacing w:after="60"/>
        <w:ind w:left="1555" w:hanging="1555"/>
        <w:jc w:val="left"/>
      </w:pPr>
      <w:r>
        <w:rPr>
          <w:b/>
          <w:color w:val="000000"/>
          <w:kern w:val="3"/>
          <w:sz w:val="24"/>
          <w:lang w:eastAsia="zh-CN"/>
        </w:rPr>
        <w:t>Agenda Item:</w:t>
      </w:r>
      <w:r>
        <w:rPr>
          <w:b/>
          <w:color w:val="000000"/>
          <w:kern w:val="3"/>
          <w:sz w:val="24"/>
          <w:lang w:eastAsia="zh-CN"/>
        </w:rPr>
        <w:tab/>
        <w:t>8.2</w:t>
      </w:r>
      <w:r w:rsidR="0094751F">
        <w:rPr>
          <w:b/>
          <w:color w:val="000000"/>
          <w:kern w:val="3"/>
          <w:sz w:val="24"/>
          <w:lang w:eastAsia="zh-CN"/>
        </w:rPr>
        <w:t>.1</w:t>
      </w:r>
    </w:p>
    <w:p w14:paraId="36A319F8" w14:textId="77777777" w:rsidR="00C81B5A" w:rsidRDefault="0094751F">
      <w:pPr>
        <w:spacing w:after="60"/>
        <w:ind w:left="1555" w:hanging="1555"/>
        <w:jc w:val="left"/>
        <w:rPr>
          <w:b/>
          <w:color w:val="000000"/>
          <w:kern w:val="3"/>
          <w:sz w:val="24"/>
          <w:lang w:eastAsia="zh-CN"/>
        </w:rPr>
      </w:pPr>
      <w:r>
        <w:rPr>
          <w:b/>
          <w:color w:val="000000"/>
          <w:kern w:val="3"/>
          <w:sz w:val="24"/>
          <w:lang w:eastAsia="zh-CN"/>
        </w:rPr>
        <w:t>Source:</w:t>
      </w:r>
      <w:r>
        <w:rPr>
          <w:b/>
          <w:color w:val="000000"/>
          <w:kern w:val="3"/>
          <w:sz w:val="24"/>
          <w:lang w:eastAsia="zh-CN"/>
        </w:rPr>
        <w:tab/>
        <w:t>Sony</w:t>
      </w:r>
    </w:p>
    <w:p w14:paraId="2A281DF4" w14:textId="4734B9FD" w:rsidR="00C81B5A" w:rsidRDefault="0094751F">
      <w:pPr>
        <w:spacing w:after="60"/>
        <w:ind w:left="1555" w:hanging="1555"/>
        <w:jc w:val="left"/>
      </w:pPr>
      <w:bookmarkStart w:id="0" w:name="_Hlk7104797"/>
      <w:r>
        <w:rPr>
          <w:b/>
          <w:color w:val="000000"/>
          <w:kern w:val="3"/>
          <w:sz w:val="24"/>
          <w:lang w:eastAsia="zh-CN"/>
        </w:rPr>
        <w:t>Title:</w:t>
      </w:r>
      <w:r>
        <w:rPr>
          <w:b/>
          <w:color w:val="000000"/>
          <w:kern w:val="3"/>
          <w:sz w:val="24"/>
          <w:lang w:eastAsia="zh-CN"/>
        </w:rPr>
        <w:tab/>
      </w:r>
      <w:r w:rsidR="00AF2691" w:rsidRPr="00AF2691">
        <w:rPr>
          <w:b/>
          <w:color w:val="000000"/>
          <w:kern w:val="3"/>
          <w:sz w:val="24"/>
          <w:lang w:eastAsia="zh-CN"/>
        </w:rPr>
        <w:t>Considerations on required changes to NR from 52.6 GHz to 71 GHz</w:t>
      </w:r>
    </w:p>
    <w:bookmarkEnd w:id="0"/>
    <w:p w14:paraId="6011F1D4" w14:textId="77777777" w:rsidR="00C81B5A" w:rsidRDefault="0094751F">
      <w:pPr>
        <w:spacing w:after="60"/>
        <w:ind w:left="1555" w:hanging="1555"/>
        <w:jc w:val="left"/>
        <w:rPr>
          <w:b/>
          <w:color w:val="000000"/>
          <w:kern w:val="3"/>
          <w:sz w:val="24"/>
          <w:lang w:eastAsia="zh-CN"/>
        </w:rPr>
      </w:pPr>
      <w:r>
        <w:rPr>
          <w:b/>
          <w:color w:val="000000"/>
          <w:kern w:val="3"/>
          <w:sz w:val="24"/>
          <w:lang w:eastAsia="zh-CN"/>
        </w:rPr>
        <w:t>Document for:</w:t>
      </w:r>
      <w:r>
        <w:rPr>
          <w:b/>
          <w:color w:val="000000"/>
          <w:kern w:val="3"/>
          <w:sz w:val="24"/>
          <w:lang w:eastAsia="zh-CN"/>
        </w:rPr>
        <w:tab/>
        <w:t>Discussion / Decision</w:t>
      </w:r>
    </w:p>
    <w:p w14:paraId="2B774A34" w14:textId="77777777" w:rsidR="00C81B5A" w:rsidRDefault="00C81B5A">
      <w:pPr>
        <w:pBdr>
          <w:bottom w:val="single" w:sz="4" w:space="1" w:color="000000"/>
        </w:pBdr>
        <w:spacing w:after="0"/>
        <w:jc w:val="left"/>
        <w:rPr>
          <w:b/>
          <w:color w:val="000000"/>
          <w:sz w:val="16"/>
          <w:szCs w:val="16"/>
          <w:lang w:eastAsia="zh-CN"/>
        </w:rPr>
      </w:pPr>
    </w:p>
    <w:p w14:paraId="1A666DDB" w14:textId="77777777" w:rsidR="00C81B5A" w:rsidRDefault="0094751F">
      <w:pPr>
        <w:pStyle w:val="1"/>
        <w:rPr>
          <w:lang w:eastAsia="zh-CN"/>
        </w:rPr>
      </w:pPr>
      <w:r>
        <w:rPr>
          <w:lang w:eastAsia="zh-CN"/>
        </w:rPr>
        <w:t>Introduction</w:t>
      </w:r>
    </w:p>
    <w:p w14:paraId="6691308A" w14:textId="2694D709" w:rsidR="00C81B5A" w:rsidRDefault="0094751F">
      <w:pPr>
        <w:autoSpaceDE/>
        <w:snapToGrid/>
        <w:spacing w:after="0"/>
        <w:rPr>
          <w:rFonts w:eastAsia="ＭＳ 明朝"/>
          <w:color w:val="000000"/>
          <w:lang w:eastAsia="ja-JP"/>
        </w:rPr>
      </w:pPr>
      <w:r>
        <w:rPr>
          <w:rFonts w:eastAsia="ＭＳ 明朝"/>
          <w:color w:val="000000"/>
          <w:lang w:eastAsia="ja-JP"/>
        </w:rPr>
        <w:t>In this Study Item [1], the following part</w:t>
      </w:r>
      <w:r w:rsidR="00996DFC">
        <w:rPr>
          <w:rFonts w:eastAsia="ＭＳ 明朝"/>
          <w:color w:val="000000"/>
          <w:lang w:eastAsia="ja-JP"/>
        </w:rPr>
        <w:t>s</w:t>
      </w:r>
      <w:r>
        <w:rPr>
          <w:rFonts w:eastAsia="ＭＳ 明朝"/>
          <w:color w:val="000000"/>
          <w:lang w:eastAsia="ja-JP"/>
        </w:rPr>
        <w:t xml:space="preserve"> are included in the objective.</w:t>
      </w:r>
    </w:p>
    <w:p w14:paraId="6B0010FF" w14:textId="77777777" w:rsidR="00C81B5A" w:rsidRDefault="00C81B5A">
      <w:pPr>
        <w:autoSpaceDE/>
        <w:snapToGrid/>
        <w:spacing w:after="0"/>
        <w:rPr>
          <w:rFonts w:eastAsia="ＭＳ 明朝"/>
          <w:color w:val="000000"/>
          <w:lang w:eastAsia="ja-JP"/>
        </w:rPr>
      </w:pPr>
    </w:p>
    <w:p w14:paraId="7C98F1EE" w14:textId="77777777" w:rsidR="00C81B5A" w:rsidRDefault="0094751F">
      <w:pPr>
        <w:numPr>
          <w:ilvl w:val="0"/>
          <w:numId w:val="6"/>
        </w:numPr>
        <w:overflowPunct w:val="0"/>
        <w:snapToGrid/>
        <w:spacing w:after="0"/>
        <w:jc w:val="left"/>
      </w:pPr>
      <w:r>
        <w:rPr>
          <w:bCs/>
        </w:rPr>
        <w:t>Study of required changes to NR using existing DL/UL NR waveform to support operation between 52.6 GHz and 71 GHz</w:t>
      </w:r>
    </w:p>
    <w:p w14:paraId="12863BDD" w14:textId="77777777" w:rsidR="00C81B5A" w:rsidRDefault="0094751F">
      <w:pPr>
        <w:numPr>
          <w:ilvl w:val="1"/>
          <w:numId w:val="6"/>
        </w:numPr>
        <w:overflowPunct w:val="0"/>
        <w:snapToGrid/>
        <w:spacing w:after="0"/>
        <w:jc w:val="left"/>
        <w:rPr>
          <w:bCs/>
        </w:rPr>
      </w:pPr>
      <w:r>
        <w:rPr>
          <w:bCs/>
        </w:rPr>
        <w:t>Study of applicable numerology including subcarrier spacing, channel BW (including maximum BW), and their impact to FR2 physical layer design to support system functionality considering practical RF impairments [RAN1, RAN4].</w:t>
      </w:r>
    </w:p>
    <w:p w14:paraId="42B33F43" w14:textId="77777777" w:rsidR="00C81B5A" w:rsidRDefault="0094751F">
      <w:pPr>
        <w:numPr>
          <w:ilvl w:val="1"/>
          <w:numId w:val="6"/>
        </w:numPr>
        <w:overflowPunct w:val="0"/>
        <w:snapToGrid/>
        <w:spacing w:after="0"/>
        <w:jc w:val="left"/>
      </w:pPr>
      <w:r>
        <w:rPr>
          <w:lang w:eastAsia="ja-JP"/>
        </w:rPr>
        <w:t>Identify potential critical problems to physical signal/channels, if any [RAN1].</w:t>
      </w:r>
    </w:p>
    <w:p w14:paraId="718ECD18" w14:textId="77777777" w:rsidR="00C81B5A" w:rsidRDefault="00C81B5A">
      <w:pPr>
        <w:autoSpaceDE/>
        <w:snapToGrid/>
        <w:spacing w:after="0"/>
        <w:rPr>
          <w:rFonts w:eastAsia="ＭＳ 明朝"/>
          <w:lang w:eastAsia="ja-JP"/>
        </w:rPr>
      </w:pPr>
    </w:p>
    <w:p w14:paraId="0E5F172B" w14:textId="4A420E72" w:rsidR="00C81B5A" w:rsidRDefault="0094751F">
      <w:pPr>
        <w:autoSpaceDE/>
        <w:snapToGrid/>
        <w:spacing w:after="0"/>
        <w:rPr>
          <w:rFonts w:eastAsia="ＭＳ 明朝"/>
          <w:lang w:eastAsia="ja-JP"/>
        </w:rPr>
      </w:pPr>
      <w:r>
        <w:rPr>
          <w:rFonts w:eastAsia="ＭＳ 明朝"/>
          <w:lang w:eastAsia="ja-JP"/>
        </w:rPr>
        <w:t xml:space="preserve">In this contribution, required change to NR in terms of subcarrier spacing </w:t>
      </w:r>
      <w:r w:rsidR="00996DFC">
        <w:rPr>
          <w:rFonts w:eastAsia="ＭＳ 明朝"/>
          <w:lang w:eastAsia="ja-JP"/>
        </w:rPr>
        <w:t xml:space="preserve">and </w:t>
      </w:r>
      <w:r>
        <w:rPr>
          <w:rFonts w:eastAsia="ＭＳ 明朝"/>
          <w:lang w:eastAsia="ja-JP"/>
        </w:rPr>
        <w:t xml:space="preserve">channel bandwidth for above 52.6 GHz </w:t>
      </w:r>
      <w:r w:rsidR="00996DFC">
        <w:rPr>
          <w:rFonts w:eastAsia="ＭＳ 明朝"/>
          <w:lang w:eastAsia="ja-JP"/>
        </w:rPr>
        <w:t>operation are</w:t>
      </w:r>
      <w:r>
        <w:rPr>
          <w:rFonts w:eastAsia="ＭＳ 明朝"/>
          <w:lang w:eastAsia="ja-JP"/>
        </w:rPr>
        <w:t xml:space="preserve"> discussed.</w:t>
      </w:r>
    </w:p>
    <w:p w14:paraId="7108936D" w14:textId="77777777" w:rsidR="00C81B5A" w:rsidRDefault="00C81B5A">
      <w:pPr>
        <w:autoSpaceDE/>
        <w:snapToGrid/>
        <w:spacing w:after="0"/>
        <w:rPr>
          <w:rFonts w:eastAsia="ＭＳ 明朝" w:cs="Times"/>
          <w:lang w:eastAsia="ja-JP"/>
        </w:rPr>
      </w:pPr>
    </w:p>
    <w:p w14:paraId="710CAF63" w14:textId="77777777" w:rsidR="00C81B5A" w:rsidRDefault="0094751F">
      <w:pPr>
        <w:pStyle w:val="1"/>
        <w:rPr>
          <w:lang w:eastAsia="zh-CN"/>
        </w:rPr>
      </w:pPr>
      <w:r>
        <w:rPr>
          <w:lang w:eastAsia="zh-CN"/>
        </w:rPr>
        <w:t>Discussion</w:t>
      </w:r>
    </w:p>
    <w:p w14:paraId="09F0B734" w14:textId="7D8F438F" w:rsidR="009800CF" w:rsidRDefault="009800CF" w:rsidP="009800CF">
      <w:pPr>
        <w:pStyle w:val="2"/>
        <w:rPr>
          <w:lang w:eastAsia="zh-CN"/>
        </w:rPr>
      </w:pPr>
      <w:r>
        <w:rPr>
          <w:lang w:eastAsia="zh-CN"/>
        </w:rPr>
        <w:t>Bandwidth</w:t>
      </w:r>
      <w:r w:rsidRPr="00381BAF">
        <w:rPr>
          <w:rFonts w:hint="eastAsia"/>
          <w:lang w:eastAsia="zh-CN"/>
        </w:rPr>
        <w:t xml:space="preserve"> </w:t>
      </w:r>
      <w:r w:rsidRPr="00381BAF">
        <w:rPr>
          <w:lang w:eastAsia="zh-CN"/>
        </w:rPr>
        <w:t xml:space="preserve">and </w:t>
      </w:r>
      <w:r>
        <w:rPr>
          <w:lang w:eastAsia="zh-CN"/>
        </w:rPr>
        <w:t>Subcarrier spacing</w:t>
      </w:r>
    </w:p>
    <w:p w14:paraId="698ADF2D" w14:textId="0E61ACC8" w:rsidR="00C81B5A" w:rsidRDefault="0094751F" w:rsidP="3FB79CB8">
      <w:pPr>
        <w:rPr>
          <w:rFonts w:eastAsia="ＭＳ 明朝"/>
          <w:color w:val="000000"/>
          <w:lang w:eastAsia="ja-JP"/>
        </w:rPr>
      </w:pPr>
      <w:r w:rsidRPr="3FB79CB8">
        <w:rPr>
          <w:rFonts w:eastAsia="ＭＳ 明朝"/>
          <w:color w:val="000000" w:themeColor="text1"/>
          <w:lang w:eastAsia="ja-JP"/>
        </w:rPr>
        <w:t>Legacy NR supports up to 400 MHz bandwidth for FR2. In 802.11 ad/ay systems, it has been specified that a unit of LBT bandwidth is 2.16 GHz. If NR device</w:t>
      </w:r>
      <w:r w:rsidR="00996DFC" w:rsidRPr="3FB79CB8">
        <w:rPr>
          <w:rFonts w:eastAsia="ＭＳ 明朝"/>
          <w:color w:val="000000" w:themeColor="text1"/>
          <w:lang w:eastAsia="ja-JP"/>
        </w:rPr>
        <w:t>s</w:t>
      </w:r>
      <w:r w:rsidRPr="3FB79CB8">
        <w:rPr>
          <w:rFonts w:eastAsia="ＭＳ 明朝"/>
          <w:color w:val="000000" w:themeColor="text1"/>
          <w:lang w:eastAsia="ja-JP"/>
        </w:rPr>
        <w:t xml:space="preserve"> transmit signal</w:t>
      </w:r>
      <w:r w:rsidR="00996DFC" w:rsidRPr="3FB79CB8">
        <w:rPr>
          <w:rFonts w:eastAsia="ＭＳ 明朝"/>
          <w:color w:val="000000" w:themeColor="text1"/>
          <w:lang w:eastAsia="ja-JP"/>
        </w:rPr>
        <w:t>s</w:t>
      </w:r>
      <w:r w:rsidRPr="3FB79CB8">
        <w:rPr>
          <w:rFonts w:eastAsia="ＭＳ 明朝"/>
          <w:color w:val="000000" w:themeColor="text1"/>
          <w:lang w:eastAsia="ja-JP"/>
        </w:rPr>
        <w:t xml:space="preserve"> using </w:t>
      </w:r>
      <w:r w:rsidR="00996DFC" w:rsidRPr="3FB79CB8">
        <w:rPr>
          <w:rFonts w:eastAsia="ＭＳ 明朝"/>
          <w:color w:val="000000" w:themeColor="text1"/>
          <w:lang w:eastAsia="ja-JP"/>
        </w:rPr>
        <w:t xml:space="preserve">a </w:t>
      </w:r>
      <w:r w:rsidRPr="3FB79CB8">
        <w:rPr>
          <w:rFonts w:eastAsia="ＭＳ 明朝"/>
          <w:color w:val="000000" w:themeColor="text1"/>
          <w:lang w:eastAsia="ja-JP"/>
        </w:rPr>
        <w:t xml:space="preserve">channel </w:t>
      </w:r>
      <w:r w:rsidR="00996DFC" w:rsidRPr="3FB79CB8">
        <w:rPr>
          <w:rFonts w:eastAsia="ＭＳ 明朝"/>
          <w:color w:val="000000" w:themeColor="text1"/>
          <w:lang w:eastAsia="ja-JP"/>
        </w:rPr>
        <w:t>with</w:t>
      </w:r>
      <w:r w:rsidRPr="3FB79CB8">
        <w:rPr>
          <w:rFonts w:eastAsia="ＭＳ 明朝"/>
          <w:color w:val="000000" w:themeColor="text1"/>
          <w:lang w:eastAsia="ja-JP"/>
        </w:rPr>
        <w:t xml:space="preserve"> bandwidth less than 2.16 GHz, </w:t>
      </w:r>
      <w:r w:rsidR="00996DFC" w:rsidRPr="3FB79CB8">
        <w:rPr>
          <w:rFonts w:eastAsia="ＭＳ 明朝"/>
          <w:color w:val="000000" w:themeColor="text1"/>
          <w:lang w:eastAsia="ja-JP"/>
        </w:rPr>
        <w:t xml:space="preserve">an </w:t>
      </w:r>
      <w:r w:rsidRPr="3FB79CB8">
        <w:rPr>
          <w:rFonts w:eastAsia="ＭＳ 明朝"/>
          <w:color w:val="000000" w:themeColor="text1"/>
          <w:lang w:eastAsia="ja-JP"/>
        </w:rPr>
        <w:t xml:space="preserve">802.11 ad/ay device </w:t>
      </w:r>
      <w:r w:rsidR="40535490" w:rsidRPr="3FB79CB8">
        <w:rPr>
          <w:rFonts w:eastAsia="ＭＳ 明朝"/>
          <w:color w:val="000000" w:themeColor="text1"/>
          <w:lang w:eastAsia="ja-JP"/>
        </w:rPr>
        <w:t>may</w:t>
      </w:r>
      <w:r w:rsidRPr="3FB79CB8">
        <w:rPr>
          <w:rFonts w:eastAsia="ＭＳ 明朝"/>
          <w:color w:val="000000" w:themeColor="text1"/>
          <w:lang w:eastAsia="ja-JP"/>
        </w:rPr>
        <w:t xml:space="preserve"> </w:t>
      </w:r>
      <w:r w:rsidR="00996DFC" w:rsidRPr="3FB79CB8">
        <w:rPr>
          <w:rFonts w:eastAsia="ＭＳ 明朝"/>
          <w:color w:val="000000" w:themeColor="text1"/>
          <w:lang w:eastAsia="ja-JP"/>
        </w:rPr>
        <w:t xml:space="preserve">not estimate </w:t>
      </w:r>
      <w:r w:rsidRPr="3FB79CB8">
        <w:rPr>
          <w:rFonts w:eastAsia="ＭＳ 明朝"/>
          <w:color w:val="000000" w:themeColor="text1"/>
          <w:lang w:eastAsia="ja-JP"/>
        </w:rPr>
        <w:t xml:space="preserve">the existence </w:t>
      </w:r>
      <w:r w:rsidR="00130ABA" w:rsidRPr="3FB79CB8">
        <w:rPr>
          <w:rFonts w:eastAsia="ＭＳ 明朝"/>
          <w:color w:val="000000" w:themeColor="text1"/>
          <w:lang w:eastAsia="ja-JP"/>
        </w:rPr>
        <w:t xml:space="preserve">of </w:t>
      </w:r>
      <w:r w:rsidRPr="3FB79CB8">
        <w:rPr>
          <w:rFonts w:eastAsia="ＭＳ 明朝"/>
          <w:color w:val="000000" w:themeColor="text1"/>
          <w:lang w:eastAsia="ja-JP"/>
        </w:rPr>
        <w:t xml:space="preserve">the NR </w:t>
      </w:r>
      <w:r w:rsidR="0070118D" w:rsidRPr="3FB79CB8">
        <w:rPr>
          <w:rFonts w:eastAsia="ＭＳ 明朝"/>
          <w:color w:val="000000" w:themeColor="text1"/>
          <w:lang w:eastAsia="ja-JP"/>
        </w:rPr>
        <w:t>transmissions on the given channel</w:t>
      </w:r>
      <w:r w:rsidR="17599B1C" w:rsidRPr="3FB79CB8">
        <w:rPr>
          <w:rFonts w:eastAsia="ＭＳ 明朝"/>
          <w:color w:val="000000" w:themeColor="text1"/>
          <w:lang w:eastAsia="ja-JP"/>
        </w:rPr>
        <w:t xml:space="preserve"> accurately</w:t>
      </w:r>
      <w:r w:rsidR="00130ABA" w:rsidRPr="3FB79CB8">
        <w:rPr>
          <w:rFonts w:eastAsia="ＭＳ 明朝"/>
          <w:color w:val="000000" w:themeColor="text1"/>
          <w:lang w:eastAsia="ja-JP"/>
        </w:rPr>
        <w:t xml:space="preserve">, </w:t>
      </w:r>
      <w:r w:rsidR="0070118D" w:rsidRPr="3FB79CB8">
        <w:rPr>
          <w:rFonts w:eastAsia="ＭＳ 明朝"/>
          <w:color w:val="000000" w:themeColor="text1"/>
          <w:lang w:eastAsia="ja-JP"/>
        </w:rPr>
        <w:t xml:space="preserve">leading to an increased probability of </w:t>
      </w:r>
      <w:r w:rsidRPr="3FB79CB8">
        <w:rPr>
          <w:rFonts w:eastAsia="ＭＳ 明朝"/>
          <w:color w:val="000000" w:themeColor="text1"/>
          <w:lang w:eastAsia="ja-JP"/>
        </w:rPr>
        <w:t xml:space="preserve">collision between NR and 802.11 ad/ay. Like </w:t>
      </w:r>
      <w:r w:rsidR="00130ABA" w:rsidRPr="3FB79CB8">
        <w:rPr>
          <w:rFonts w:eastAsia="ＭＳ 明朝"/>
          <w:color w:val="000000" w:themeColor="text1"/>
          <w:lang w:eastAsia="ja-JP"/>
        </w:rPr>
        <w:t xml:space="preserve">for </w:t>
      </w:r>
      <w:r w:rsidRPr="3FB79CB8">
        <w:rPr>
          <w:rFonts w:eastAsia="ＭＳ 明朝"/>
          <w:color w:val="000000" w:themeColor="text1"/>
          <w:lang w:eastAsia="ja-JP"/>
        </w:rPr>
        <w:t xml:space="preserve">NR-U using 5 GHz </w:t>
      </w:r>
      <w:r w:rsidR="00130ABA" w:rsidRPr="3FB79CB8">
        <w:rPr>
          <w:rFonts w:eastAsia="ＭＳ 明朝"/>
          <w:color w:val="000000" w:themeColor="text1"/>
          <w:lang w:eastAsia="ja-JP"/>
        </w:rPr>
        <w:t xml:space="preserve">unlicensed </w:t>
      </w:r>
      <w:r w:rsidRPr="3FB79CB8">
        <w:rPr>
          <w:rFonts w:eastAsia="ＭＳ 明朝"/>
          <w:color w:val="000000" w:themeColor="text1"/>
          <w:lang w:eastAsia="ja-JP"/>
        </w:rPr>
        <w:t xml:space="preserve">spectrum, considering co-existence with NR and 802.11 ad/ay, channelization should be aligned in </w:t>
      </w:r>
      <w:r w:rsidR="00130ABA" w:rsidRPr="3FB79CB8">
        <w:rPr>
          <w:rFonts w:eastAsia="ＭＳ 明朝"/>
          <w:color w:val="000000" w:themeColor="text1"/>
          <w:lang w:eastAsia="ja-JP"/>
        </w:rPr>
        <w:t xml:space="preserve">a </w:t>
      </w:r>
      <w:r w:rsidRPr="3FB79CB8">
        <w:rPr>
          <w:rFonts w:eastAsia="ＭＳ 明朝"/>
          <w:color w:val="000000" w:themeColor="text1"/>
          <w:lang w:eastAsia="ja-JP"/>
        </w:rPr>
        <w:t>co-</w:t>
      </w:r>
      <w:r w:rsidR="00130ABA" w:rsidRPr="3FB79CB8">
        <w:rPr>
          <w:rFonts w:eastAsia="ＭＳ 明朝"/>
          <w:color w:val="000000" w:themeColor="text1"/>
          <w:lang w:eastAsia="ja-JP"/>
        </w:rPr>
        <w:t xml:space="preserve">existence </w:t>
      </w:r>
      <w:r w:rsidRPr="3FB79CB8">
        <w:rPr>
          <w:rFonts w:eastAsia="ＭＳ 明朝"/>
          <w:color w:val="000000" w:themeColor="text1"/>
          <w:lang w:eastAsia="ja-JP"/>
        </w:rPr>
        <w:t xml:space="preserve">environment. </w:t>
      </w:r>
      <w:r w:rsidR="008A305E" w:rsidRPr="3FB79CB8">
        <w:rPr>
          <w:rFonts w:eastAsia="ＭＳ 明朝"/>
          <w:color w:val="000000" w:themeColor="text1"/>
          <w:lang w:eastAsia="ja-JP"/>
        </w:rPr>
        <w:t>It is important that 3GPP aligns the bandwidth with other communication system</w:t>
      </w:r>
      <w:r w:rsidR="00647AB5" w:rsidRPr="3FB79CB8">
        <w:rPr>
          <w:rFonts w:eastAsia="ＭＳ 明朝"/>
          <w:color w:val="000000" w:themeColor="text1"/>
          <w:lang w:eastAsia="ja-JP"/>
        </w:rPr>
        <w:t>s</w:t>
      </w:r>
      <w:r w:rsidR="008A305E" w:rsidRPr="3FB79CB8">
        <w:rPr>
          <w:rFonts w:eastAsia="ＭＳ 明朝"/>
          <w:color w:val="000000" w:themeColor="text1"/>
          <w:lang w:eastAsia="ja-JP"/>
        </w:rPr>
        <w:t xml:space="preserve"> in the unlicensed band to provide competitive wideband service. </w:t>
      </w:r>
      <w:r w:rsidRPr="3FB79CB8">
        <w:rPr>
          <w:rFonts w:eastAsia="ＭＳ 明朝"/>
          <w:color w:val="000000" w:themeColor="text1"/>
          <w:lang w:eastAsia="ja-JP"/>
        </w:rPr>
        <w:t xml:space="preserve">Therefore, at least support of 2.16 GHz bandwidth should be considered. </w:t>
      </w:r>
    </w:p>
    <w:p w14:paraId="0FA0BFE8" w14:textId="23696FF0" w:rsidR="00C81B5A" w:rsidRDefault="0094751F">
      <w:pPr>
        <w:rPr>
          <w:rFonts w:eastAsia="ＭＳ 明朝"/>
          <w:b/>
          <w:bCs/>
          <w:color w:val="000000"/>
          <w:lang w:eastAsia="ja-JP"/>
        </w:rPr>
      </w:pPr>
      <w:r>
        <w:rPr>
          <w:rFonts w:eastAsia="ＭＳ 明朝"/>
          <w:b/>
          <w:bCs/>
          <w:color w:val="000000"/>
          <w:lang w:eastAsia="ja-JP"/>
        </w:rPr>
        <w:t xml:space="preserve">Proposal 1: </w:t>
      </w:r>
      <w:r w:rsidR="00130ABA">
        <w:rPr>
          <w:rFonts w:eastAsia="ＭＳ 明朝"/>
          <w:b/>
          <w:bCs/>
          <w:color w:val="000000"/>
          <w:lang w:eastAsia="ja-JP"/>
        </w:rPr>
        <w:t>NR devices s</w:t>
      </w:r>
      <w:r>
        <w:rPr>
          <w:rFonts w:eastAsia="ＭＳ 明朝"/>
          <w:b/>
          <w:bCs/>
          <w:color w:val="000000"/>
          <w:lang w:eastAsia="ja-JP"/>
        </w:rPr>
        <w:t xml:space="preserve">upport </w:t>
      </w:r>
      <w:r w:rsidR="00941B15">
        <w:rPr>
          <w:rFonts w:eastAsia="ＭＳ 明朝"/>
          <w:b/>
          <w:bCs/>
          <w:color w:val="000000"/>
          <w:lang w:eastAsia="ja-JP"/>
        </w:rPr>
        <w:t>that transmission</w:t>
      </w:r>
      <w:r w:rsidR="009B1691">
        <w:rPr>
          <w:rFonts w:eastAsia="ＭＳ 明朝"/>
          <w:b/>
          <w:bCs/>
          <w:color w:val="000000"/>
          <w:lang w:eastAsia="ja-JP"/>
        </w:rPr>
        <w:t>s</w:t>
      </w:r>
      <w:r w:rsidR="00941B15">
        <w:rPr>
          <w:rFonts w:eastAsia="ＭＳ 明朝"/>
          <w:b/>
          <w:bCs/>
          <w:color w:val="000000"/>
          <w:lang w:eastAsia="ja-JP"/>
        </w:rPr>
        <w:t xml:space="preserve"> </w:t>
      </w:r>
      <w:r w:rsidR="009B1691">
        <w:rPr>
          <w:rFonts w:eastAsia="ＭＳ 明朝"/>
          <w:b/>
          <w:bCs/>
          <w:color w:val="000000"/>
          <w:lang w:eastAsia="ja-JP"/>
        </w:rPr>
        <w:t>occupy</w:t>
      </w:r>
      <w:r w:rsidR="00976EE2">
        <w:rPr>
          <w:rFonts w:eastAsia="ＭＳ 明朝"/>
          <w:b/>
          <w:bCs/>
          <w:color w:val="000000"/>
          <w:lang w:eastAsia="ja-JP"/>
        </w:rPr>
        <w:t xml:space="preserve"> a</w:t>
      </w:r>
      <w:r w:rsidR="00941B15">
        <w:rPr>
          <w:rFonts w:eastAsia="ＭＳ 明朝"/>
          <w:b/>
          <w:bCs/>
          <w:color w:val="000000"/>
          <w:lang w:eastAsia="ja-JP"/>
        </w:rPr>
        <w:t xml:space="preserve"> </w:t>
      </w:r>
      <w:r>
        <w:rPr>
          <w:rFonts w:eastAsia="ＭＳ 明朝"/>
          <w:b/>
          <w:bCs/>
          <w:color w:val="000000"/>
          <w:lang w:eastAsia="ja-JP"/>
        </w:rPr>
        <w:t xml:space="preserve">2.16 GHz </w:t>
      </w:r>
      <w:r w:rsidR="005B6471">
        <w:rPr>
          <w:rFonts w:eastAsia="ＭＳ 明朝"/>
          <w:b/>
          <w:bCs/>
          <w:color w:val="000000"/>
          <w:lang w:eastAsia="ja-JP"/>
        </w:rPr>
        <w:t xml:space="preserve">bandwidth </w:t>
      </w:r>
      <w:r w:rsidR="00130ABA">
        <w:rPr>
          <w:rFonts w:eastAsia="ＭＳ 明朝"/>
          <w:b/>
          <w:bCs/>
          <w:color w:val="000000"/>
          <w:lang w:eastAsia="ja-JP"/>
        </w:rPr>
        <w:t>in 60GHz</w:t>
      </w:r>
      <w:r>
        <w:rPr>
          <w:rFonts w:eastAsia="ＭＳ 明朝"/>
          <w:b/>
          <w:bCs/>
          <w:color w:val="000000"/>
          <w:lang w:eastAsia="ja-JP"/>
        </w:rPr>
        <w:t xml:space="preserve"> </w:t>
      </w:r>
      <w:r w:rsidR="00130ABA">
        <w:rPr>
          <w:rFonts w:eastAsia="ＭＳ 明朝"/>
          <w:b/>
          <w:bCs/>
          <w:color w:val="000000"/>
          <w:lang w:eastAsia="ja-JP"/>
        </w:rPr>
        <w:t xml:space="preserve">unlicensed </w:t>
      </w:r>
      <w:r>
        <w:rPr>
          <w:rFonts w:eastAsia="ＭＳ 明朝"/>
          <w:b/>
          <w:bCs/>
          <w:color w:val="000000"/>
          <w:lang w:eastAsia="ja-JP"/>
        </w:rPr>
        <w:t>spectrum.</w:t>
      </w:r>
    </w:p>
    <w:p w14:paraId="60E245EE" w14:textId="77777777" w:rsidR="004775EA" w:rsidRPr="00501EBC" w:rsidRDefault="004775EA" w:rsidP="005B6471">
      <w:pPr>
        <w:rPr>
          <w:rFonts w:eastAsia="ＭＳ 明朝"/>
          <w:bCs/>
          <w:color w:val="000000"/>
          <w:lang w:val="en-GB" w:eastAsia="ja-JP"/>
        </w:rPr>
      </w:pPr>
    </w:p>
    <w:p w14:paraId="7FD8EA69" w14:textId="1EF7FF9D" w:rsidR="002D6D96" w:rsidRPr="00501EBC" w:rsidRDefault="005B6471" w:rsidP="00501EBC">
      <w:pPr>
        <w:rPr>
          <w:rFonts w:eastAsia="ＭＳ 明朝"/>
          <w:bCs/>
          <w:color w:val="000000"/>
          <w:lang w:eastAsia="ja-JP"/>
        </w:rPr>
      </w:pPr>
      <w:r>
        <w:rPr>
          <w:rFonts w:eastAsia="ＭＳ 明朝"/>
          <w:bCs/>
          <w:color w:val="000000"/>
          <w:lang w:eastAsia="ja-JP"/>
        </w:rPr>
        <w:t xml:space="preserve">To occupy 2.16 GHz bandwidth, we have 2 alternatives: (1) to support </w:t>
      </w:r>
      <w:r w:rsidR="002D6D96">
        <w:rPr>
          <w:rFonts w:eastAsia="ＭＳ 明朝"/>
          <w:bCs/>
          <w:color w:val="000000"/>
          <w:lang w:eastAsia="ja-JP"/>
        </w:rPr>
        <w:t xml:space="preserve">new wider </w:t>
      </w:r>
      <w:r>
        <w:rPr>
          <w:rFonts w:eastAsia="ＭＳ 明朝"/>
          <w:bCs/>
          <w:color w:val="000000"/>
          <w:lang w:eastAsia="ja-JP"/>
        </w:rPr>
        <w:t xml:space="preserve">bandwidth </w:t>
      </w:r>
      <w:r w:rsidR="002D6D96">
        <w:rPr>
          <w:rFonts w:eastAsia="ＭＳ 明朝"/>
          <w:bCs/>
          <w:color w:val="000000"/>
          <w:lang w:eastAsia="ja-JP"/>
        </w:rPr>
        <w:t xml:space="preserve">(e.g. 2.16 GHz) </w:t>
      </w:r>
      <w:r>
        <w:rPr>
          <w:rFonts w:eastAsia="ＭＳ 明朝"/>
          <w:bCs/>
          <w:color w:val="000000"/>
          <w:lang w:eastAsia="ja-JP"/>
        </w:rPr>
        <w:t xml:space="preserve">on a single carrier; </w:t>
      </w:r>
      <w:r w:rsidR="00976EE2">
        <w:rPr>
          <w:rFonts w:eastAsia="ＭＳ 明朝"/>
          <w:bCs/>
          <w:color w:val="000000"/>
          <w:lang w:eastAsia="ja-JP"/>
        </w:rPr>
        <w:t xml:space="preserve">or </w:t>
      </w:r>
      <w:r>
        <w:rPr>
          <w:rFonts w:eastAsia="ＭＳ 明朝"/>
          <w:bCs/>
          <w:color w:val="000000"/>
          <w:lang w:eastAsia="ja-JP"/>
        </w:rPr>
        <w:t xml:space="preserve">(2) </w:t>
      </w:r>
      <w:r w:rsidR="00DE7C00">
        <w:rPr>
          <w:rFonts w:eastAsia="ＭＳ 明朝"/>
          <w:bCs/>
          <w:color w:val="000000"/>
          <w:lang w:eastAsia="ja-JP"/>
        </w:rPr>
        <w:t xml:space="preserve">to use </w:t>
      </w:r>
      <w:r>
        <w:rPr>
          <w:rFonts w:eastAsia="ＭＳ 明朝"/>
          <w:bCs/>
          <w:color w:val="000000"/>
          <w:lang w:eastAsia="ja-JP"/>
        </w:rPr>
        <w:t xml:space="preserve">existing bandwidth </w:t>
      </w:r>
      <w:r w:rsidR="002D6D96">
        <w:rPr>
          <w:rFonts w:eastAsia="ＭＳ 明朝"/>
          <w:bCs/>
          <w:color w:val="000000"/>
          <w:lang w:eastAsia="ja-JP"/>
        </w:rPr>
        <w:t xml:space="preserve">(e.g. 400 MHz) </w:t>
      </w:r>
      <w:r w:rsidR="00DE7C00">
        <w:rPr>
          <w:rFonts w:eastAsia="ＭＳ 明朝"/>
          <w:bCs/>
          <w:color w:val="000000"/>
          <w:lang w:eastAsia="ja-JP"/>
        </w:rPr>
        <w:t>on</w:t>
      </w:r>
      <w:r w:rsidR="002D6D96">
        <w:rPr>
          <w:rFonts w:eastAsia="ＭＳ 明朝"/>
          <w:bCs/>
          <w:color w:val="000000"/>
          <w:lang w:eastAsia="ja-JP"/>
        </w:rPr>
        <w:t xml:space="preserve"> multiple carriers (e.g. 5 carriers), </w:t>
      </w:r>
      <w:r w:rsidR="00976EE2">
        <w:rPr>
          <w:rFonts w:eastAsia="ＭＳ 明朝"/>
          <w:bCs/>
          <w:color w:val="000000"/>
          <w:lang w:eastAsia="ja-JP"/>
        </w:rPr>
        <w:t xml:space="preserve">as per </w:t>
      </w:r>
      <w:r w:rsidR="002D6D96">
        <w:rPr>
          <w:rFonts w:eastAsia="ＭＳ 明朝"/>
          <w:bCs/>
          <w:color w:val="000000"/>
          <w:lang w:eastAsia="ja-JP"/>
        </w:rPr>
        <w:t>the following agreement.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2D6D96" w:rsidRPr="004E70A5" w14:paraId="0EB8151F" w14:textId="77777777" w:rsidTr="002316C8">
        <w:trPr>
          <w:trHeight w:val="689"/>
        </w:trPr>
        <w:tc>
          <w:tcPr>
            <w:tcW w:w="9259" w:type="dxa"/>
          </w:tcPr>
          <w:p w14:paraId="585F1949" w14:textId="77777777" w:rsidR="002D6D96" w:rsidRPr="002D6D96" w:rsidRDefault="002D6D96" w:rsidP="002D6D96">
            <w:pPr>
              <w:suppressAutoHyphens w:val="0"/>
              <w:autoSpaceDE/>
              <w:autoSpaceDN/>
              <w:snapToGrid/>
              <w:spacing w:after="0"/>
              <w:jc w:val="left"/>
              <w:textAlignment w:val="auto"/>
              <w:rPr>
                <w:rFonts w:ascii="Calibri" w:hAnsi="Calibri" w:cs="Calibri"/>
                <w:lang w:eastAsia="x-none"/>
              </w:rPr>
            </w:pPr>
            <w:r w:rsidRPr="002D6D96">
              <w:rPr>
                <w:rFonts w:ascii="Calibri" w:hAnsi="Calibri" w:cs="Calibri"/>
                <w:highlight w:val="green"/>
                <w:lang w:eastAsia="x-none"/>
              </w:rPr>
              <w:t>Agreement:</w:t>
            </w:r>
          </w:p>
          <w:p w14:paraId="43CF9C9D" w14:textId="07D0C7C6" w:rsidR="002D6D96" w:rsidRPr="00501EBC" w:rsidRDefault="002D6D96" w:rsidP="00501EBC">
            <w:pPr>
              <w:suppressAutoHyphens w:val="0"/>
              <w:autoSpaceDE/>
              <w:autoSpaceDN/>
              <w:snapToGrid/>
              <w:spacing w:after="0"/>
              <w:jc w:val="left"/>
              <w:textAlignment w:val="auto"/>
              <w:rPr>
                <w:rFonts w:ascii="Calibri" w:hAnsi="Calibri" w:cs="Calibri"/>
                <w:lang w:eastAsia="x-none"/>
              </w:rPr>
            </w:pPr>
            <w:r w:rsidRPr="002D6D96">
              <w:rPr>
                <w:rFonts w:ascii="Calibri" w:hAnsi="Calibri" w:cs="Calibri"/>
                <w:lang w:eastAsia="x-none"/>
              </w:rPr>
              <w:t>Study single carrier and multi carrier operations for achieving wide bandwidth utilization, while at least considering aspects such as control signaling overhead, transceiver complexity, spectral efficiency, etc.</w:t>
            </w:r>
          </w:p>
        </w:tc>
      </w:tr>
    </w:tbl>
    <w:p w14:paraId="0AE496AE" w14:textId="77777777" w:rsidR="00363819" w:rsidRDefault="00363819" w:rsidP="3B2738C9">
      <w:pPr>
        <w:rPr>
          <w:rFonts w:eastAsia="ＭＳ 明朝"/>
          <w:color w:val="000000" w:themeColor="text1"/>
          <w:lang w:eastAsia="ja-JP"/>
        </w:rPr>
      </w:pPr>
    </w:p>
    <w:p w14:paraId="36BE7B8E" w14:textId="6592133B" w:rsidR="004775EA" w:rsidRDefault="004E246A" w:rsidP="3B2738C9">
      <w:pPr>
        <w:rPr>
          <w:rFonts w:eastAsia="ＭＳ 明朝"/>
          <w:color w:val="000000"/>
          <w:lang w:eastAsia="ja-JP"/>
        </w:rPr>
      </w:pPr>
      <w:r w:rsidRPr="3B2738C9">
        <w:rPr>
          <w:rFonts w:eastAsia="ＭＳ 明朝"/>
          <w:color w:val="000000" w:themeColor="text1"/>
          <w:lang w:eastAsia="ja-JP"/>
        </w:rPr>
        <w:t xml:space="preserve">Although we support both </w:t>
      </w:r>
      <w:r w:rsidR="00363819">
        <w:rPr>
          <w:rFonts w:eastAsia="ＭＳ 明朝"/>
          <w:color w:val="000000" w:themeColor="text1"/>
          <w:lang w:eastAsia="ja-JP"/>
        </w:rPr>
        <w:t xml:space="preserve">the </w:t>
      </w:r>
      <w:r w:rsidRPr="3B2738C9">
        <w:rPr>
          <w:rFonts w:eastAsia="ＭＳ 明朝"/>
          <w:color w:val="000000" w:themeColor="text1"/>
          <w:lang w:eastAsia="ja-JP"/>
        </w:rPr>
        <w:t>solution of single carrier and multi carrier</w:t>
      </w:r>
      <w:r w:rsidR="00363819">
        <w:rPr>
          <w:rFonts w:eastAsia="ＭＳ 明朝"/>
          <w:color w:val="000000" w:themeColor="text1"/>
          <w:lang w:eastAsia="ja-JP"/>
        </w:rPr>
        <w:t xml:space="preserve"> (CA)</w:t>
      </w:r>
      <w:r w:rsidRPr="3B2738C9">
        <w:rPr>
          <w:rFonts w:eastAsia="ＭＳ 明朝"/>
          <w:color w:val="000000" w:themeColor="text1"/>
          <w:lang w:eastAsia="ja-JP"/>
        </w:rPr>
        <w:t>, CA has some drawback</w:t>
      </w:r>
      <w:r w:rsidR="00363819">
        <w:rPr>
          <w:rFonts w:eastAsia="ＭＳ 明朝"/>
          <w:color w:val="000000" w:themeColor="text1"/>
          <w:lang w:eastAsia="ja-JP"/>
        </w:rPr>
        <w:t>s</w:t>
      </w:r>
      <w:r w:rsidRPr="3B2738C9">
        <w:rPr>
          <w:rFonts w:eastAsia="ＭＳ 明朝"/>
          <w:color w:val="000000" w:themeColor="text1"/>
          <w:lang w:eastAsia="ja-JP"/>
        </w:rPr>
        <w:t xml:space="preserve">. </w:t>
      </w:r>
      <w:r w:rsidR="004D60F9">
        <w:rPr>
          <w:rFonts w:eastAsia="ＭＳ 明朝"/>
          <w:color w:val="000000" w:themeColor="text1"/>
          <w:lang w:eastAsia="ja-JP"/>
        </w:rPr>
        <w:t>In terms of</w:t>
      </w:r>
      <w:r w:rsidR="004D60F9" w:rsidRPr="3B2738C9">
        <w:rPr>
          <w:rFonts w:eastAsia="ＭＳ 明朝"/>
          <w:color w:val="000000" w:themeColor="text1"/>
          <w:lang w:eastAsia="ja-JP"/>
        </w:rPr>
        <w:t xml:space="preserve"> </w:t>
      </w:r>
      <w:r w:rsidR="004D60F9">
        <w:rPr>
          <w:rFonts w:eastAsia="ＭＳ 明朝"/>
          <w:color w:val="000000" w:themeColor="text1"/>
          <w:lang w:eastAsia="ja-JP"/>
        </w:rPr>
        <w:t xml:space="preserve">the </w:t>
      </w:r>
      <w:r w:rsidRPr="3B2738C9">
        <w:rPr>
          <w:rFonts w:eastAsia="ＭＳ 明朝"/>
          <w:color w:val="000000" w:themeColor="text1"/>
          <w:lang w:eastAsia="ja-JP"/>
        </w:rPr>
        <w:t xml:space="preserve">control </w:t>
      </w:r>
      <w:r w:rsidR="004D60F9" w:rsidRPr="3B2738C9">
        <w:rPr>
          <w:rFonts w:eastAsia="ＭＳ 明朝"/>
          <w:color w:val="000000" w:themeColor="text1"/>
          <w:lang w:eastAsia="ja-JP"/>
        </w:rPr>
        <w:t>si</w:t>
      </w:r>
      <w:r w:rsidR="004D60F9">
        <w:rPr>
          <w:rFonts w:eastAsia="ＭＳ 明朝"/>
          <w:color w:val="000000" w:themeColor="text1"/>
          <w:lang w:eastAsia="ja-JP"/>
        </w:rPr>
        <w:t>gn</w:t>
      </w:r>
      <w:r w:rsidR="004D60F9" w:rsidRPr="3B2738C9">
        <w:rPr>
          <w:rFonts w:eastAsia="ＭＳ 明朝"/>
          <w:color w:val="000000" w:themeColor="text1"/>
          <w:lang w:eastAsia="ja-JP"/>
        </w:rPr>
        <w:t xml:space="preserve">alling </w:t>
      </w:r>
      <w:r w:rsidRPr="3B2738C9">
        <w:rPr>
          <w:rFonts w:eastAsia="ＭＳ 明朝"/>
          <w:color w:val="000000" w:themeColor="text1"/>
          <w:lang w:eastAsia="ja-JP"/>
        </w:rPr>
        <w:t xml:space="preserve">overhead, </w:t>
      </w:r>
      <w:r w:rsidR="008B4360">
        <w:rPr>
          <w:rFonts w:eastAsia="ＭＳ 明朝"/>
          <w:color w:val="000000" w:themeColor="text1"/>
          <w:lang w:eastAsia="ja-JP"/>
        </w:rPr>
        <w:t>a</w:t>
      </w:r>
      <w:r w:rsidR="008B4360" w:rsidRPr="3B2738C9">
        <w:rPr>
          <w:rFonts w:eastAsia="ＭＳ 明朝"/>
          <w:color w:val="000000" w:themeColor="text1"/>
          <w:lang w:eastAsia="ja-JP"/>
        </w:rPr>
        <w:t xml:space="preserve"> </w:t>
      </w:r>
      <w:r w:rsidRPr="3B2738C9">
        <w:rPr>
          <w:rFonts w:eastAsia="ＭＳ 明朝"/>
          <w:color w:val="000000" w:themeColor="text1"/>
          <w:lang w:eastAsia="ja-JP"/>
        </w:rPr>
        <w:t xml:space="preserve">DCI </w:t>
      </w:r>
      <w:proofErr w:type="gramStart"/>
      <w:r w:rsidRPr="3B2738C9">
        <w:rPr>
          <w:rFonts w:eastAsia="ＭＳ 明朝"/>
          <w:color w:val="000000" w:themeColor="text1"/>
          <w:lang w:eastAsia="ja-JP"/>
        </w:rPr>
        <w:t>has to</w:t>
      </w:r>
      <w:proofErr w:type="gramEnd"/>
      <w:r w:rsidRPr="3B2738C9">
        <w:rPr>
          <w:rFonts w:eastAsia="ＭＳ 明朝"/>
          <w:color w:val="000000" w:themeColor="text1"/>
          <w:lang w:eastAsia="ja-JP"/>
        </w:rPr>
        <w:t xml:space="preserve"> be carried </w:t>
      </w:r>
      <w:r w:rsidR="008B4360" w:rsidRPr="3B2738C9">
        <w:rPr>
          <w:rFonts w:eastAsia="ＭＳ 明朝"/>
          <w:color w:val="000000" w:themeColor="text1"/>
          <w:lang w:eastAsia="ja-JP"/>
        </w:rPr>
        <w:t xml:space="preserve">on each carrier </w:t>
      </w:r>
      <w:r w:rsidRPr="3B2738C9">
        <w:rPr>
          <w:rFonts w:eastAsia="ＭＳ 明朝"/>
          <w:color w:val="000000" w:themeColor="text1"/>
          <w:lang w:eastAsia="ja-JP"/>
        </w:rPr>
        <w:t xml:space="preserve">to schedule PDSCH/PUSCHs </w:t>
      </w:r>
      <w:r w:rsidR="0045049F">
        <w:rPr>
          <w:rFonts w:eastAsia="ＭＳ 明朝"/>
          <w:color w:val="000000" w:themeColor="text1"/>
          <w:lang w:eastAsia="ja-JP"/>
        </w:rPr>
        <w:t>on each carrier</w:t>
      </w:r>
      <w:r w:rsidR="000E4AB8">
        <w:rPr>
          <w:rFonts w:eastAsia="ＭＳ 明朝"/>
          <w:color w:val="000000" w:themeColor="text1"/>
          <w:lang w:eastAsia="ja-JP"/>
        </w:rPr>
        <w:t xml:space="preserve"> </w:t>
      </w:r>
      <w:r w:rsidRPr="3B2738C9">
        <w:rPr>
          <w:rFonts w:eastAsia="ＭＳ 明朝"/>
          <w:color w:val="000000" w:themeColor="text1"/>
          <w:lang w:eastAsia="ja-JP"/>
        </w:rPr>
        <w:t xml:space="preserve">since multi-carrier scheduling by one DCI is not supported. For complexity, </w:t>
      </w:r>
      <w:r w:rsidR="00C02B4F">
        <w:rPr>
          <w:rFonts w:eastAsia="ＭＳ 明朝"/>
          <w:color w:val="000000" w:themeColor="text1"/>
          <w:lang w:eastAsia="ja-JP"/>
        </w:rPr>
        <w:t xml:space="preserve">although single RF front-end can be covered for intra-band contiguous CA, </w:t>
      </w:r>
      <w:r w:rsidRPr="3B2738C9">
        <w:rPr>
          <w:rFonts w:eastAsia="ＭＳ 明朝"/>
          <w:color w:val="000000" w:themeColor="text1"/>
          <w:lang w:eastAsia="ja-JP"/>
        </w:rPr>
        <w:t xml:space="preserve">a device </w:t>
      </w:r>
      <w:proofErr w:type="gramStart"/>
      <w:r w:rsidRPr="3B2738C9">
        <w:rPr>
          <w:rFonts w:eastAsia="ＭＳ 明朝"/>
          <w:color w:val="000000" w:themeColor="text1"/>
          <w:lang w:eastAsia="ja-JP"/>
        </w:rPr>
        <w:t>has to</w:t>
      </w:r>
      <w:proofErr w:type="gramEnd"/>
      <w:r w:rsidRPr="3B2738C9">
        <w:rPr>
          <w:rFonts w:eastAsia="ＭＳ 明朝"/>
          <w:color w:val="000000" w:themeColor="text1"/>
          <w:lang w:eastAsia="ja-JP"/>
        </w:rPr>
        <w:t xml:space="preserve"> have multiple </w:t>
      </w:r>
      <w:r w:rsidR="00C02B4F">
        <w:rPr>
          <w:rFonts w:eastAsia="ＭＳ 明朝"/>
          <w:color w:val="000000" w:themeColor="text1"/>
          <w:lang w:eastAsia="ja-JP"/>
        </w:rPr>
        <w:t>baseband</w:t>
      </w:r>
      <w:r w:rsidRPr="3B2738C9">
        <w:rPr>
          <w:rFonts w:eastAsia="ＭＳ 明朝"/>
          <w:color w:val="000000" w:themeColor="text1"/>
          <w:lang w:eastAsia="ja-JP"/>
        </w:rPr>
        <w:t xml:space="preserve"> </w:t>
      </w:r>
      <w:r w:rsidR="00C02B4F">
        <w:rPr>
          <w:rFonts w:eastAsia="ＭＳ 明朝"/>
          <w:color w:val="000000" w:themeColor="text1"/>
          <w:lang w:eastAsia="ja-JP"/>
        </w:rPr>
        <w:t xml:space="preserve">circuits </w:t>
      </w:r>
      <w:r w:rsidR="00D87BED" w:rsidRPr="3B2738C9">
        <w:rPr>
          <w:rFonts w:eastAsia="ＭＳ 明朝"/>
          <w:color w:val="000000" w:themeColor="text1"/>
          <w:lang w:eastAsia="ja-JP"/>
        </w:rPr>
        <w:t xml:space="preserve">for each carrier </w:t>
      </w:r>
      <w:r w:rsidRPr="3B2738C9">
        <w:rPr>
          <w:rFonts w:eastAsia="ＭＳ 明朝"/>
          <w:color w:val="000000" w:themeColor="text1"/>
          <w:lang w:eastAsia="ja-JP"/>
        </w:rPr>
        <w:t>to operate CA, which caus</w:t>
      </w:r>
      <w:r w:rsidR="077E0418" w:rsidRPr="3B2738C9">
        <w:rPr>
          <w:rFonts w:eastAsia="ＭＳ 明朝"/>
          <w:color w:val="000000" w:themeColor="text1"/>
          <w:lang w:eastAsia="ja-JP"/>
        </w:rPr>
        <w:t>es</w:t>
      </w:r>
      <w:r w:rsidRPr="3B2738C9">
        <w:rPr>
          <w:rFonts w:eastAsia="ＭＳ 明朝"/>
          <w:color w:val="000000" w:themeColor="text1"/>
          <w:lang w:eastAsia="ja-JP"/>
        </w:rPr>
        <w:t xml:space="preserve"> </w:t>
      </w:r>
      <w:proofErr w:type="spellStart"/>
      <w:r w:rsidR="0045049F">
        <w:rPr>
          <w:rFonts w:eastAsia="ＭＳ 明朝"/>
          <w:color w:val="000000" w:themeColor="text1"/>
          <w:lang w:eastAsia="ja-JP"/>
        </w:rPr>
        <w:t>an</w:t>
      </w:r>
      <w:r w:rsidRPr="3B2738C9">
        <w:rPr>
          <w:rFonts w:eastAsia="ＭＳ 明朝"/>
          <w:color w:val="000000" w:themeColor="text1"/>
          <w:lang w:eastAsia="ja-JP"/>
        </w:rPr>
        <w:t>increase</w:t>
      </w:r>
      <w:proofErr w:type="spellEnd"/>
      <w:r w:rsidRPr="3B2738C9">
        <w:rPr>
          <w:rFonts w:eastAsia="ＭＳ 明朝"/>
          <w:color w:val="000000" w:themeColor="text1"/>
          <w:lang w:eastAsia="ja-JP"/>
        </w:rPr>
        <w:t xml:space="preserve"> </w:t>
      </w:r>
      <w:r w:rsidR="0045049F">
        <w:rPr>
          <w:rFonts w:eastAsia="ＭＳ 明朝"/>
          <w:color w:val="000000" w:themeColor="text1"/>
          <w:lang w:eastAsia="ja-JP"/>
        </w:rPr>
        <w:t>in</w:t>
      </w:r>
      <w:r w:rsidR="0045049F" w:rsidRPr="3B2738C9">
        <w:rPr>
          <w:rFonts w:eastAsia="ＭＳ 明朝"/>
          <w:color w:val="000000" w:themeColor="text1"/>
          <w:lang w:eastAsia="ja-JP"/>
        </w:rPr>
        <w:t xml:space="preserve"> </w:t>
      </w:r>
      <w:r w:rsidRPr="3B2738C9">
        <w:rPr>
          <w:rFonts w:eastAsia="ＭＳ 明朝"/>
          <w:color w:val="000000" w:themeColor="text1"/>
          <w:lang w:eastAsia="ja-JP"/>
        </w:rPr>
        <w:t xml:space="preserve">implementation </w:t>
      </w:r>
      <w:r w:rsidRPr="3B2738C9">
        <w:rPr>
          <w:rFonts w:eastAsia="ＭＳ 明朝"/>
          <w:color w:val="000000" w:themeColor="text1"/>
          <w:lang w:eastAsia="ja-JP"/>
        </w:rPr>
        <w:lastRenderedPageBreak/>
        <w:t xml:space="preserve">complexity. For spectral efficiency, </w:t>
      </w:r>
      <w:r w:rsidR="0045049F">
        <w:rPr>
          <w:rFonts w:eastAsia="ＭＳ 明朝"/>
          <w:color w:val="000000" w:themeColor="text1"/>
          <w:lang w:eastAsia="ja-JP"/>
        </w:rPr>
        <w:t xml:space="preserve">the </w:t>
      </w:r>
      <w:r w:rsidRPr="3B2738C9">
        <w:rPr>
          <w:rFonts w:eastAsia="ＭＳ 明朝"/>
          <w:color w:val="000000" w:themeColor="text1"/>
          <w:lang w:eastAsia="ja-JP"/>
        </w:rPr>
        <w:t xml:space="preserve">guard-band between carriers cannot be utilized for transmission in CA operation, while </w:t>
      </w:r>
      <w:r w:rsidR="00A32A7C">
        <w:rPr>
          <w:rFonts w:eastAsia="ＭＳ 明朝"/>
          <w:color w:val="000000" w:themeColor="text1"/>
          <w:lang w:eastAsia="ja-JP"/>
        </w:rPr>
        <w:t xml:space="preserve">the </w:t>
      </w:r>
      <w:r w:rsidRPr="3B2738C9">
        <w:rPr>
          <w:rFonts w:eastAsia="ＭＳ 明朝"/>
          <w:color w:val="000000" w:themeColor="text1"/>
          <w:lang w:eastAsia="ja-JP"/>
        </w:rPr>
        <w:t xml:space="preserve">guard-band can be utilized in </w:t>
      </w:r>
      <w:r w:rsidR="00A32A7C">
        <w:rPr>
          <w:rFonts w:eastAsia="ＭＳ 明朝"/>
          <w:color w:val="000000" w:themeColor="text1"/>
          <w:lang w:eastAsia="ja-JP"/>
        </w:rPr>
        <w:t xml:space="preserve">a </w:t>
      </w:r>
      <w:r w:rsidRPr="3B2738C9">
        <w:rPr>
          <w:rFonts w:eastAsia="ＭＳ 明朝"/>
          <w:color w:val="000000" w:themeColor="text1"/>
          <w:lang w:eastAsia="ja-JP"/>
        </w:rPr>
        <w:t xml:space="preserve">single carrier. Therefore, single carrier would be </w:t>
      </w:r>
      <w:proofErr w:type="gramStart"/>
      <w:r w:rsidRPr="3B2738C9">
        <w:rPr>
          <w:rFonts w:eastAsia="ＭＳ 明朝"/>
          <w:color w:val="000000" w:themeColor="text1"/>
          <w:lang w:eastAsia="ja-JP"/>
        </w:rPr>
        <w:t>more preferable</w:t>
      </w:r>
      <w:proofErr w:type="gramEnd"/>
      <w:r w:rsidRPr="3B2738C9">
        <w:rPr>
          <w:rFonts w:eastAsia="ＭＳ 明朝"/>
          <w:color w:val="000000" w:themeColor="text1"/>
          <w:lang w:eastAsia="ja-JP"/>
        </w:rPr>
        <w:t>.</w:t>
      </w:r>
    </w:p>
    <w:p w14:paraId="0B49A1A2" w14:textId="133A7B6F" w:rsidR="00947D05" w:rsidRPr="00F06801" w:rsidRDefault="004E246A" w:rsidP="00947D05">
      <w:pPr>
        <w:rPr>
          <w:rFonts w:eastAsia="ＭＳ 明朝"/>
          <w:b/>
          <w:color w:val="000000"/>
          <w:lang w:eastAsia="ja-JP"/>
        </w:rPr>
      </w:pPr>
      <w:r>
        <w:rPr>
          <w:rFonts w:eastAsia="ＭＳ 明朝"/>
          <w:b/>
          <w:color w:val="000000"/>
          <w:lang w:eastAsia="ja-JP"/>
        </w:rPr>
        <w:t xml:space="preserve">Observation </w:t>
      </w:r>
      <w:r w:rsidR="00DC63D5">
        <w:rPr>
          <w:rFonts w:eastAsia="ＭＳ 明朝"/>
          <w:b/>
          <w:color w:val="000000"/>
          <w:lang w:eastAsia="ja-JP"/>
        </w:rPr>
        <w:t>1</w:t>
      </w:r>
      <w:r w:rsidR="00947D05">
        <w:rPr>
          <w:rFonts w:eastAsia="ＭＳ 明朝"/>
          <w:b/>
          <w:color w:val="000000"/>
          <w:lang w:eastAsia="ja-JP"/>
        </w:rPr>
        <w:t>: CA (either inter-band or intra-band) can be supported, but we prefer not to rely on CA with maximum bandwidth 400MHz per carrier to achieve 2.16GHz bandwidth.</w:t>
      </w:r>
    </w:p>
    <w:p w14:paraId="6FD9CDC2" w14:textId="428DFBCB" w:rsidR="00A12269" w:rsidRPr="004C7D2B" w:rsidRDefault="00A12269">
      <w:pPr>
        <w:rPr>
          <w:rFonts w:eastAsia="ＭＳ 明朝"/>
          <w:b/>
          <w:color w:val="000000"/>
          <w:lang w:eastAsia="ja-JP"/>
        </w:rPr>
      </w:pPr>
    </w:p>
    <w:p w14:paraId="3E417768" w14:textId="11306C4C" w:rsidR="004775EA" w:rsidRPr="004E70A5" w:rsidRDefault="004775EA" w:rsidP="004775EA">
      <w:pPr>
        <w:autoSpaceDE/>
        <w:snapToGrid/>
        <w:rPr>
          <w:rFonts w:eastAsia="ＭＳ 明朝"/>
          <w:lang w:eastAsia="ja-JP"/>
        </w:rPr>
      </w:pPr>
      <w:r>
        <w:rPr>
          <w:rFonts w:eastAsia="ＭＳ 明朝"/>
          <w:lang w:eastAsia="ja-JP"/>
        </w:rPr>
        <w:t>In RAN1 #102e, the following agreement on numerology was achieved</w:t>
      </w:r>
      <w:r w:rsidR="00A32A7C">
        <w:rPr>
          <w:rFonts w:eastAsia="ＭＳ 明朝"/>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775EA" w:rsidRPr="004E70A5" w14:paraId="3E9B3404" w14:textId="77777777" w:rsidTr="002316C8">
        <w:trPr>
          <w:trHeight w:val="689"/>
        </w:trPr>
        <w:tc>
          <w:tcPr>
            <w:tcW w:w="9259" w:type="dxa"/>
          </w:tcPr>
          <w:p w14:paraId="708EAAC4" w14:textId="77777777" w:rsidR="004775EA" w:rsidRPr="00CB3E61" w:rsidRDefault="004775EA" w:rsidP="002316C8">
            <w:pPr>
              <w:suppressAutoHyphens w:val="0"/>
              <w:autoSpaceDE/>
              <w:autoSpaceDN/>
              <w:snapToGrid/>
              <w:spacing w:before="80" w:after="0"/>
              <w:ind w:left="1440" w:hanging="1440"/>
              <w:jc w:val="left"/>
              <w:textAlignment w:val="auto"/>
              <w:rPr>
                <w:rFonts w:ascii="Times" w:eastAsia="Batang" w:hAnsi="Times"/>
                <w:sz w:val="20"/>
                <w:szCs w:val="24"/>
                <w:lang w:val="en-GB" w:eastAsia="x-none"/>
              </w:rPr>
            </w:pPr>
            <w:r w:rsidRPr="00CB3E61">
              <w:rPr>
                <w:rFonts w:ascii="Times" w:eastAsia="Batang" w:hAnsi="Times"/>
                <w:sz w:val="20"/>
                <w:szCs w:val="24"/>
                <w:highlight w:val="green"/>
                <w:lang w:val="en-GB" w:eastAsia="x-none"/>
              </w:rPr>
              <w:t>Agreement:</w:t>
            </w:r>
          </w:p>
          <w:p w14:paraId="2C3A272D" w14:textId="77777777" w:rsidR="004775EA" w:rsidRPr="00CB3E61" w:rsidRDefault="004775EA" w:rsidP="002316C8">
            <w:pPr>
              <w:suppressAutoHyphens w:val="0"/>
              <w:autoSpaceDE/>
              <w:autoSpaceDN/>
              <w:snapToGrid/>
              <w:spacing w:after="0"/>
              <w:ind w:left="1440" w:hanging="1440"/>
              <w:jc w:val="left"/>
              <w:textAlignment w:val="auto"/>
              <w:rPr>
                <w:rFonts w:ascii="Times" w:eastAsia="Batang" w:hAnsi="Times"/>
                <w:sz w:val="20"/>
                <w:szCs w:val="24"/>
                <w:lang w:val="en-GB" w:eastAsia="x-none"/>
              </w:rPr>
            </w:pPr>
            <w:r w:rsidRPr="00CB3E61">
              <w:rPr>
                <w:rFonts w:ascii="Times" w:eastAsia="Batang" w:hAnsi="Times"/>
                <w:sz w:val="20"/>
                <w:szCs w:val="24"/>
                <w:lang w:val="en-GB" w:eastAsia="x-none"/>
              </w:rPr>
              <w:t xml:space="preserve">For NR system operating in 52.6 GHz to 71 GHz, </w:t>
            </w:r>
          </w:p>
          <w:p w14:paraId="4DFDBA7F" w14:textId="77777777" w:rsidR="004775EA" w:rsidRPr="00CB3E61" w:rsidRDefault="004775EA" w:rsidP="002316C8">
            <w:pPr>
              <w:numPr>
                <w:ilvl w:val="0"/>
                <w:numId w:val="10"/>
              </w:numPr>
              <w:suppressAutoHyphens w:val="0"/>
              <w:autoSpaceDE/>
              <w:autoSpaceDN/>
              <w:snapToGrid/>
              <w:spacing w:after="0"/>
              <w:jc w:val="left"/>
              <w:textAlignment w:val="auto"/>
              <w:rPr>
                <w:rFonts w:ascii="Times" w:eastAsia="Batang" w:hAnsi="Times"/>
                <w:sz w:val="20"/>
                <w:szCs w:val="24"/>
                <w:lang w:val="en-GB" w:eastAsia="x-none"/>
              </w:rPr>
            </w:pPr>
            <w:r w:rsidRPr="00CB3E61">
              <w:rPr>
                <w:rFonts w:ascii="Times" w:eastAsia="Batang" w:hAnsi="Times"/>
                <w:sz w:val="20"/>
                <w:szCs w:val="24"/>
                <w:lang w:val="en-GB" w:eastAsia="x-none"/>
              </w:rPr>
              <w:t>NR should be designed with maximum FFT size of 4096 and maximum of 275RBs per carrier;</w:t>
            </w:r>
          </w:p>
          <w:p w14:paraId="19E8691D" w14:textId="77777777" w:rsidR="004775EA" w:rsidRPr="00CB3E61" w:rsidRDefault="004775EA" w:rsidP="002316C8">
            <w:pPr>
              <w:numPr>
                <w:ilvl w:val="0"/>
                <w:numId w:val="10"/>
              </w:numPr>
              <w:suppressAutoHyphens w:val="0"/>
              <w:autoSpaceDE/>
              <w:autoSpaceDN/>
              <w:snapToGrid/>
              <w:spacing w:after="0"/>
              <w:jc w:val="left"/>
              <w:textAlignment w:val="auto"/>
              <w:rPr>
                <w:rFonts w:ascii="Times" w:eastAsia="Batang" w:hAnsi="Times"/>
                <w:sz w:val="20"/>
                <w:szCs w:val="24"/>
                <w:lang w:val="en-GB" w:eastAsia="x-none"/>
              </w:rPr>
            </w:pPr>
            <w:r w:rsidRPr="00CB3E61">
              <w:rPr>
                <w:rFonts w:ascii="Times" w:eastAsia="Batang" w:hAnsi="Times"/>
                <w:sz w:val="20"/>
                <w:szCs w:val="24"/>
                <w:lang w:val="en-GB" w:eastAsia="x-none"/>
              </w:rPr>
              <w:t>Candidate supported maximum carrier bandwidth(s) for a cell is between 400 MHz and 2160 MHz;</w:t>
            </w:r>
          </w:p>
          <w:p w14:paraId="04154240" w14:textId="77777777" w:rsidR="004775EA" w:rsidRPr="004E70A5" w:rsidRDefault="004775EA" w:rsidP="002316C8">
            <w:pPr>
              <w:numPr>
                <w:ilvl w:val="0"/>
                <w:numId w:val="10"/>
              </w:numPr>
              <w:suppressAutoHyphens w:val="0"/>
              <w:autoSpaceDE/>
              <w:autoSpaceDN/>
              <w:snapToGrid/>
              <w:ind w:left="714" w:hanging="357"/>
              <w:jc w:val="left"/>
              <w:textAlignment w:val="auto"/>
              <w:rPr>
                <w:rFonts w:ascii="Times" w:eastAsia="Batang" w:hAnsi="Times"/>
                <w:sz w:val="20"/>
                <w:szCs w:val="24"/>
                <w:lang w:val="en-GB" w:eastAsia="x-none"/>
              </w:rPr>
            </w:pPr>
            <w:r w:rsidRPr="00CB3E61">
              <w:rPr>
                <w:rFonts w:ascii="Times" w:eastAsia="Batang" w:hAnsi="Times"/>
                <w:sz w:val="20"/>
                <w:szCs w:val="24"/>
                <w:lang w:val="en-GB" w:eastAsia="x-none"/>
              </w:rPr>
              <w:t>If subcarrier spacing 240 kHz or below are supported, NR in 52.6 to 71 GHz is expected to use normal CP length only (does not have any implications on whether ECP is supported for the higher subcarrier spacings, if supported).</w:t>
            </w:r>
          </w:p>
        </w:tc>
      </w:tr>
    </w:tbl>
    <w:p w14:paraId="236F4A1B" w14:textId="77777777" w:rsidR="008E60DB" w:rsidRDefault="008E60DB">
      <w:pPr>
        <w:rPr>
          <w:rFonts w:eastAsia="ＭＳ 明朝"/>
          <w:bCs/>
          <w:color w:val="000000"/>
          <w:lang w:eastAsia="ja-JP"/>
        </w:rPr>
      </w:pPr>
    </w:p>
    <w:p w14:paraId="02CDCF67" w14:textId="70205524" w:rsidR="00C81B5A" w:rsidRDefault="005B6471">
      <w:pPr>
        <w:rPr>
          <w:rFonts w:eastAsia="ＭＳ 明朝"/>
          <w:bCs/>
          <w:color w:val="000000"/>
          <w:lang w:eastAsia="ja-JP"/>
        </w:rPr>
      </w:pPr>
      <w:r>
        <w:rPr>
          <w:rFonts w:eastAsia="ＭＳ 明朝"/>
          <w:bCs/>
          <w:color w:val="000000"/>
          <w:lang w:eastAsia="ja-JP"/>
        </w:rPr>
        <w:t xml:space="preserve">Since it was agreed that </w:t>
      </w:r>
      <w:r w:rsidR="00130ABA">
        <w:rPr>
          <w:rFonts w:eastAsia="ＭＳ 明朝"/>
          <w:bCs/>
          <w:color w:val="000000"/>
          <w:lang w:eastAsia="ja-JP"/>
        </w:rPr>
        <w:t xml:space="preserve">the </w:t>
      </w:r>
      <w:r w:rsidR="001D0AA0">
        <w:rPr>
          <w:rFonts w:eastAsia="ＭＳ 明朝"/>
          <w:bCs/>
          <w:color w:val="000000"/>
          <w:lang w:eastAsia="ja-JP"/>
        </w:rPr>
        <w:t xml:space="preserve">maximum </w:t>
      </w:r>
      <w:r w:rsidR="0094751F">
        <w:rPr>
          <w:rFonts w:eastAsia="ＭＳ 明朝"/>
          <w:bCs/>
          <w:color w:val="000000"/>
          <w:lang w:eastAsia="ja-JP"/>
        </w:rPr>
        <w:t xml:space="preserve">FFT size </w:t>
      </w:r>
      <w:r>
        <w:rPr>
          <w:rFonts w:eastAsia="ＭＳ 明朝"/>
          <w:bCs/>
          <w:color w:val="000000"/>
          <w:lang w:eastAsia="ja-JP"/>
        </w:rPr>
        <w:t xml:space="preserve">is </w:t>
      </w:r>
      <w:r w:rsidR="0094751F">
        <w:rPr>
          <w:rFonts w:eastAsia="ＭＳ 明朝"/>
          <w:bCs/>
          <w:color w:val="000000"/>
          <w:lang w:eastAsia="ja-JP"/>
        </w:rPr>
        <w:t xml:space="preserve">4096 points, </w:t>
      </w:r>
      <w:r w:rsidR="004017C0">
        <w:rPr>
          <w:rFonts w:eastAsia="ＭＳ 明朝"/>
          <w:bCs/>
          <w:color w:val="000000"/>
          <w:lang w:eastAsia="ja-JP"/>
        </w:rPr>
        <w:t xml:space="preserve">a </w:t>
      </w:r>
      <w:r w:rsidR="0094751F">
        <w:rPr>
          <w:rFonts w:eastAsia="ＭＳ 明朝"/>
          <w:bCs/>
          <w:color w:val="000000"/>
          <w:lang w:eastAsia="ja-JP"/>
        </w:rPr>
        <w:t>960 kHz SCS is required (960 kHz x 4096 = 3.93216 GHz &gt; 2.16 GHz)</w:t>
      </w:r>
      <w:r>
        <w:rPr>
          <w:rFonts w:eastAsia="ＭＳ 明朝"/>
          <w:bCs/>
          <w:color w:val="000000"/>
          <w:lang w:eastAsia="ja-JP"/>
        </w:rPr>
        <w:t xml:space="preserve"> to support 2.16 GHz bandwidth</w:t>
      </w:r>
      <w:r w:rsidR="0094751F">
        <w:rPr>
          <w:rFonts w:eastAsia="ＭＳ 明朝"/>
          <w:bCs/>
          <w:color w:val="000000"/>
          <w:lang w:eastAsia="ja-JP"/>
        </w:rPr>
        <w:t>.</w:t>
      </w:r>
    </w:p>
    <w:p w14:paraId="2C9A5512" w14:textId="7B1655BE" w:rsidR="00C81B5A" w:rsidRDefault="00947D05">
      <w:pPr>
        <w:rPr>
          <w:rFonts w:eastAsia="ＭＳ 明朝"/>
          <w:b/>
          <w:bCs/>
          <w:color w:val="000000"/>
          <w:lang w:eastAsia="ja-JP"/>
        </w:rPr>
      </w:pPr>
      <w:r>
        <w:rPr>
          <w:rFonts w:eastAsia="ＭＳ 明朝"/>
          <w:b/>
          <w:bCs/>
          <w:color w:val="000000"/>
          <w:lang w:eastAsia="ja-JP"/>
        </w:rPr>
        <w:t xml:space="preserve">Observation </w:t>
      </w:r>
      <w:r w:rsidR="00DC63D5">
        <w:rPr>
          <w:rFonts w:eastAsia="ＭＳ 明朝"/>
          <w:b/>
          <w:bCs/>
          <w:color w:val="000000"/>
          <w:lang w:eastAsia="ja-JP"/>
        </w:rPr>
        <w:t>2</w:t>
      </w:r>
      <w:r w:rsidR="0094751F">
        <w:rPr>
          <w:rFonts w:eastAsia="ＭＳ 明朝"/>
          <w:b/>
          <w:bCs/>
          <w:color w:val="000000"/>
          <w:lang w:eastAsia="ja-JP"/>
        </w:rPr>
        <w:t>: To support 2.16 GHz bandwidth</w:t>
      </w:r>
      <w:r>
        <w:rPr>
          <w:rFonts w:eastAsia="ＭＳ 明朝"/>
          <w:b/>
          <w:bCs/>
          <w:color w:val="000000"/>
          <w:lang w:eastAsia="ja-JP"/>
        </w:rPr>
        <w:t xml:space="preserve"> </w:t>
      </w:r>
      <w:r w:rsidR="00D87BED">
        <w:rPr>
          <w:rFonts w:eastAsia="ＭＳ 明朝"/>
          <w:b/>
          <w:bCs/>
          <w:color w:val="000000"/>
          <w:lang w:eastAsia="ja-JP"/>
        </w:rPr>
        <w:t>by</w:t>
      </w:r>
      <w:r>
        <w:rPr>
          <w:rFonts w:eastAsia="ＭＳ 明朝"/>
          <w:b/>
          <w:bCs/>
          <w:color w:val="000000"/>
          <w:lang w:eastAsia="ja-JP"/>
        </w:rPr>
        <w:t xml:space="preserve"> single carrier</w:t>
      </w:r>
      <w:r w:rsidR="0094751F">
        <w:rPr>
          <w:rFonts w:eastAsia="ＭＳ 明朝"/>
          <w:b/>
          <w:bCs/>
          <w:color w:val="000000"/>
          <w:lang w:eastAsia="ja-JP"/>
        </w:rPr>
        <w:t>, 960 kHz SCS is required</w:t>
      </w:r>
      <w:r w:rsidR="00A27971">
        <w:rPr>
          <w:rFonts w:eastAsia="ＭＳ 明朝"/>
          <w:b/>
          <w:bCs/>
          <w:color w:val="000000"/>
          <w:lang w:eastAsia="ja-JP"/>
        </w:rPr>
        <w:t>.</w:t>
      </w:r>
      <w:r w:rsidR="0094751F">
        <w:rPr>
          <w:rFonts w:eastAsia="ＭＳ 明朝"/>
          <w:b/>
          <w:bCs/>
          <w:color w:val="000000"/>
          <w:lang w:eastAsia="ja-JP"/>
        </w:rPr>
        <w:t xml:space="preserve"> </w:t>
      </w:r>
    </w:p>
    <w:p w14:paraId="37BE654A" w14:textId="3D7E8455" w:rsidR="00C81B5A" w:rsidRDefault="0094751F">
      <w:pPr>
        <w:rPr>
          <w:rFonts w:eastAsia="ＭＳ 明朝"/>
          <w:bCs/>
          <w:color w:val="000000"/>
          <w:lang w:eastAsia="ja-JP"/>
        </w:rPr>
      </w:pPr>
      <w:r>
        <w:rPr>
          <w:rFonts w:eastAsia="ＭＳ 明朝"/>
          <w:bCs/>
          <w:color w:val="000000"/>
          <w:lang w:eastAsia="ja-JP"/>
        </w:rPr>
        <w:t xml:space="preserve">SCS should be </w:t>
      </w:r>
      <w:r w:rsidR="004D4A57">
        <w:rPr>
          <w:rFonts w:eastAsia="ＭＳ 明朝"/>
          <w:bCs/>
          <w:color w:val="000000"/>
          <w:lang w:eastAsia="ja-JP"/>
        </w:rPr>
        <w:t xml:space="preserve">chosen </w:t>
      </w:r>
      <w:r>
        <w:rPr>
          <w:rFonts w:eastAsia="ＭＳ 明朝"/>
          <w:bCs/>
          <w:color w:val="000000"/>
          <w:lang w:eastAsia="ja-JP"/>
        </w:rPr>
        <w:t>considering not only bandwidth aspects but also other aspects such as frequency offset, phase noise and CP.</w:t>
      </w:r>
    </w:p>
    <w:p w14:paraId="1E4098E2" w14:textId="305A8ABB" w:rsidR="00C81B5A" w:rsidRDefault="0094751F">
      <w:pPr>
        <w:rPr>
          <w:rFonts w:eastAsia="ＭＳ 明朝"/>
          <w:bCs/>
          <w:color w:val="000000"/>
          <w:lang w:eastAsia="ja-JP"/>
        </w:rPr>
      </w:pPr>
      <w:r>
        <w:rPr>
          <w:rFonts w:eastAsia="ＭＳ 明朝"/>
          <w:bCs/>
          <w:color w:val="000000"/>
          <w:lang w:eastAsia="ja-JP"/>
        </w:rPr>
        <w:t xml:space="preserve">Due to </w:t>
      </w:r>
      <w:r w:rsidR="004017C0">
        <w:rPr>
          <w:rFonts w:eastAsia="ＭＳ 明朝"/>
          <w:bCs/>
          <w:color w:val="000000"/>
          <w:lang w:eastAsia="ja-JP"/>
        </w:rPr>
        <w:t xml:space="preserve">the </w:t>
      </w:r>
      <w:r>
        <w:rPr>
          <w:rFonts w:eastAsia="ＭＳ 明朝"/>
          <w:bCs/>
          <w:color w:val="000000"/>
          <w:lang w:eastAsia="ja-JP"/>
        </w:rPr>
        <w:t xml:space="preserve">frequency offset caused by mis-matched oscillators, Doppler shift, and timing synchronization errors, ICI (Inter-Carrier Interference) will be increased. Especially for high carrier frequency, the impact of ICI caused by frequency offset will be </w:t>
      </w:r>
      <w:r w:rsidR="004017C0">
        <w:rPr>
          <w:rFonts w:eastAsia="ＭＳ 明朝"/>
          <w:bCs/>
          <w:color w:val="000000"/>
          <w:lang w:eastAsia="ja-JP"/>
        </w:rPr>
        <w:t xml:space="preserve">significant </w:t>
      </w:r>
      <w:r>
        <w:rPr>
          <w:rFonts w:eastAsia="ＭＳ 明朝"/>
          <w:bCs/>
          <w:color w:val="000000"/>
          <w:lang w:eastAsia="ja-JP"/>
        </w:rPr>
        <w:t xml:space="preserve">because Doppler shift/spread is proportional to carrier frequency. In addition, phase noise, which also </w:t>
      </w:r>
      <w:r w:rsidR="004017C0">
        <w:rPr>
          <w:rFonts w:eastAsia="ＭＳ 明朝"/>
          <w:bCs/>
          <w:color w:val="000000"/>
          <w:lang w:eastAsia="ja-JP"/>
        </w:rPr>
        <w:t>increases as</w:t>
      </w:r>
      <w:r>
        <w:rPr>
          <w:rFonts w:eastAsia="ＭＳ 明朝"/>
          <w:bCs/>
          <w:color w:val="000000"/>
          <w:lang w:eastAsia="ja-JP"/>
        </w:rPr>
        <w:t xml:space="preserve"> carrier frequency</w:t>
      </w:r>
      <w:r w:rsidR="004017C0">
        <w:rPr>
          <w:rFonts w:eastAsia="ＭＳ 明朝"/>
          <w:bCs/>
          <w:color w:val="000000"/>
          <w:lang w:eastAsia="ja-JP"/>
        </w:rPr>
        <w:t xml:space="preserve"> increases</w:t>
      </w:r>
      <w:r>
        <w:rPr>
          <w:rFonts w:eastAsia="ＭＳ 明朝"/>
          <w:bCs/>
          <w:color w:val="000000"/>
          <w:lang w:eastAsia="ja-JP"/>
        </w:rPr>
        <w:t xml:space="preserve">, also causes ICI. To cope with the impact of ICI caused by frequency offset and phase noise, applying </w:t>
      </w:r>
      <w:r w:rsidR="004017C0">
        <w:rPr>
          <w:rFonts w:eastAsia="ＭＳ 明朝"/>
          <w:bCs/>
          <w:color w:val="000000"/>
          <w:lang w:eastAsia="ja-JP"/>
        </w:rPr>
        <w:t xml:space="preserve">a </w:t>
      </w:r>
      <w:r>
        <w:rPr>
          <w:rFonts w:eastAsia="ＭＳ 明朝"/>
          <w:bCs/>
          <w:color w:val="000000"/>
          <w:lang w:eastAsia="ja-JP"/>
        </w:rPr>
        <w:t xml:space="preserve">wider SCS than </w:t>
      </w:r>
      <w:r w:rsidR="00D618AD">
        <w:rPr>
          <w:rFonts w:eastAsia="ＭＳ 明朝"/>
          <w:bCs/>
          <w:color w:val="000000"/>
          <w:lang w:eastAsia="ja-JP"/>
        </w:rPr>
        <w:t xml:space="preserve">120 </w:t>
      </w:r>
      <w:r>
        <w:rPr>
          <w:rFonts w:eastAsia="ＭＳ 明朝"/>
          <w:bCs/>
          <w:color w:val="000000"/>
          <w:lang w:eastAsia="ja-JP"/>
        </w:rPr>
        <w:t xml:space="preserve">kHz </w:t>
      </w:r>
      <w:r w:rsidR="00D618AD">
        <w:rPr>
          <w:rFonts w:eastAsia="ＭＳ 明朝"/>
          <w:bCs/>
          <w:color w:val="000000"/>
          <w:lang w:eastAsia="ja-JP"/>
        </w:rPr>
        <w:t xml:space="preserve">for data transmission and 240 kHz for SSB transmission </w:t>
      </w:r>
      <w:r>
        <w:rPr>
          <w:rFonts w:eastAsia="ＭＳ 明朝"/>
          <w:bCs/>
          <w:color w:val="000000"/>
          <w:lang w:eastAsia="ja-JP"/>
        </w:rPr>
        <w:t>would be beneficial.</w:t>
      </w:r>
    </w:p>
    <w:p w14:paraId="2F35D724" w14:textId="78AE1C8B" w:rsidR="00C81B5A" w:rsidRDefault="00D618AD">
      <w:pPr>
        <w:rPr>
          <w:rFonts w:eastAsia="ＭＳ 明朝"/>
          <w:bCs/>
          <w:color w:val="000000"/>
          <w:lang w:eastAsia="ja-JP"/>
        </w:rPr>
      </w:pPr>
      <w:r>
        <w:rPr>
          <w:rFonts w:eastAsia="ＭＳ 明朝"/>
          <w:bCs/>
          <w:color w:val="000000"/>
          <w:lang w:eastAsia="ja-JP"/>
        </w:rPr>
        <w:t>A</w:t>
      </w:r>
      <w:r w:rsidR="0094751F">
        <w:rPr>
          <w:rFonts w:eastAsia="ＭＳ 明朝"/>
          <w:bCs/>
          <w:color w:val="000000"/>
          <w:lang w:eastAsia="ja-JP"/>
        </w:rPr>
        <w:t xml:space="preserve">s </w:t>
      </w:r>
      <w:r w:rsidR="004017C0">
        <w:rPr>
          <w:rFonts w:eastAsia="ＭＳ 明朝"/>
          <w:bCs/>
          <w:color w:val="000000"/>
          <w:lang w:eastAsia="ja-JP"/>
        </w:rPr>
        <w:t xml:space="preserve">is </w:t>
      </w:r>
      <w:r w:rsidR="0094751F">
        <w:rPr>
          <w:rFonts w:eastAsia="ＭＳ 明朝"/>
          <w:bCs/>
          <w:color w:val="000000"/>
          <w:lang w:eastAsia="ja-JP"/>
        </w:rPr>
        <w:t xml:space="preserve">well known, increasing SCS proportionally decreases CP duration, which may increase ISI (Inter-Symbol Interference) caused by multi path </w:t>
      </w:r>
      <w:r w:rsidR="004D4A57">
        <w:rPr>
          <w:rFonts w:eastAsia="ＭＳ 明朝"/>
          <w:bCs/>
          <w:color w:val="000000"/>
          <w:lang w:eastAsia="ja-JP"/>
        </w:rPr>
        <w:t>propagation</w:t>
      </w:r>
      <w:r w:rsidR="0094751F">
        <w:rPr>
          <w:rFonts w:eastAsia="ＭＳ 明朝"/>
          <w:bCs/>
          <w:color w:val="000000"/>
          <w:lang w:eastAsia="ja-JP"/>
        </w:rPr>
        <w:t xml:space="preserve">. For example, assuming normal CP (288 CP length in the case of 4096 FFT size), </w:t>
      </w:r>
      <w:r w:rsidR="004017C0">
        <w:rPr>
          <w:rFonts w:eastAsia="ＭＳ 明朝"/>
          <w:bCs/>
          <w:color w:val="000000"/>
          <w:lang w:eastAsia="ja-JP"/>
        </w:rPr>
        <w:t xml:space="preserve">the </w:t>
      </w:r>
      <w:r w:rsidR="0094751F">
        <w:rPr>
          <w:rFonts w:eastAsia="ＭＳ 明朝"/>
          <w:bCs/>
          <w:color w:val="000000"/>
          <w:lang w:eastAsia="ja-JP"/>
        </w:rPr>
        <w:t xml:space="preserve">CP duration is about 162 </w:t>
      </w:r>
      <w:proofErr w:type="spellStart"/>
      <w:r w:rsidR="0094751F">
        <w:rPr>
          <w:rFonts w:eastAsia="ＭＳ 明朝"/>
          <w:bCs/>
          <w:color w:val="000000"/>
          <w:lang w:eastAsia="ja-JP"/>
        </w:rPr>
        <w:t>nsec</w:t>
      </w:r>
      <w:proofErr w:type="spellEnd"/>
      <w:r w:rsidR="0094751F">
        <w:rPr>
          <w:rFonts w:eastAsia="ＭＳ 明朝"/>
          <w:bCs/>
          <w:color w:val="000000"/>
          <w:lang w:eastAsia="ja-JP"/>
        </w:rPr>
        <w:t xml:space="preserve"> for 480 kHz SCS and 81 </w:t>
      </w:r>
      <w:proofErr w:type="spellStart"/>
      <w:r w:rsidR="0094751F">
        <w:rPr>
          <w:rFonts w:eastAsia="ＭＳ 明朝"/>
          <w:bCs/>
          <w:color w:val="000000"/>
          <w:lang w:eastAsia="ja-JP"/>
        </w:rPr>
        <w:t>nsec</w:t>
      </w:r>
      <w:proofErr w:type="spellEnd"/>
      <w:r w:rsidR="0094751F">
        <w:rPr>
          <w:rFonts w:eastAsia="ＭＳ 明朝"/>
          <w:bCs/>
          <w:color w:val="000000"/>
          <w:lang w:eastAsia="ja-JP"/>
        </w:rPr>
        <w:t xml:space="preserve"> for 960 kHz SCS, respectively. According to Table 7.7.3-2 of TR 38.901 [3], the delay spread of </w:t>
      </w:r>
      <w:r w:rsidR="003F0920">
        <w:rPr>
          <w:rFonts w:eastAsia="ＭＳ 明朝"/>
          <w:bCs/>
          <w:color w:val="000000"/>
          <w:lang w:eastAsia="ja-JP"/>
        </w:rPr>
        <w:t xml:space="preserve">the </w:t>
      </w:r>
      <w:r w:rsidR="0094751F">
        <w:rPr>
          <w:rFonts w:eastAsia="ＭＳ 明朝"/>
          <w:bCs/>
          <w:color w:val="000000"/>
          <w:lang w:eastAsia="ja-JP"/>
        </w:rPr>
        <w:t xml:space="preserve">long-delay profile </w:t>
      </w:r>
      <w:r w:rsidR="003F0920">
        <w:rPr>
          <w:rFonts w:eastAsia="ＭＳ 明朝"/>
          <w:bCs/>
          <w:color w:val="000000"/>
          <w:lang w:eastAsia="ja-JP"/>
        </w:rPr>
        <w:t xml:space="preserve">in an </w:t>
      </w:r>
      <w:r w:rsidR="0094751F">
        <w:rPr>
          <w:rFonts w:eastAsia="ＭＳ 明朝"/>
          <w:bCs/>
          <w:color w:val="000000"/>
          <w:lang w:eastAsia="ja-JP"/>
        </w:rPr>
        <w:t xml:space="preserve">indoor office is 38 </w:t>
      </w:r>
      <w:proofErr w:type="spellStart"/>
      <w:r w:rsidR="0094751F">
        <w:rPr>
          <w:rFonts w:eastAsia="ＭＳ 明朝"/>
          <w:bCs/>
          <w:color w:val="000000"/>
          <w:lang w:eastAsia="ja-JP"/>
        </w:rPr>
        <w:t>nsec</w:t>
      </w:r>
      <w:proofErr w:type="spellEnd"/>
      <w:r w:rsidR="0094751F">
        <w:rPr>
          <w:rFonts w:eastAsia="ＭＳ 明朝"/>
          <w:bCs/>
          <w:color w:val="000000"/>
          <w:lang w:eastAsia="ja-JP"/>
        </w:rPr>
        <w:t xml:space="preserve"> for </w:t>
      </w:r>
      <w:r w:rsidR="003F0920">
        <w:rPr>
          <w:rFonts w:eastAsia="ＭＳ 明朝"/>
          <w:bCs/>
          <w:color w:val="000000"/>
          <w:lang w:eastAsia="ja-JP"/>
        </w:rPr>
        <w:t xml:space="preserve">a </w:t>
      </w:r>
      <w:r w:rsidR="0094751F">
        <w:rPr>
          <w:rFonts w:eastAsia="ＭＳ 明朝"/>
          <w:bCs/>
          <w:color w:val="000000"/>
          <w:lang w:eastAsia="ja-JP"/>
        </w:rPr>
        <w:t xml:space="preserve">60 GHz frequency and 37 </w:t>
      </w:r>
      <w:proofErr w:type="spellStart"/>
      <w:r w:rsidR="0094751F">
        <w:rPr>
          <w:rFonts w:eastAsia="ＭＳ 明朝"/>
          <w:bCs/>
          <w:color w:val="000000"/>
          <w:lang w:eastAsia="ja-JP"/>
        </w:rPr>
        <w:t>nsec</w:t>
      </w:r>
      <w:proofErr w:type="spellEnd"/>
      <w:r w:rsidR="0094751F">
        <w:rPr>
          <w:rFonts w:eastAsia="ＭＳ 明朝"/>
          <w:bCs/>
          <w:color w:val="000000"/>
          <w:lang w:eastAsia="ja-JP"/>
        </w:rPr>
        <w:t xml:space="preserve"> for </w:t>
      </w:r>
      <w:r w:rsidR="003F0920">
        <w:rPr>
          <w:rFonts w:eastAsia="ＭＳ 明朝"/>
          <w:bCs/>
          <w:color w:val="000000"/>
          <w:lang w:eastAsia="ja-JP"/>
        </w:rPr>
        <w:t xml:space="preserve">a </w:t>
      </w:r>
      <w:r w:rsidR="0094751F">
        <w:rPr>
          <w:rFonts w:eastAsia="ＭＳ 明朝"/>
          <w:bCs/>
          <w:color w:val="000000"/>
          <w:lang w:eastAsia="ja-JP"/>
        </w:rPr>
        <w:t>70 GHz frequency, respectively. These CP durations are not much larger than the delay spread. If wider SCS is supported, the necessity of extended CP may have to be additionally studied.</w:t>
      </w:r>
    </w:p>
    <w:p w14:paraId="3F8B4D08" w14:textId="79A4821D" w:rsidR="00C81B5A" w:rsidRDefault="0094751F">
      <w:r>
        <w:rPr>
          <w:rFonts w:eastAsia="ＭＳ 明朝"/>
          <w:b/>
          <w:bCs/>
          <w:color w:val="000000"/>
          <w:lang w:eastAsia="ja-JP"/>
        </w:rPr>
        <w:t xml:space="preserve">Observation </w:t>
      </w:r>
      <w:r w:rsidR="004B263D">
        <w:rPr>
          <w:rFonts w:eastAsia="ＭＳ 明朝"/>
          <w:b/>
          <w:bCs/>
          <w:color w:val="000000"/>
          <w:lang w:eastAsia="ja-JP"/>
        </w:rPr>
        <w:t>3</w:t>
      </w:r>
      <w:r>
        <w:rPr>
          <w:rFonts w:eastAsia="ＭＳ 明朝"/>
          <w:b/>
          <w:bCs/>
          <w:color w:val="000000"/>
          <w:lang w:eastAsia="ja-JP"/>
        </w:rPr>
        <w:t xml:space="preserve">: Wider SCS has robustness to frequency offset and phase </w:t>
      </w:r>
      <w:proofErr w:type="gramStart"/>
      <w:r>
        <w:rPr>
          <w:rFonts w:eastAsia="ＭＳ 明朝"/>
          <w:b/>
          <w:bCs/>
          <w:color w:val="000000"/>
          <w:lang w:eastAsia="ja-JP"/>
        </w:rPr>
        <w:t xml:space="preserve">noise, </w:t>
      </w:r>
      <w:r w:rsidR="0037276F">
        <w:rPr>
          <w:rFonts w:eastAsia="ＭＳ 明朝"/>
          <w:b/>
          <w:bCs/>
          <w:color w:val="000000"/>
          <w:lang w:eastAsia="ja-JP"/>
        </w:rPr>
        <w:t>but</w:t>
      </w:r>
      <w:proofErr w:type="gramEnd"/>
      <w:r w:rsidR="0037276F">
        <w:rPr>
          <w:rFonts w:eastAsia="ＭＳ 明朝"/>
          <w:b/>
          <w:bCs/>
          <w:color w:val="000000"/>
          <w:lang w:eastAsia="ja-JP"/>
        </w:rPr>
        <w:t xml:space="preserve"> </w:t>
      </w:r>
      <w:r>
        <w:rPr>
          <w:rFonts w:eastAsia="ＭＳ 明朝"/>
          <w:b/>
          <w:bCs/>
          <w:color w:val="000000"/>
          <w:lang w:eastAsia="ja-JP"/>
        </w:rPr>
        <w:t xml:space="preserve">impacts on CP </w:t>
      </w:r>
      <w:r w:rsidR="0037276F">
        <w:rPr>
          <w:rFonts w:eastAsia="ＭＳ 明朝"/>
          <w:b/>
          <w:bCs/>
          <w:color w:val="000000"/>
          <w:lang w:eastAsia="ja-JP"/>
        </w:rPr>
        <w:t>duration</w:t>
      </w:r>
      <w:r>
        <w:rPr>
          <w:rFonts w:eastAsia="ＭＳ 明朝"/>
          <w:b/>
          <w:bCs/>
          <w:color w:val="000000"/>
          <w:lang w:eastAsia="ja-JP"/>
        </w:rPr>
        <w:t xml:space="preserve">. </w:t>
      </w:r>
    </w:p>
    <w:p w14:paraId="31A68031" w14:textId="03D65B76" w:rsidR="00C81B5A" w:rsidRDefault="0094751F">
      <w:pPr>
        <w:rPr>
          <w:rFonts w:eastAsia="ＭＳ 明朝"/>
          <w:bCs/>
          <w:color w:val="000000"/>
          <w:lang w:eastAsia="ja-JP"/>
        </w:rPr>
      </w:pPr>
      <w:r>
        <w:rPr>
          <w:rFonts w:eastAsia="ＭＳ 明朝"/>
          <w:bCs/>
          <w:color w:val="000000"/>
          <w:lang w:eastAsia="ja-JP"/>
        </w:rPr>
        <w:t xml:space="preserve">As a result, from the system perspective, RAN1 should </w:t>
      </w:r>
      <w:r w:rsidR="00947D05">
        <w:rPr>
          <w:rFonts w:eastAsia="ＭＳ 明朝"/>
          <w:bCs/>
          <w:color w:val="000000"/>
          <w:lang w:eastAsia="ja-JP"/>
        </w:rPr>
        <w:t xml:space="preserve">support up to </w:t>
      </w:r>
      <w:r w:rsidR="004B263D">
        <w:rPr>
          <w:rFonts w:eastAsia="ＭＳ 明朝"/>
          <w:bCs/>
          <w:color w:val="000000"/>
          <w:lang w:eastAsia="ja-JP"/>
        </w:rPr>
        <w:t>960 kHz SCS, in order to support 2.16 GHz bandwidth</w:t>
      </w:r>
      <w:r w:rsidR="00416969">
        <w:rPr>
          <w:rFonts w:eastAsia="ＭＳ 明朝"/>
          <w:bCs/>
          <w:color w:val="000000"/>
          <w:lang w:eastAsia="ja-JP"/>
        </w:rPr>
        <w:t xml:space="preserve"> by single carrier</w:t>
      </w:r>
      <w:r>
        <w:rPr>
          <w:rFonts w:eastAsia="ＭＳ 明朝"/>
          <w:bCs/>
          <w:color w:val="000000"/>
          <w:lang w:eastAsia="ja-JP"/>
        </w:rPr>
        <w:t>.</w:t>
      </w:r>
    </w:p>
    <w:p w14:paraId="1A5809A5" w14:textId="5E255FB4" w:rsidR="00947D05" w:rsidRPr="00C02B4F" w:rsidRDefault="0094751F" w:rsidP="004C7D2B">
      <w:pPr>
        <w:rPr>
          <w:rFonts w:eastAsia="ＭＳ 明朝"/>
          <w:b/>
          <w:bCs/>
          <w:color w:val="000000"/>
          <w:lang w:eastAsia="ja-JP"/>
        </w:rPr>
      </w:pPr>
      <w:r w:rsidRPr="00C02B4F">
        <w:rPr>
          <w:rFonts w:eastAsia="ＭＳ 明朝"/>
          <w:b/>
          <w:bCs/>
          <w:color w:val="000000"/>
          <w:lang w:eastAsia="ja-JP"/>
        </w:rPr>
        <w:t xml:space="preserve">Proposal </w:t>
      </w:r>
      <w:r w:rsidR="00392616" w:rsidRPr="00C02B4F">
        <w:rPr>
          <w:rFonts w:eastAsia="ＭＳ 明朝"/>
          <w:b/>
          <w:bCs/>
          <w:color w:val="000000"/>
          <w:lang w:eastAsia="ja-JP"/>
        </w:rPr>
        <w:t>2</w:t>
      </w:r>
      <w:r w:rsidRPr="00C02B4F">
        <w:rPr>
          <w:rFonts w:eastAsia="ＭＳ 明朝"/>
          <w:b/>
          <w:bCs/>
          <w:color w:val="000000"/>
          <w:lang w:eastAsia="ja-JP"/>
        </w:rPr>
        <w:t xml:space="preserve">: </w:t>
      </w:r>
      <w:r w:rsidR="00AC4B45" w:rsidRPr="00C02B4F">
        <w:rPr>
          <w:rFonts w:eastAsia="ＭＳ 明朝"/>
          <w:b/>
          <w:bCs/>
          <w:color w:val="000000"/>
          <w:lang w:eastAsia="ja-JP"/>
        </w:rPr>
        <w:t>S</w:t>
      </w:r>
      <w:r w:rsidRPr="00C02B4F">
        <w:rPr>
          <w:rFonts w:eastAsia="ＭＳ 明朝"/>
          <w:b/>
          <w:bCs/>
          <w:color w:val="000000"/>
          <w:lang w:eastAsia="ja-JP"/>
        </w:rPr>
        <w:t>upport up to 960 kHz SCS</w:t>
      </w:r>
      <w:r w:rsidR="004B263D" w:rsidRPr="00C02B4F">
        <w:rPr>
          <w:rFonts w:eastAsia="ＭＳ 明朝"/>
          <w:b/>
          <w:bCs/>
          <w:color w:val="000000"/>
          <w:lang w:eastAsia="ja-JP"/>
        </w:rPr>
        <w:t xml:space="preserve">, </w:t>
      </w:r>
      <w:r w:rsidRPr="00C02B4F">
        <w:rPr>
          <w:rFonts w:eastAsia="ＭＳ 明朝"/>
          <w:b/>
          <w:bCs/>
          <w:color w:val="000000"/>
          <w:lang w:eastAsia="ja-JP"/>
        </w:rPr>
        <w:t>in order to support 2.16 GHz bandwidth</w:t>
      </w:r>
      <w:r w:rsidR="00416969" w:rsidRPr="00C02B4F">
        <w:rPr>
          <w:rFonts w:eastAsia="ＭＳ 明朝"/>
          <w:b/>
          <w:bCs/>
          <w:color w:val="000000"/>
          <w:lang w:eastAsia="ja-JP"/>
        </w:rPr>
        <w:t xml:space="preserve"> by single carrier</w:t>
      </w:r>
      <w:r w:rsidRPr="00C02B4F">
        <w:rPr>
          <w:rFonts w:eastAsia="ＭＳ 明朝"/>
          <w:b/>
          <w:bCs/>
          <w:color w:val="000000"/>
          <w:lang w:eastAsia="ja-JP"/>
        </w:rPr>
        <w:t>.</w:t>
      </w:r>
    </w:p>
    <w:p w14:paraId="12581079" w14:textId="577CB863" w:rsidR="001D0AA0" w:rsidRDefault="001D0AA0" w:rsidP="001D0AA0">
      <w:pPr>
        <w:rPr>
          <w:rFonts w:eastAsia="游明朝"/>
          <w:lang w:eastAsia="ja-JP"/>
        </w:rPr>
      </w:pPr>
    </w:p>
    <w:p w14:paraId="0796472B" w14:textId="21594341" w:rsidR="001D0AA0" w:rsidRDefault="004A4C2F" w:rsidP="001D0AA0">
      <w:pPr>
        <w:pStyle w:val="2"/>
        <w:rPr>
          <w:lang w:eastAsia="zh-CN"/>
        </w:rPr>
      </w:pPr>
      <w:r>
        <w:rPr>
          <w:lang w:eastAsia="zh-CN"/>
        </w:rPr>
        <w:t xml:space="preserve">PDCCH monitoring and </w:t>
      </w:r>
      <w:r w:rsidR="004775EA">
        <w:rPr>
          <w:lang w:eastAsia="zh-CN"/>
        </w:rPr>
        <w:t>PDSCH</w:t>
      </w:r>
      <w:r w:rsidR="00DF247B">
        <w:rPr>
          <w:lang w:eastAsia="zh-CN"/>
        </w:rPr>
        <w:t>/PUSCH</w:t>
      </w:r>
      <w:r w:rsidR="004775EA">
        <w:rPr>
          <w:lang w:eastAsia="zh-CN"/>
        </w:rPr>
        <w:t xml:space="preserve"> scheduling</w:t>
      </w:r>
    </w:p>
    <w:p w14:paraId="021CB08A" w14:textId="4138A495" w:rsidR="001D0AA0" w:rsidRPr="004E70A5" w:rsidRDefault="001D0AA0" w:rsidP="001D0AA0">
      <w:pPr>
        <w:autoSpaceDE/>
        <w:snapToGrid/>
        <w:rPr>
          <w:rFonts w:eastAsia="ＭＳ 明朝"/>
          <w:lang w:eastAsia="ja-JP"/>
        </w:rPr>
      </w:pPr>
      <w:r>
        <w:rPr>
          <w:rFonts w:eastAsia="ＭＳ 明朝"/>
          <w:lang w:eastAsia="ja-JP"/>
        </w:rPr>
        <w:t>In RAN1 #102e, the following agreement</w:t>
      </w:r>
      <w:r w:rsidR="004A4C2F">
        <w:rPr>
          <w:rFonts w:eastAsia="ＭＳ 明朝"/>
          <w:lang w:eastAsia="ja-JP"/>
        </w:rPr>
        <w:t>s</w:t>
      </w:r>
      <w:r>
        <w:rPr>
          <w:rFonts w:eastAsia="ＭＳ 明朝"/>
          <w:lang w:eastAsia="ja-JP"/>
        </w:rPr>
        <w:t xml:space="preserve"> on </w:t>
      </w:r>
      <w:r w:rsidR="004A4C2F">
        <w:rPr>
          <w:rFonts w:eastAsia="ＭＳ 明朝"/>
          <w:lang w:eastAsia="ja-JP"/>
        </w:rPr>
        <w:t xml:space="preserve">PDCCH monitoring and PDSCH/PUSCH </w:t>
      </w:r>
      <w:r w:rsidR="002240F7">
        <w:rPr>
          <w:rFonts w:eastAsia="ＭＳ 明朝"/>
          <w:lang w:eastAsia="ja-JP"/>
        </w:rPr>
        <w:t>scheduling</w:t>
      </w:r>
      <w:r>
        <w:rPr>
          <w:rFonts w:eastAsia="ＭＳ 明朝"/>
          <w:lang w:eastAsia="ja-JP"/>
        </w:rPr>
        <w:t xml:space="preserve"> </w:t>
      </w:r>
      <w:r w:rsidR="004A4C2F">
        <w:rPr>
          <w:rFonts w:eastAsia="ＭＳ 明朝"/>
          <w:lang w:eastAsia="ja-JP"/>
        </w:rPr>
        <w:t xml:space="preserve">were </w:t>
      </w:r>
      <w:r>
        <w:rPr>
          <w:rFonts w:eastAsia="ＭＳ 明朝"/>
          <w:lang w:eastAsia="ja-JP"/>
        </w:rPr>
        <w:t>achieved</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0AA0" w:rsidRPr="004E70A5" w14:paraId="00EB54FC" w14:textId="77777777" w:rsidTr="002316C8">
        <w:trPr>
          <w:trHeight w:val="689"/>
        </w:trPr>
        <w:tc>
          <w:tcPr>
            <w:tcW w:w="9259" w:type="dxa"/>
          </w:tcPr>
          <w:p w14:paraId="29ABF505" w14:textId="77777777" w:rsidR="004A4C2F" w:rsidRPr="004A4C2F" w:rsidRDefault="004A4C2F" w:rsidP="004A4C2F">
            <w:pPr>
              <w:suppressAutoHyphens w:val="0"/>
              <w:autoSpaceDE/>
              <w:autoSpaceDN/>
              <w:snapToGrid/>
              <w:spacing w:after="0"/>
              <w:jc w:val="left"/>
              <w:textAlignment w:val="auto"/>
              <w:rPr>
                <w:rFonts w:ascii="Calibri" w:hAnsi="Calibri" w:cs="Calibri"/>
                <w:lang w:eastAsia="x-none"/>
              </w:rPr>
            </w:pPr>
            <w:r w:rsidRPr="004A4C2F">
              <w:rPr>
                <w:rFonts w:ascii="Calibri" w:hAnsi="Calibri" w:cs="Calibri"/>
                <w:highlight w:val="green"/>
                <w:lang w:eastAsia="x-none"/>
              </w:rPr>
              <w:t>Agreement:</w:t>
            </w:r>
          </w:p>
          <w:p w14:paraId="44E39436" w14:textId="77777777" w:rsidR="004A4C2F" w:rsidRPr="004A4C2F" w:rsidRDefault="004A4C2F" w:rsidP="004A4C2F">
            <w:pPr>
              <w:suppressAutoHyphens w:val="0"/>
              <w:autoSpaceDE/>
              <w:autoSpaceDN/>
              <w:snapToGrid/>
              <w:spacing w:after="0"/>
              <w:jc w:val="left"/>
              <w:textAlignment w:val="auto"/>
              <w:rPr>
                <w:rFonts w:ascii="Calibri" w:hAnsi="Calibri" w:cs="Calibri"/>
                <w:lang w:eastAsia="x-none"/>
              </w:rPr>
            </w:pPr>
            <w:r w:rsidRPr="004A4C2F">
              <w:rPr>
                <w:rFonts w:ascii="Calibri" w:hAnsi="Calibri" w:cs="Calibri"/>
                <w:lang w:eastAsia="x-none"/>
              </w:rPr>
              <w:t>Consider at least the following aspects of PDCCH monitoring for a given SCS</w:t>
            </w:r>
          </w:p>
          <w:p w14:paraId="69B9BBD3" w14:textId="77777777" w:rsidR="004A4C2F" w:rsidRPr="004A4C2F" w:rsidRDefault="004A4C2F" w:rsidP="004A4C2F">
            <w:pPr>
              <w:numPr>
                <w:ilvl w:val="0"/>
                <w:numId w:val="11"/>
              </w:numPr>
              <w:suppressAutoHyphens w:val="0"/>
              <w:autoSpaceDE/>
              <w:autoSpaceDN/>
              <w:snapToGrid/>
              <w:spacing w:after="0"/>
              <w:jc w:val="left"/>
              <w:textAlignment w:val="auto"/>
              <w:rPr>
                <w:rFonts w:ascii="Calibri" w:hAnsi="Calibri" w:cs="Calibri"/>
                <w:lang w:eastAsia="x-none"/>
              </w:rPr>
            </w:pPr>
            <w:r w:rsidRPr="004A4C2F">
              <w:rPr>
                <w:rFonts w:ascii="Calibri" w:hAnsi="Calibri" w:cs="Calibri"/>
                <w:lang w:eastAsia="x-none"/>
              </w:rPr>
              <w:t>For new SCS, if agreed, that are not supported in Rel-15/16 NR,</w:t>
            </w:r>
          </w:p>
          <w:p w14:paraId="15677030" w14:textId="77777777" w:rsidR="004A4C2F" w:rsidRPr="004A4C2F" w:rsidRDefault="004A4C2F" w:rsidP="004A4C2F">
            <w:pPr>
              <w:numPr>
                <w:ilvl w:val="1"/>
                <w:numId w:val="11"/>
              </w:numPr>
              <w:suppressAutoHyphens w:val="0"/>
              <w:autoSpaceDE/>
              <w:autoSpaceDN/>
              <w:snapToGrid/>
              <w:spacing w:after="0"/>
              <w:jc w:val="left"/>
              <w:textAlignment w:val="auto"/>
              <w:rPr>
                <w:rFonts w:ascii="Calibri" w:hAnsi="Calibri" w:cs="Calibri"/>
                <w:lang w:eastAsia="x-none"/>
              </w:rPr>
            </w:pPr>
            <w:r w:rsidRPr="004A4C2F">
              <w:rPr>
                <w:rFonts w:ascii="Calibri" w:hAnsi="Calibri" w:cs="Calibri"/>
                <w:lang w:eastAsia="x-none"/>
              </w:rPr>
              <w:lastRenderedPageBreak/>
              <w:t>investigate on the maximum number of BDs/CCEs for PDCCH monitoring per time unit</w:t>
            </w:r>
          </w:p>
          <w:p w14:paraId="3C478F72" w14:textId="77777777" w:rsidR="004A4C2F" w:rsidRPr="004A4C2F" w:rsidRDefault="004A4C2F" w:rsidP="004A4C2F">
            <w:pPr>
              <w:numPr>
                <w:ilvl w:val="2"/>
                <w:numId w:val="11"/>
              </w:numPr>
              <w:suppressAutoHyphens w:val="0"/>
              <w:autoSpaceDE/>
              <w:autoSpaceDN/>
              <w:snapToGrid/>
              <w:spacing w:after="0"/>
              <w:jc w:val="left"/>
              <w:textAlignment w:val="auto"/>
              <w:rPr>
                <w:rFonts w:ascii="Calibri" w:hAnsi="Calibri" w:cs="Calibri"/>
                <w:lang w:eastAsia="x-none"/>
              </w:rPr>
            </w:pPr>
            <w:r w:rsidRPr="004A4C2F">
              <w:rPr>
                <w:rFonts w:ascii="Calibri" w:hAnsi="Calibri" w:cs="Calibri"/>
                <w:lang w:eastAsia="x-none"/>
              </w:rPr>
              <w:t>e.g. slot as Rel-15, or new scheduling/monitoring unit</w:t>
            </w:r>
          </w:p>
          <w:p w14:paraId="2056D01F" w14:textId="77777777" w:rsidR="004A4C2F" w:rsidRPr="004A4C2F" w:rsidRDefault="004A4C2F" w:rsidP="004A4C2F">
            <w:pPr>
              <w:numPr>
                <w:ilvl w:val="1"/>
                <w:numId w:val="11"/>
              </w:numPr>
              <w:suppressAutoHyphens w:val="0"/>
              <w:autoSpaceDE/>
              <w:autoSpaceDN/>
              <w:snapToGrid/>
              <w:spacing w:after="0"/>
              <w:jc w:val="left"/>
              <w:textAlignment w:val="auto"/>
              <w:rPr>
                <w:rFonts w:ascii="Calibri" w:hAnsi="Calibri" w:cs="Calibri"/>
                <w:lang w:eastAsia="x-none"/>
              </w:rPr>
            </w:pPr>
            <w:r w:rsidRPr="004A4C2F">
              <w:rPr>
                <w:rFonts w:ascii="Calibri" w:hAnsi="Calibri" w:cs="Calibri"/>
                <w:lang w:eastAsia="x-none"/>
              </w:rPr>
              <w:t xml:space="preserve">any potential limitation to PDCCH monitoring configurations (e.g. search spaces, DCI formats, overbooking/dropping, </w:t>
            </w:r>
            <w:proofErr w:type="spellStart"/>
            <w:r w:rsidRPr="004A4C2F">
              <w:rPr>
                <w:rFonts w:ascii="Calibri" w:hAnsi="Calibri" w:cs="Calibri"/>
                <w:lang w:eastAsia="x-none"/>
              </w:rPr>
              <w:t>etc</w:t>
            </w:r>
            <w:proofErr w:type="spellEnd"/>
            <w:r w:rsidRPr="004A4C2F">
              <w:rPr>
                <w:rFonts w:ascii="Calibri" w:hAnsi="Calibri" w:cs="Calibri"/>
                <w:lang w:eastAsia="x-none"/>
              </w:rPr>
              <w:t>) to help with UE processing, if needed</w:t>
            </w:r>
          </w:p>
          <w:p w14:paraId="3D7B0895" w14:textId="77777777" w:rsidR="004A4C2F" w:rsidRPr="004A4C2F" w:rsidRDefault="004A4C2F" w:rsidP="004A4C2F">
            <w:pPr>
              <w:numPr>
                <w:ilvl w:val="2"/>
                <w:numId w:val="12"/>
              </w:numPr>
              <w:suppressAutoHyphens w:val="0"/>
              <w:autoSpaceDE/>
              <w:autoSpaceDN/>
              <w:snapToGrid/>
              <w:spacing w:after="0"/>
              <w:jc w:val="left"/>
              <w:textAlignment w:val="auto"/>
              <w:rPr>
                <w:rFonts w:ascii="Calibri" w:hAnsi="Calibri" w:cs="Calibri"/>
                <w:lang w:eastAsia="x-none"/>
              </w:rPr>
            </w:pPr>
            <w:r w:rsidRPr="004A4C2F">
              <w:rPr>
                <w:rFonts w:ascii="Calibri" w:hAnsi="Calibri" w:cs="Calibri"/>
                <w:lang w:eastAsia="x-none"/>
              </w:rPr>
              <w:t>e.g. increased minimum PDCCH monitoring unit</w:t>
            </w:r>
          </w:p>
          <w:p w14:paraId="3405155F" w14:textId="77777777" w:rsidR="004A4C2F" w:rsidRPr="004A4C2F" w:rsidRDefault="004A4C2F" w:rsidP="004A4C2F">
            <w:pPr>
              <w:numPr>
                <w:ilvl w:val="1"/>
                <w:numId w:val="11"/>
              </w:numPr>
              <w:suppressAutoHyphens w:val="0"/>
              <w:autoSpaceDE/>
              <w:autoSpaceDN/>
              <w:snapToGrid/>
              <w:spacing w:after="0"/>
              <w:jc w:val="left"/>
              <w:textAlignment w:val="auto"/>
              <w:rPr>
                <w:rFonts w:ascii="Calibri" w:hAnsi="Calibri" w:cs="Calibri"/>
                <w:lang w:eastAsia="x-none"/>
              </w:rPr>
            </w:pPr>
            <w:r w:rsidRPr="004A4C2F">
              <w:rPr>
                <w:rFonts w:ascii="Calibri" w:hAnsi="Calibri" w:cs="Calibri"/>
                <w:lang w:eastAsia="x-none"/>
              </w:rPr>
              <w:t>potential enhancements for CORESET, if needed</w:t>
            </w:r>
          </w:p>
          <w:p w14:paraId="42119DCD" w14:textId="77777777" w:rsidR="004A4C2F" w:rsidRPr="004A4C2F" w:rsidRDefault="004A4C2F" w:rsidP="004A4C2F">
            <w:pPr>
              <w:numPr>
                <w:ilvl w:val="1"/>
                <w:numId w:val="11"/>
              </w:numPr>
              <w:suppressAutoHyphens w:val="0"/>
              <w:autoSpaceDE/>
              <w:autoSpaceDN/>
              <w:snapToGrid/>
              <w:spacing w:after="0"/>
              <w:jc w:val="left"/>
              <w:textAlignment w:val="auto"/>
              <w:rPr>
                <w:rFonts w:ascii="Calibri" w:hAnsi="Calibri" w:cs="Calibri"/>
                <w:lang w:eastAsia="x-none"/>
              </w:rPr>
            </w:pPr>
            <w:r w:rsidRPr="004A4C2F">
              <w:rPr>
                <w:rFonts w:ascii="Calibri" w:hAnsi="Calibri" w:cs="Calibri"/>
                <w:lang w:eastAsia="x-none"/>
              </w:rPr>
              <w:t>related UE capability(</w:t>
            </w:r>
            <w:proofErr w:type="spellStart"/>
            <w:r w:rsidRPr="004A4C2F">
              <w:rPr>
                <w:rFonts w:ascii="Calibri" w:hAnsi="Calibri" w:cs="Calibri"/>
                <w:lang w:eastAsia="x-none"/>
              </w:rPr>
              <w:t>ies</w:t>
            </w:r>
            <w:proofErr w:type="spellEnd"/>
            <w:r w:rsidRPr="004A4C2F">
              <w:rPr>
                <w:rFonts w:ascii="Calibri" w:hAnsi="Calibri" w:cs="Calibri"/>
                <w:lang w:eastAsia="x-none"/>
              </w:rPr>
              <w:t>) for PDCCH processing</w:t>
            </w:r>
          </w:p>
          <w:p w14:paraId="55E0996A" w14:textId="7875E695" w:rsidR="004775EA" w:rsidRPr="004775EA" w:rsidRDefault="004775EA" w:rsidP="004775EA">
            <w:pPr>
              <w:suppressAutoHyphens w:val="0"/>
              <w:autoSpaceDE/>
              <w:autoSpaceDN/>
              <w:snapToGrid/>
              <w:spacing w:after="0"/>
              <w:jc w:val="left"/>
              <w:textAlignment w:val="auto"/>
              <w:rPr>
                <w:rFonts w:ascii="Calibri" w:hAnsi="Calibri" w:cs="Calibri"/>
                <w:lang w:eastAsia="x-none"/>
              </w:rPr>
            </w:pPr>
            <w:r w:rsidRPr="004775EA">
              <w:rPr>
                <w:rFonts w:ascii="Calibri" w:hAnsi="Calibri" w:cs="Calibri"/>
                <w:highlight w:val="green"/>
                <w:lang w:eastAsia="x-none"/>
              </w:rPr>
              <w:t>Agreement:</w:t>
            </w:r>
          </w:p>
          <w:p w14:paraId="246A4C54" w14:textId="77777777" w:rsidR="004775EA" w:rsidRPr="004775EA" w:rsidRDefault="004775EA" w:rsidP="004775EA">
            <w:pPr>
              <w:suppressAutoHyphens w:val="0"/>
              <w:autoSpaceDE/>
              <w:autoSpaceDN/>
              <w:snapToGrid/>
              <w:spacing w:after="0"/>
              <w:jc w:val="left"/>
              <w:textAlignment w:val="auto"/>
              <w:rPr>
                <w:rFonts w:ascii="Calibri" w:hAnsi="Calibri" w:cs="Calibri"/>
                <w:lang w:eastAsia="x-none"/>
              </w:rPr>
            </w:pPr>
            <w:r w:rsidRPr="004775EA">
              <w:rPr>
                <w:rFonts w:ascii="Calibri" w:hAnsi="Calibri" w:cs="Calibri"/>
                <w:lang w:eastAsia="x-none"/>
              </w:rPr>
              <w:t>Consider at least the following aspects of scheduling for BWP with a given SCS</w:t>
            </w:r>
          </w:p>
          <w:p w14:paraId="1CFEFDAC" w14:textId="77777777" w:rsidR="004775EA" w:rsidRPr="004775EA" w:rsidRDefault="004775EA" w:rsidP="004775EA">
            <w:pPr>
              <w:numPr>
                <w:ilvl w:val="0"/>
                <w:numId w:val="11"/>
              </w:numPr>
              <w:suppressAutoHyphens w:val="0"/>
              <w:autoSpaceDE/>
              <w:autoSpaceDN/>
              <w:snapToGrid/>
              <w:spacing w:after="0"/>
              <w:jc w:val="left"/>
              <w:textAlignment w:val="auto"/>
              <w:rPr>
                <w:rFonts w:ascii="Calibri" w:hAnsi="Calibri" w:cs="Calibri"/>
                <w:lang w:eastAsia="x-none"/>
              </w:rPr>
            </w:pPr>
            <w:r w:rsidRPr="004775EA">
              <w:rPr>
                <w:rFonts w:ascii="Calibri" w:hAnsi="Calibri" w:cs="Calibri"/>
                <w:lang w:eastAsia="x-none"/>
              </w:rPr>
              <w:t>Study of frequency domain scheduling enhancements/optimization for PDSCH/PUSCH, if needed</w:t>
            </w:r>
          </w:p>
          <w:p w14:paraId="7D566A13" w14:textId="77777777" w:rsidR="004775EA" w:rsidRPr="004775EA" w:rsidRDefault="004775EA" w:rsidP="004775EA">
            <w:pPr>
              <w:numPr>
                <w:ilvl w:val="1"/>
                <w:numId w:val="11"/>
              </w:numPr>
              <w:suppressAutoHyphens w:val="0"/>
              <w:autoSpaceDE/>
              <w:autoSpaceDN/>
              <w:snapToGrid/>
              <w:spacing w:after="0"/>
              <w:jc w:val="left"/>
              <w:textAlignment w:val="auto"/>
              <w:rPr>
                <w:rFonts w:ascii="Calibri" w:hAnsi="Calibri" w:cs="Calibri"/>
                <w:lang w:eastAsia="x-none"/>
              </w:rPr>
            </w:pPr>
            <w:r w:rsidRPr="004775EA">
              <w:rPr>
                <w:rFonts w:ascii="Calibri" w:hAnsi="Calibri" w:cs="Calibri"/>
                <w:lang w:eastAsia="x-none"/>
              </w:rPr>
              <w:t>e.g. potential impact to UL scheduling if frequency domain resource allocation with different granularity than FR1/2 (e.g. sub-PRB, or more than one PRB) is supported</w:t>
            </w:r>
          </w:p>
          <w:p w14:paraId="77305CC0" w14:textId="77777777" w:rsidR="004775EA" w:rsidRPr="004775EA" w:rsidRDefault="004775EA" w:rsidP="004775EA">
            <w:pPr>
              <w:numPr>
                <w:ilvl w:val="0"/>
                <w:numId w:val="11"/>
              </w:numPr>
              <w:suppressAutoHyphens w:val="0"/>
              <w:autoSpaceDE/>
              <w:autoSpaceDN/>
              <w:snapToGrid/>
              <w:spacing w:after="0"/>
              <w:jc w:val="left"/>
              <w:textAlignment w:val="auto"/>
              <w:rPr>
                <w:rFonts w:ascii="Calibri" w:hAnsi="Calibri" w:cs="Calibri"/>
                <w:lang w:eastAsia="x-none"/>
              </w:rPr>
            </w:pPr>
            <w:r w:rsidRPr="004775EA">
              <w:rPr>
                <w:rFonts w:ascii="Calibri" w:hAnsi="Calibri" w:cs="Calibri"/>
                <w:lang w:eastAsia="x-none"/>
              </w:rPr>
              <w:t>Study of time domain scheduling enhancements for PDSCH/PUSCH, if needed</w:t>
            </w:r>
          </w:p>
          <w:p w14:paraId="156329B7" w14:textId="77777777" w:rsidR="004775EA" w:rsidRPr="004775EA" w:rsidRDefault="004775EA" w:rsidP="004775EA">
            <w:pPr>
              <w:numPr>
                <w:ilvl w:val="1"/>
                <w:numId w:val="11"/>
              </w:numPr>
              <w:suppressAutoHyphens w:val="0"/>
              <w:autoSpaceDE/>
              <w:autoSpaceDN/>
              <w:snapToGrid/>
              <w:spacing w:after="0"/>
              <w:jc w:val="left"/>
              <w:textAlignment w:val="auto"/>
              <w:rPr>
                <w:rFonts w:ascii="Calibri" w:hAnsi="Calibri" w:cs="Calibri"/>
                <w:lang w:eastAsia="x-none"/>
              </w:rPr>
            </w:pPr>
            <w:r w:rsidRPr="004775EA">
              <w:rPr>
                <w:rFonts w:ascii="Calibri" w:hAnsi="Calibri" w:cs="Calibri"/>
                <w:lang w:eastAsia="x-none"/>
              </w:rPr>
              <w:t>e.g. increasing the minimum time-domain scheduling unit to be larger than one symbol, supporting multi-PDSCH scheduled by one DCI, supporting one TB mapped to multiple slots (i.e., TTI bundling)</w:t>
            </w:r>
          </w:p>
          <w:p w14:paraId="0E44CFFA" w14:textId="259DA279" w:rsidR="001D0AA0" w:rsidRPr="00501EBC" w:rsidRDefault="004775EA" w:rsidP="00501EBC">
            <w:pPr>
              <w:numPr>
                <w:ilvl w:val="0"/>
                <w:numId w:val="11"/>
              </w:numPr>
              <w:suppressAutoHyphens w:val="0"/>
              <w:autoSpaceDE/>
              <w:autoSpaceDN/>
              <w:snapToGrid/>
              <w:spacing w:after="0"/>
              <w:jc w:val="left"/>
              <w:textAlignment w:val="auto"/>
              <w:rPr>
                <w:rFonts w:ascii="Calibri" w:hAnsi="Calibri" w:cs="Calibri"/>
                <w:lang w:eastAsia="x-none"/>
              </w:rPr>
            </w:pPr>
            <w:r w:rsidRPr="004775EA">
              <w:rPr>
                <w:rFonts w:ascii="Calibri" w:hAnsi="Calibri" w:cs="Calibri"/>
                <w:lang w:eastAsia="x-none"/>
              </w:rPr>
              <w:t>Study potential enhancements or alternatives to the scheduling request mechanism to reduce scheduling latency due to beam sweeping, if needed</w:t>
            </w:r>
          </w:p>
        </w:tc>
      </w:tr>
    </w:tbl>
    <w:p w14:paraId="2F50DB92" w14:textId="77777777" w:rsidR="00582CE1" w:rsidRDefault="00582CE1" w:rsidP="001D0AA0">
      <w:pPr>
        <w:rPr>
          <w:rFonts w:eastAsia="游明朝"/>
          <w:lang w:eastAsia="ja-JP"/>
        </w:rPr>
      </w:pPr>
    </w:p>
    <w:p w14:paraId="311FB50B" w14:textId="2E6CEDFA" w:rsidR="00C468DD" w:rsidRDefault="008F4163" w:rsidP="001D0AA0">
      <w:pPr>
        <w:rPr>
          <w:rFonts w:eastAsia="游明朝"/>
          <w:lang w:eastAsia="ja-JP"/>
        </w:rPr>
      </w:pPr>
      <w:r>
        <w:rPr>
          <w:rFonts w:eastAsia="游明朝" w:hint="eastAsia"/>
          <w:lang w:eastAsia="ja-JP"/>
        </w:rPr>
        <w:t>F</w:t>
      </w:r>
      <w:r>
        <w:rPr>
          <w:rFonts w:eastAsia="游明朝"/>
          <w:lang w:eastAsia="ja-JP"/>
        </w:rPr>
        <w:t xml:space="preserve">or operation on above 52.6 GHz frequency, higher SCS would normally </w:t>
      </w:r>
      <w:r w:rsidR="001D3C7F">
        <w:rPr>
          <w:rFonts w:eastAsia="游明朝"/>
          <w:lang w:eastAsia="ja-JP"/>
        </w:rPr>
        <w:t xml:space="preserve">be </w:t>
      </w:r>
      <w:r>
        <w:rPr>
          <w:rFonts w:eastAsia="游明朝"/>
          <w:lang w:eastAsia="ja-JP"/>
        </w:rPr>
        <w:t>used. The increase of SCS reduces symbol and slot duration</w:t>
      </w:r>
      <w:r w:rsidR="002305E0">
        <w:rPr>
          <w:rFonts w:eastAsia="游明朝"/>
          <w:lang w:eastAsia="ja-JP"/>
        </w:rPr>
        <w:t xml:space="preserve"> (e.g. slot duration of 960 kHz SCS becomes 12.5 </w:t>
      </w:r>
      <w:proofErr w:type="spellStart"/>
      <w:r w:rsidR="002305E0">
        <w:rPr>
          <w:rFonts w:eastAsia="游明朝"/>
          <w:lang w:eastAsia="ja-JP"/>
        </w:rPr>
        <w:t>usec</w:t>
      </w:r>
      <w:proofErr w:type="spellEnd"/>
      <w:r w:rsidR="002305E0">
        <w:rPr>
          <w:rFonts w:eastAsia="游明朝"/>
          <w:lang w:eastAsia="ja-JP"/>
        </w:rPr>
        <w:t>)</w:t>
      </w:r>
      <w:r>
        <w:rPr>
          <w:rFonts w:eastAsia="游明朝"/>
          <w:lang w:eastAsia="ja-JP"/>
        </w:rPr>
        <w:t xml:space="preserve">, which may </w:t>
      </w:r>
      <w:r w:rsidR="00311C65">
        <w:rPr>
          <w:rFonts w:eastAsia="游明朝"/>
          <w:lang w:eastAsia="ja-JP"/>
        </w:rPr>
        <w:t xml:space="preserve">require </w:t>
      </w:r>
      <w:r>
        <w:rPr>
          <w:rFonts w:eastAsia="游明朝"/>
          <w:lang w:eastAsia="ja-JP"/>
        </w:rPr>
        <w:t xml:space="preserve">frequent </w:t>
      </w:r>
      <w:r w:rsidR="00C468DD">
        <w:rPr>
          <w:rFonts w:eastAsia="游明朝"/>
          <w:lang w:eastAsia="ja-JP"/>
        </w:rPr>
        <w:t>PDCCH monitoring.</w:t>
      </w:r>
      <w:r w:rsidR="002305E0">
        <w:rPr>
          <w:rFonts w:eastAsia="游明朝"/>
          <w:lang w:eastAsia="ja-JP"/>
        </w:rPr>
        <w:t xml:space="preserve"> That means </w:t>
      </w:r>
      <w:r w:rsidR="00311C65">
        <w:rPr>
          <w:rFonts w:eastAsia="游明朝"/>
          <w:lang w:eastAsia="ja-JP"/>
        </w:rPr>
        <w:t xml:space="preserve">the </w:t>
      </w:r>
      <w:r w:rsidR="002305E0">
        <w:rPr>
          <w:rFonts w:eastAsia="游明朝"/>
          <w:lang w:eastAsia="ja-JP"/>
        </w:rPr>
        <w:t>UE</w:t>
      </w:r>
      <w:r w:rsidR="000E4AB8" w:rsidRPr="000E4AB8">
        <w:t xml:space="preserve"> </w:t>
      </w:r>
      <w:r w:rsidR="000E4AB8">
        <w:t>cannot go to sleep between PDCCH monitoring occasions</w:t>
      </w:r>
      <w:r w:rsidR="002305E0">
        <w:rPr>
          <w:rFonts w:eastAsia="游明朝"/>
          <w:lang w:eastAsia="ja-JP"/>
        </w:rPr>
        <w:t>, which is not desirable for the power consumption.</w:t>
      </w:r>
    </w:p>
    <w:p w14:paraId="1A78B613" w14:textId="06C895F5" w:rsidR="004B63F4" w:rsidRPr="00501EBC" w:rsidRDefault="00C468DD" w:rsidP="001D0AA0">
      <w:pPr>
        <w:rPr>
          <w:rFonts w:eastAsia="游明朝"/>
          <w:b/>
          <w:bCs/>
          <w:lang w:eastAsia="ja-JP"/>
        </w:rPr>
      </w:pPr>
      <w:r w:rsidRPr="00501EBC">
        <w:rPr>
          <w:rFonts w:eastAsia="游明朝"/>
          <w:b/>
          <w:bCs/>
          <w:lang w:eastAsia="ja-JP"/>
        </w:rPr>
        <w:t xml:space="preserve">Observation </w:t>
      </w:r>
      <w:r w:rsidR="00D20BE2">
        <w:rPr>
          <w:rFonts w:eastAsia="游明朝"/>
          <w:b/>
          <w:bCs/>
          <w:lang w:eastAsia="ja-JP"/>
        </w:rPr>
        <w:t>4</w:t>
      </w:r>
      <w:r w:rsidRPr="00501EBC">
        <w:rPr>
          <w:rFonts w:eastAsia="游明朝"/>
          <w:b/>
          <w:bCs/>
          <w:lang w:eastAsia="ja-JP"/>
        </w:rPr>
        <w:t>: The increase of SCS causes frequent PDCCH monitoring, which is not desirable for the UE power consumption.</w:t>
      </w:r>
    </w:p>
    <w:p w14:paraId="61436D29" w14:textId="7A0EA3AC" w:rsidR="002305E0" w:rsidRDefault="002305E0" w:rsidP="001D0AA0">
      <w:pPr>
        <w:rPr>
          <w:rFonts w:eastAsia="游明朝"/>
          <w:lang w:eastAsia="ja-JP"/>
        </w:rPr>
      </w:pPr>
      <w:r w:rsidRPr="3B2738C9">
        <w:rPr>
          <w:rFonts w:eastAsia="游明朝"/>
          <w:lang w:eastAsia="ja-JP"/>
        </w:rPr>
        <w:t>To cope with the above issue, 2 solution</w:t>
      </w:r>
      <w:r w:rsidR="00E47426" w:rsidRPr="3B2738C9">
        <w:rPr>
          <w:rFonts w:eastAsia="游明朝"/>
          <w:lang w:eastAsia="ja-JP"/>
        </w:rPr>
        <w:t>s</w:t>
      </w:r>
      <w:r w:rsidRPr="3B2738C9">
        <w:rPr>
          <w:rFonts w:eastAsia="游明朝"/>
          <w:lang w:eastAsia="ja-JP"/>
        </w:rPr>
        <w:t xml:space="preserve"> can be considered; (1) </w:t>
      </w:r>
      <w:r w:rsidR="00CE08BC" w:rsidRPr="3B2738C9">
        <w:rPr>
          <w:rFonts w:eastAsia="游明朝"/>
          <w:lang w:eastAsia="ja-JP"/>
        </w:rPr>
        <w:t xml:space="preserve">multi-slot scheduling by corresponding multiple DCIs </w:t>
      </w:r>
      <w:r w:rsidR="00262B76">
        <w:rPr>
          <w:rFonts w:eastAsia="游明朝"/>
          <w:lang w:eastAsia="ja-JP"/>
        </w:rPr>
        <w:t>in</w:t>
      </w:r>
      <w:r w:rsidR="00A07C6B">
        <w:rPr>
          <w:rFonts w:eastAsia="游明朝"/>
          <w:lang w:eastAsia="ja-JP"/>
        </w:rPr>
        <w:t xml:space="preserve"> </w:t>
      </w:r>
      <w:r w:rsidR="00CE08BC" w:rsidRPr="3B2738C9">
        <w:rPr>
          <w:rFonts w:eastAsia="游明朝"/>
          <w:lang w:eastAsia="ja-JP"/>
        </w:rPr>
        <w:t>a slot, (2) multi-slot scheduling by one DCI on a slot. For solution (1),</w:t>
      </w:r>
      <w:r w:rsidR="006870D1">
        <w:rPr>
          <w:rFonts w:eastAsia="游明朝"/>
          <w:lang w:eastAsia="ja-JP"/>
        </w:rPr>
        <w:t xml:space="preserve"> a lot of PDCCH transmission </w:t>
      </w:r>
      <w:r w:rsidR="00337EAF">
        <w:rPr>
          <w:rFonts w:eastAsia="游明朝"/>
          <w:lang w:eastAsia="ja-JP"/>
        </w:rPr>
        <w:t>i</w:t>
      </w:r>
      <w:r w:rsidR="006870D1">
        <w:rPr>
          <w:rFonts w:eastAsia="游明朝"/>
          <w:lang w:eastAsia="ja-JP"/>
        </w:rPr>
        <w:t xml:space="preserve">n a CORESET </w:t>
      </w:r>
      <w:r w:rsidR="00306380">
        <w:rPr>
          <w:rFonts w:eastAsia="游明朝"/>
          <w:lang w:eastAsia="ja-JP"/>
        </w:rPr>
        <w:t>tends to</w:t>
      </w:r>
      <w:r w:rsidR="006870D1">
        <w:rPr>
          <w:rFonts w:eastAsia="游明朝"/>
          <w:lang w:eastAsia="ja-JP"/>
        </w:rPr>
        <w:t xml:space="preserve"> </w:t>
      </w:r>
      <w:r w:rsidR="00337EAF">
        <w:rPr>
          <w:rFonts w:eastAsia="游明朝"/>
          <w:lang w:eastAsia="ja-JP"/>
        </w:rPr>
        <w:t>result in</w:t>
      </w:r>
      <w:r w:rsidR="006870D1">
        <w:rPr>
          <w:rFonts w:eastAsia="游明朝"/>
          <w:lang w:eastAsia="ja-JP"/>
        </w:rPr>
        <w:t xml:space="preserve"> PDCCH collision. </w:t>
      </w:r>
      <w:r w:rsidR="00337EAF">
        <w:rPr>
          <w:rFonts w:eastAsia="游明朝"/>
          <w:lang w:eastAsia="ja-JP"/>
        </w:rPr>
        <w:t xml:space="preserve">In this case, the </w:t>
      </w:r>
      <w:r w:rsidR="006870D1">
        <w:rPr>
          <w:rFonts w:eastAsia="游明朝"/>
          <w:lang w:eastAsia="ja-JP"/>
        </w:rPr>
        <w:t>CORESET resource may need to be extended</w:t>
      </w:r>
      <w:r w:rsidR="001C32D0" w:rsidRPr="3B2738C9">
        <w:rPr>
          <w:rFonts w:eastAsia="游明朝"/>
          <w:lang w:eastAsia="ja-JP"/>
        </w:rPr>
        <w:t xml:space="preserve">. On the other hand, for solution (2), </w:t>
      </w:r>
      <w:r w:rsidR="00E47426" w:rsidRPr="3B2738C9">
        <w:rPr>
          <w:rFonts w:eastAsia="游明朝"/>
          <w:lang w:eastAsia="ja-JP"/>
        </w:rPr>
        <w:t xml:space="preserve">since only one DCI is carried, </w:t>
      </w:r>
      <w:r w:rsidR="00D14D29">
        <w:rPr>
          <w:rFonts w:eastAsia="游明朝"/>
          <w:lang w:eastAsia="ja-JP"/>
        </w:rPr>
        <w:t xml:space="preserve">the </w:t>
      </w:r>
      <w:r w:rsidR="00E47426" w:rsidRPr="3B2738C9">
        <w:rPr>
          <w:rFonts w:eastAsia="游明朝"/>
          <w:lang w:eastAsia="ja-JP"/>
        </w:rPr>
        <w:t xml:space="preserve">total </w:t>
      </w:r>
      <w:r w:rsidR="00CE08BC" w:rsidRPr="3B2738C9">
        <w:rPr>
          <w:rFonts w:eastAsia="游明朝"/>
          <w:lang w:eastAsia="ja-JP"/>
        </w:rPr>
        <w:t xml:space="preserve">signaling overhead could be </w:t>
      </w:r>
      <w:r w:rsidR="00D14D29">
        <w:rPr>
          <w:rFonts w:eastAsia="游明朝"/>
          <w:lang w:eastAsia="ja-JP"/>
        </w:rPr>
        <w:t>reduced</w:t>
      </w:r>
      <w:r w:rsidR="00CE08BC" w:rsidRPr="3B2738C9">
        <w:rPr>
          <w:rFonts w:eastAsia="游明朝"/>
          <w:lang w:eastAsia="ja-JP"/>
        </w:rPr>
        <w:t xml:space="preserve">. </w:t>
      </w:r>
      <w:r w:rsidR="001C32D0" w:rsidRPr="3B2738C9">
        <w:rPr>
          <w:rFonts w:eastAsia="游明朝"/>
          <w:lang w:eastAsia="ja-JP"/>
        </w:rPr>
        <w:t>Therefore, multi-PDSCH/PUSCH scheduling by one DCI is preferred. It is noted that Rel-16 NR-U has already introduced multi-PUSCH scheduling by one DCI.</w:t>
      </w:r>
    </w:p>
    <w:p w14:paraId="5080E9F6" w14:textId="532DCEFA" w:rsidR="00D526AE" w:rsidRDefault="00FF155A" w:rsidP="00FF155A">
      <w:pPr>
        <w:jc w:val="center"/>
        <w:rPr>
          <w:rFonts w:eastAsia="游明朝"/>
          <w:lang w:eastAsia="ja-JP"/>
        </w:rPr>
      </w:pPr>
      <w:r w:rsidRPr="00FF155A">
        <w:rPr>
          <w:noProof/>
        </w:rPr>
        <w:drawing>
          <wp:inline distT="0" distB="0" distL="0" distR="0" wp14:anchorId="33968FBA" wp14:editId="5A9BD2C7">
            <wp:extent cx="3489960" cy="145534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1266" cy="1476742"/>
                    </a:xfrm>
                    <a:prstGeom prst="rect">
                      <a:avLst/>
                    </a:prstGeom>
                    <a:noFill/>
                    <a:ln>
                      <a:noFill/>
                    </a:ln>
                  </pic:spPr>
                </pic:pic>
              </a:graphicData>
            </a:graphic>
          </wp:inline>
        </w:drawing>
      </w:r>
    </w:p>
    <w:p w14:paraId="1F6A24CA" w14:textId="1E2FB6BE" w:rsidR="00FF155A" w:rsidRPr="004C7D2B" w:rsidRDefault="00FF155A" w:rsidP="00FF155A">
      <w:pPr>
        <w:jc w:val="center"/>
        <w:rPr>
          <w:rFonts w:eastAsia="游明朝"/>
          <w:lang w:eastAsia="ja-JP"/>
        </w:rPr>
      </w:pPr>
      <w:r>
        <w:rPr>
          <w:rFonts w:eastAsia="游明朝" w:hint="eastAsia"/>
          <w:lang w:eastAsia="ja-JP"/>
        </w:rPr>
        <w:t>F</w:t>
      </w:r>
      <w:r>
        <w:rPr>
          <w:rFonts w:eastAsia="游明朝"/>
          <w:lang w:eastAsia="ja-JP"/>
        </w:rPr>
        <w:t>igure 1. Multi-PDSCH scheduling by one DCI</w:t>
      </w:r>
    </w:p>
    <w:p w14:paraId="4A630162" w14:textId="0A0DD2AE" w:rsidR="00DF247B" w:rsidRPr="00501EBC" w:rsidRDefault="00DF247B" w:rsidP="001D0AA0">
      <w:pPr>
        <w:rPr>
          <w:rFonts w:eastAsia="游明朝"/>
          <w:b/>
          <w:bCs/>
          <w:lang w:eastAsia="ja-JP"/>
        </w:rPr>
      </w:pPr>
      <w:r w:rsidRPr="00501EBC">
        <w:rPr>
          <w:rFonts w:eastAsia="游明朝"/>
          <w:b/>
          <w:bCs/>
          <w:lang w:eastAsia="ja-JP"/>
        </w:rPr>
        <w:t xml:space="preserve">Proposal </w:t>
      </w:r>
      <w:r w:rsidR="00D20BE2">
        <w:rPr>
          <w:rFonts w:eastAsia="游明朝"/>
          <w:b/>
          <w:bCs/>
          <w:lang w:eastAsia="ja-JP"/>
        </w:rPr>
        <w:t>3</w:t>
      </w:r>
      <w:r w:rsidRPr="00501EBC">
        <w:rPr>
          <w:rFonts w:eastAsia="游明朝"/>
          <w:b/>
          <w:bCs/>
          <w:lang w:eastAsia="ja-JP"/>
        </w:rPr>
        <w:t>: Multi-PDSCH</w:t>
      </w:r>
      <w:r w:rsidR="004B63F4">
        <w:rPr>
          <w:rFonts w:eastAsia="游明朝"/>
          <w:b/>
          <w:bCs/>
          <w:lang w:eastAsia="ja-JP"/>
        </w:rPr>
        <w:t>/PUSCH</w:t>
      </w:r>
      <w:r w:rsidRPr="00501EBC">
        <w:rPr>
          <w:rFonts w:eastAsia="游明朝"/>
          <w:b/>
          <w:bCs/>
          <w:lang w:eastAsia="ja-JP"/>
        </w:rPr>
        <w:t xml:space="preserve"> scheduling by one DCI should be supported for NR above 52.6 GHz</w:t>
      </w:r>
      <w:r w:rsidR="00C468DD">
        <w:rPr>
          <w:rFonts w:eastAsia="游明朝"/>
          <w:b/>
          <w:bCs/>
          <w:lang w:eastAsia="ja-JP"/>
        </w:rPr>
        <w:t>.</w:t>
      </w:r>
    </w:p>
    <w:p w14:paraId="226C6DCB" w14:textId="4F582478" w:rsidR="004B63F4" w:rsidRPr="002316C8" w:rsidRDefault="004B63F4" w:rsidP="004B63F4">
      <w:pPr>
        <w:rPr>
          <w:rFonts w:eastAsia="游明朝"/>
          <w:b/>
          <w:bCs/>
          <w:lang w:eastAsia="ja-JP"/>
        </w:rPr>
      </w:pPr>
      <w:r w:rsidRPr="002316C8">
        <w:rPr>
          <w:rFonts w:eastAsia="游明朝"/>
          <w:b/>
          <w:bCs/>
          <w:lang w:eastAsia="ja-JP"/>
        </w:rPr>
        <w:t xml:space="preserve">Observation </w:t>
      </w:r>
      <w:r w:rsidR="00D20BE2">
        <w:rPr>
          <w:rFonts w:eastAsia="游明朝"/>
          <w:b/>
          <w:bCs/>
          <w:lang w:eastAsia="ja-JP"/>
        </w:rPr>
        <w:t>5</w:t>
      </w:r>
      <w:r w:rsidRPr="002316C8">
        <w:rPr>
          <w:rFonts w:eastAsia="游明朝"/>
          <w:b/>
          <w:bCs/>
          <w:lang w:eastAsia="ja-JP"/>
        </w:rPr>
        <w:t>: Multi-PUSCH scheduling introduced in Rel-16 NR-U can be reused for NR above 52.6 GHz.</w:t>
      </w:r>
    </w:p>
    <w:p w14:paraId="46862A66" w14:textId="77777777" w:rsidR="00DF247B" w:rsidRPr="004C7D2B" w:rsidRDefault="00DF247B" w:rsidP="001D0AA0">
      <w:pPr>
        <w:rPr>
          <w:rFonts w:eastAsia="游明朝"/>
          <w:lang w:eastAsia="ja-JP"/>
        </w:rPr>
      </w:pPr>
    </w:p>
    <w:p w14:paraId="1963526D" w14:textId="715A6E8E" w:rsidR="001D0AA0" w:rsidRDefault="001D0AA0" w:rsidP="001D0AA0">
      <w:pPr>
        <w:pStyle w:val="2"/>
        <w:rPr>
          <w:lang w:eastAsia="zh-CN"/>
        </w:rPr>
      </w:pPr>
      <w:r>
        <w:rPr>
          <w:lang w:eastAsia="zh-CN"/>
        </w:rPr>
        <w:lastRenderedPageBreak/>
        <w:t>UL interlace design</w:t>
      </w:r>
    </w:p>
    <w:p w14:paraId="378A56A8" w14:textId="3A1FA3EA" w:rsidR="004775EA" w:rsidRPr="004E70A5" w:rsidRDefault="004775EA" w:rsidP="004775EA">
      <w:pPr>
        <w:autoSpaceDE/>
        <w:snapToGrid/>
        <w:rPr>
          <w:rFonts w:eastAsia="ＭＳ 明朝"/>
          <w:lang w:eastAsia="ja-JP"/>
        </w:rPr>
      </w:pPr>
      <w:r>
        <w:rPr>
          <w:rFonts w:eastAsia="ＭＳ 明朝"/>
          <w:lang w:eastAsia="ja-JP"/>
        </w:rPr>
        <w:t xml:space="preserve">In RAN1 #102e, the following agreement on </w:t>
      </w:r>
      <w:r w:rsidR="00DF247B">
        <w:rPr>
          <w:rFonts w:eastAsia="ＭＳ 明朝"/>
          <w:lang w:eastAsia="ja-JP"/>
        </w:rPr>
        <w:t>uplink transmission</w:t>
      </w:r>
      <w:r>
        <w:rPr>
          <w:rFonts w:eastAsia="ＭＳ 明朝"/>
          <w:lang w:eastAsia="ja-JP"/>
        </w:rPr>
        <w:t xml:space="preserve"> was achieved</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775EA" w:rsidRPr="004E70A5" w14:paraId="4FDA7F29" w14:textId="77777777" w:rsidTr="002316C8">
        <w:trPr>
          <w:trHeight w:val="689"/>
        </w:trPr>
        <w:tc>
          <w:tcPr>
            <w:tcW w:w="9259" w:type="dxa"/>
          </w:tcPr>
          <w:p w14:paraId="0E643F92" w14:textId="77777777" w:rsidR="004775EA" w:rsidRPr="004775EA" w:rsidRDefault="004775EA" w:rsidP="004775EA">
            <w:pPr>
              <w:suppressAutoHyphens w:val="0"/>
              <w:autoSpaceDE/>
              <w:autoSpaceDN/>
              <w:snapToGrid/>
              <w:spacing w:after="0"/>
              <w:jc w:val="left"/>
              <w:textAlignment w:val="auto"/>
              <w:rPr>
                <w:rFonts w:ascii="Calibri" w:hAnsi="Calibri" w:cs="Calibri"/>
                <w:lang w:eastAsia="x-none"/>
              </w:rPr>
            </w:pPr>
            <w:r w:rsidRPr="004775EA">
              <w:rPr>
                <w:rFonts w:ascii="Calibri" w:hAnsi="Calibri" w:cs="Calibri"/>
                <w:highlight w:val="green"/>
                <w:lang w:eastAsia="x-none"/>
              </w:rPr>
              <w:t>Agreement:</w:t>
            </w:r>
          </w:p>
          <w:p w14:paraId="36E78201" w14:textId="77777777" w:rsidR="004775EA" w:rsidRPr="004775EA" w:rsidRDefault="004775EA" w:rsidP="004775EA">
            <w:pPr>
              <w:suppressAutoHyphens w:val="0"/>
              <w:autoSpaceDE/>
              <w:autoSpaceDN/>
              <w:snapToGrid/>
              <w:spacing w:after="0"/>
              <w:jc w:val="left"/>
              <w:textAlignment w:val="auto"/>
              <w:rPr>
                <w:rFonts w:ascii="Calibri" w:hAnsi="Calibri" w:cs="Calibri"/>
                <w:lang w:eastAsia="x-none"/>
              </w:rPr>
            </w:pPr>
            <w:r w:rsidRPr="004775EA">
              <w:rPr>
                <w:rFonts w:ascii="Calibri" w:hAnsi="Calibri" w:cs="Calibri"/>
                <w:lang w:eastAsia="x-none"/>
              </w:rPr>
              <w:t>Consider at least the following aspects for uplink transmission</w:t>
            </w:r>
          </w:p>
          <w:p w14:paraId="6A734284" w14:textId="77777777" w:rsidR="004775EA" w:rsidRPr="004775EA" w:rsidRDefault="004775EA" w:rsidP="004775EA">
            <w:pPr>
              <w:numPr>
                <w:ilvl w:val="0"/>
                <w:numId w:val="11"/>
              </w:numPr>
              <w:suppressAutoHyphens w:val="0"/>
              <w:autoSpaceDE/>
              <w:autoSpaceDN/>
              <w:snapToGrid/>
              <w:spacing w:after="0"/>
              <w:jc w:val="left"/>
              <w:textAlignment w:val="auto"/>
              <w:rPr>
                <w:rFonts w:ascii="Calibri" w:hAnsi="Calibri" w:cs="Calibri"/>
                <w:lang w:eastAsia="x-none"/>
              </w:rPr>
            </w:pPr>
            <w:r w:rsidRPr="004775EA">
              <w:rPr>
                <w:rFonts w:ascii="Calibri" w:hAnsi="Calibri" w:cs="Calibri"/>
                <w:lang w:eastAsia="x-none"/>
              </w:rPr>
              <w:t>Study of potential enhancements for PUSCH/PUCCH/PRACH transmissions to achieve higher transmit power (when transmit power spectral density limits apply), if needed</w:t>
            </w:r>
          </w:p>
          <w:p w14:paraId="62CBC035" w14:textId="77777777" w:rsidR="004775EA" w:rsidRPr="004775EA" w:rsidRDefault="004775EA" w:rsidP="004775EA">
            <w:pPr>
              <w:numPr>
                <w:ilvl w:val="0"/>
                <w:numId w:val="11"/>
              </w:numPr>
              <w:suppressAutoHyphens w:val="0"/>
              <w:autoSpaceDE/>
              <w:autoSpaceDN/>
              <w:snapToGrid/>
              <w:spacing w:after="0"/>
              <w:jc w:val="left"/>
              <w:textAlignment w:val="auto"/>
              <w:rPr>
                <w:rFonts w:ascii="Calibri" w:hAnsi="Calibri" w:cs="Calibri"/>
                <w:lang w:eastAsia="x-none"/>
              </w:rPr>
            </w:pPr>
            <w:r w:rsidRPr="004775EA">
              <w:rPr>
                <w:rFonts w:ascii="Calibri" w:hAnsi="Calibri" w:cs="Calibri"/>
                <w:lang w:eastAsia="x-none"/>
              </w:rPr>
              <w:t>Study whether uplink interlace needs to be supported for unlicensed operation in 60 GHz band.</w:t>
            </w:r>
          </w:p>
          <w:p w14:paraId="1AA53B23" w14:textId="20491DD9" w:rsidR="004775EA" w:rsidRPr="004C7D2B" w:rsidRDefault="004775EA" w:rsidP="00501EBC">
            <w:pPr>
              <w:numPr>
                <w:ilvl w:val="1"/>
                <w:numId w:val="11"/>
              </w:numPr>
              <w:suppressAutoHyphens w:val="0"/>
              <w:autoSpaceDE/>
              <w:autoSpaceDN/>
              <w:snapToGrid/>
              <w:spacing w:after="0"/>
              <w:jc w:val="left"/>
              <w:textAlignment w:val="auto"/>
              <w:rPr>
                <w:rFonts w:ascii="Calibri" w:hAnsi="Calibri" w:cs="Calibri"/>
                <w:lang w:eastAsia="x-none"/>
              </w:rPr>
            </w:pPr>
            <w:r w:rsidRPr="004775EA">
              <w:rPr>
                <w:rFonts w:ascii="Calibri" w:hAnsi="Calibri" w:cs="Calibri"/>
                <w:lang w:eastAsia="x-none"/>
              </w:rPr>
              <w:t>If supported, study uplink PRB and/or sub-PRB based interlace design for PUCCH, PUSCH, and/or SRS.</w:t>
            </w:r>
          </w:p>
        </w:tc>
      </w:tr>
    </w:tbl>
    <w:p w14:paraId="080562CE" w14:textId="77777777" w:rsidR="009E10BD" w:rsidRDefault="009E10BD" w:rsidP="001D0AA0">
      <w:pPr>
        <w:rPr>
          <w:rFonts w:eastAsia="游明朝"/>
          <w:lang w:eastAsia="ja-JP"/>
        </w:rPr>
      </w:pPr>
    </w:p>
    <w:p w14:paraId="3DE4CE49" w14:textId="1491634B" w:rsidR="00CB6905" w:rsidRDefault="004F63E8" w:rsidP="001D0AA0">
      <w:pPr>
        <w:rPr>
          <w:rFonts w:eastAsia="游明朝"/>
          <w:lang w:eastAsia="ja-JP"/>
        </w:rPr>
      </w:pPr>
      <w:r>
        <w:rPr>
          <w:rFonts w:eastAsia="游明朝" w:hint="eastAsia"/>
          <w:lang w:eastAsia="ja-JP"/>
        </w:rPr>
        <w:t>I</w:t>
      </w:r>
      <w:r>
        <w:rPr>
          <w:rFonts w:eastAsia="游明朝"/>
          <w:lang w:eastAsia="ja-JP"/>
        </w:rPr>
        <w:t xml:space="preserve">n Rel-16 NR-U operating on </w:t>
      </w:r>
      <w:r w:rsidR="009E10BD">
        <w:rPr>
          <w:rFonts w:eastAsia="游明朝"/>
          <w:lang w:eastAsia="ja-JP"/>
        </w:rPr>
        <w:t xml:space="preserve">a </w:t>
      </w:r>
      <w:r>
        <w:rPr>
          <w:rFonts w:eastAsia="游明朝"/>
          <w:lang w:eastAsia="ja-JP"/>
        </w:rPr>
        <w:t xml:space="preserve">5/6 GHz band, in order to apply power boosting meeting the OCB requirement and the PSD limitation, </w:t>
      </w:r>
      <w:r w:rsidR="00CB6905">
        <w:rPr>
          <w:rFonts w:eastAsia="游明朝"/>
          <w:lang w:eastAsia="ja-JP"/>
        </w:rPr>
        <w:t xml:space="preserve">PRB based interlace design for 15 and 30 kHz SCS has been introduced </w:t>
      </w:r>
      <w:r>
        <w:rPr>
          <w:rFonts w:eastAsia="游明朝"/>
          <w:lang w:eastAsia="ja-JP"/>
        </w:rPr>
        <w:t xml:space="preserve">for </w:t>
      </w:r>
      <w:r w:rsidR="009E10BD">
        <w:rPr>
          <w:rFonts w:eastAsia="游明朝"/>
          <w:lang w:eastAsia="ja-JP"/>
        </w:rPr>
        <w:t xml:space="preserve">the </w:t>
      </w:r>
      <w:r>
        <w:rPr>
          <w:rFonts w:eastAsia="游明朝"/>
          <w:lang w:eastAsia="ja-JP"/>
        </w:rPr>
        <w:t>UL</w:t>
      </w:r>
      <w:r w:rsidRPr="004F63E8">
        <w:rPr>
          <w:rFonts w:eastAsia="游明朝"/>
          <w:lang w:eastAsia="ja-JP"/>
        </w:rPr>
        <w:t xml:space="preserve"> </w:t>
      </w:r>
      <w:r>
        <w:rPr>
          <w:rFonts w:eastAsia="游明朝"/>
          <w:lang w:eastAsia="ja-JP"/>
        </w:rPr>
        <w:t>waveform.</w:t>
      </w:r>
    </w:p>
    <w:p w14:paraId="217B7C7C" w14:textId="74036AA2" w:rsidR="001D0AA0" w:rsidRPr="004C7D2B" w:rsidRDefault="00CB6905" w:rsidP="001D0AA0">
      <w:pPr>
        <w:rPr>
          <w:rFonts w:eastAsia="游明朝"/>
          <w:lang w:eastAsia="ja-JP"/>
        </w:rPr>
      </w:pPr>
      <w:r>
        <w:rPr>
          <w:rFonts w:eastAsia="游明朝"/>
          <w:lang w:eastAsia="ja-JP"/>
        </w:rPr>
        <w:t>I</w:t>
      </w:r>
      <w:r w:rsidR="004F63E8">
        <w:rPr>
          <w:rFonts w:eastAsia="游明朝"/>
          <w:lang w:eastAsia="ja-JP"/>
        </w:rPr>
        <w:t xml:space="preserve">n 60 GHz </w:t>
      </w:r>
      <w:r w:rsidR="002A675A">
        <w:rPr>
          <w:rFonts w:eastAsia="游明朝"/>
          <w:lang w:eastAsia="ja-JP"/>
        </w:rPr>
        <w:t>unlicensed spectrum</w:t>
      </w:r>
      <w:r w:rsidR="004F63E8">
        <w:rPr>
          <w:rFonts w:eastAsia="游明朝"/>
          <w:lang w:eastAsia="ja-JP"/>
        </w:rPr>
        <w:t xml:space="preserve">, </w:t>
      </w:r>
      <w:r>
        <w:rPr>
          <w:rFonts w:eastAsia="游明朝"/>
          <w:lang w:eastAsia="ja-JP"/>
        </w:rPr>
        <w:t xml:space="preserve">both </w:t>
      </w:r>
      <w:r w:rsidR="004F63E8">
        <w:rPr>
          <w:rFonts w:eastAsia="游明朝"/>
          <w:lang w:eastAsia="ja-JP"/>
        </w:rPr>
        <w:t xml:space="preserve">the PSD limitation </w:t>
      </w:r>
      <w:r>
        <w:rPr>
          <w:rFonts w:eastAsia="游明朝"/>
          <w:lang w:eastAsia="ja-JP"/>
        </w:rPr>
        <w:t xml:space="preserve">in a unit of </w:t>
      </w:r>
      <w:r w:rsidR="000E4AB8">
        <w:rPr>
          <w:rFonts w:eastAsia="游明朝"/>
          <w:lang w:eastAsia="ja-JP"/>
        </w:rPr>
        <w:t xml:space="preserve">dBm / </w:t>
      </w:r>
      <w:r>
        <w:rPr>
          <w:rFonts w:eastAsia="游明朝"/>
          <w:lang w:eastAsia="ja-JP"/>
        </w:rPr>
        <w:t xml:space="preserve">MHz and OCB requirement </w:t>
      </w:r>
      <w:r w:rsidR="002A675A">
        <w:rPr>
          <w:rFonts w:eastAsia="游明朝"/>
          <w:lang w:eastAsia="ja-JP"/>
        </w:rPr>
        <w:t xml:space="preserve">are </w:t>
      </w:r>
      <w:r>
        <w:rPr>
          <w:rFonts w:eastAsia="游明朝"/>
          <w:lang w:eastAsia="ja-JP"/>
        </w:rPr>
        <w:t xml:space="preserve">also </w:t>
      </w:r>
      <w:r w:rsidR="004F63E8">
        <w:rPr>
          <w:rFonts w:eastAsia="游明朝"/>
          <w:lang w:eastAsia="ja-JP"/>
        </w:rPr>
        <w:t>defined</w:t>
      </w:r>
      <w:r>
        <w:rPr>
          <w:rFonts w:eastAsia="游明朝"/>
          <w:lang w:eastAsia="ja-JP"/>
        </w:rPr>
        <w:t>.</w:t>
      </w:r>
      <w:r w:rsidR="004F63E8">
        <w:rPr>
          <w:rFonts w:eastAsia="游明朝"/>
          <w:lang w:eastAsia="ja-JP"/>
        </w:rPr>
        <w:t xml:space="preserve"> </w:t>
      </w:r>
      <w:proofErr w:type="gramStart"/>
      <w:r>
        <w:rPr>
          <w:rFonts w:eastAsia="游明朝"/>
          <w:lang w:eastAsia="ja-JP"/>
        </w:rPr>
        <w:t>Assuming that</w:t>
      </w:r>
      <w:proofErr w:type="gramEnd"/>
      <w:r>
        <w:rPr>
          <w:rFonts w:eastAsia="游明朝"/>
          <w:lang w:eastAsia="ja-JP"/>
        </w:rPr>
        <w:t xml:space="preserve"> </w:t>
      </w:r>
      <w:r w:rsidR="009E10BD">
        <w:rPr>
          <w:rFonts w:eastAsia="游明朝"/>
          <w:lang w:eastAsia="ja-JP"/>
        </w:rPr>
        <w:t xml:space="preserve">a </w:t>
      </w:r>
      <w:r>
        <w:rPr>
          <w:rFonts w:eastAsia="游明朝"/>
          <w:lang w:eastAsia="ja-JP"/>
        </w:rPr>
        <w:t xml:space="preserve">higher SCS than </w:t>
      </w:r>
      <w:r w:rsidR="008F300F">
        <w:rPr>
          <w:rFonts w:eastAsia="游明朝"/>
          <w:lang w:eastAsia="ja-JP"/>
        </w:rPr>
        <w:t>6</w:t>
      </w:r>
      <w:r>
        <w:rPr>
          <w:rFonts w:eastAsia="游明朝"/>
          <w:lang w:eastAsia="ja-JP"/>
        </w:rPr>
        <w:t xml:space="preserve">0 kHz is used in 60 GHz, 1 PRB </w:t>
      </w:r>
      <w:r w:rsidR="008F300F">
        <w:rPr>
          <w:rFonts w:eastAsia="游明朝"/>
          <w:lang w:eastAsia="ja-JP"/>
        </w:rPr>
        <w:t xml:space="preserve">transmission </w:t>
      </w:r>
      <w:r>
        <w:rPr>
          <w:rFonts w:eastAsia="游明朝"/>
          <w:lang w:eastAsia="ja-JP"/>
        </w:rPr>
        <w:t>occupies more than 1 MHz (e.g. 120 kHz SCS x 12 subcarrier</w:t>
      </w:r>
      <w:r w:rsidR="005A4033">
        <w:rPr>
          <w:rFonts w:eastAsia="游明朝"/>
          <w:lang w:eastAsia="ja-JP"/>
        </w:rPr>
        <w:t>s</w:t>
      </w:r>
      <w:r>
        <w:rPr>
          <w:rFonts w:eastAsia="游明朝"/>
          <w:lang w:eastAsia="ja-JP"/>
        </w:rPr>
        <w:t xml:space="preserve"> = 1.44 MHz)</w:t>
      </w:r>
      <w:r w:rsidR="002A675A">
        <w:rPr>
          <w:rFonts w:eastAsia="游明朝"/>
          <w:lang w:eastAsia="ja-JP"/>
        </w:rPr>
        <w:t>, which</w:t>
      </w:r>
      <w:r>
        <w:rPr>
          <w:rFonts w:eastAsia="游明朝"/>
          <w:lang w:eastAsia="ja-JP"/>
        </w:rPr>
        <w:t xml:space="preserve"> means that there is no margin to </w:t>
      </w:r>
      <w:r w:rsidR="002A675A">
        <w:rPr>
          <w:rFonts w:eastAsia="游明朝"/>
          <w:lang w:eastAsia="ja-JP"/>
        </w:rPr>
        <w:t>increase PSD. Sub-PRB block interlace design should be</w:t>
      </w:r>
      <w:bookmarkStart w:id="1" w:name="_GoBack"/>
      <w:bookmarkEnd w:id="1"/>
      <w:r w:rsidR="002A675A">
        <w:rPr>
          <w:rFonts w:eastAsia="游明朝"/>
          <w:lang w:eastAsia="ja-JP"/>
        </w:rPr>
        <w:t xml:space="preserve"> supported for 60 GHz unlicensed spectrum.</w:t>
      </w:r>
    </w:p>
    <w:p w14:paraId="395884EF" w14:textId="037BDF79" w:rsidR="00DF247B" w:rsidRDefault="00DF247B" w:rsidP="001D0AA0">
      <w:pPr>
        <w:rPr>
          <w:rFonts w:eastAsia="游明朝"/>
          <w:lang w:eastAsia="ja-JP"/>
        </w:rPr>
      </w:pPr>
      <w:r w:rsidRPr="002316C8">
        <w:rPr>
          <w:rFonts w:eastAsia="游明朝" w:hint="eastAsia"/>
          <w:b/>
          <w:bCs/>
          <w:lang w:eastAsia="ja-JP"/>
        </w:rPr>
        <w:t>P</w:t>
      </w:r>
      <w:r w:rsidRPr="002316C8">
        <w:rPr>
          <w:rFonts w:eastAsia="游明朝"/>
          <w:b/>
          <w:bCs/>
          <w:lang w:eastAsia="ja-JP"/>
        </w:rPr>
        <w:t xml:space="preserve">roposal </w:t>
      </w:r>
      <w:r w:rsidR="00B21BE9">
        <w:rPr>
          <w:rFonts w:eastAsia="游明朝"/>
          <w:b/>
          <w:bCs/>
          <w:lang w:eastAsia="ja-JP"/>
        </w:rPr>
        <w:t>4</w:t>
      </w:r>
      <w:r w:rsidRPr="002316C8">
        <w:rPr>
          <w:rFonts w:eastAsia="游明朝"/>
          <w:b/>
          <w:bCs/>
          <w:lang w:eastAsia="ja-JP"/>
        </w:rPr>
        <w:t>:</w:t>
      </w:r>
      <w:r>
        <w:rPr>
          <w:rFonts w:eastAsia="游明朝"/>
          <w:b/>
          <w:bCs/>
          <w:lang w:eastAsia="ja-JP"/>
        </w:rPr>
        <w:t xml:space="preserve"> Sub-PRB based interlace design should be </w:t>
      </w:r>
      <w:r w:rsidR="002A675A">
        <w:rPr>
          <w:rFonts w:eastAsia="游明朝"/>
          <w:b/>
          <w:bCs/>
          <w:lang w:eastAsia="ja-JP"/>
        </w:rPr>
        <w:t>supported</w:t>
      </w:r>
      <w:r>
        <w:rPr>
          <w:rFonts w:eastAsia="游明朝"/>
          <w:b/>
          <w:bCs/>
          <w:lang w:eastAsia="ja-JP"/>
        </w:rPr>
        <w:t xml:space="preserve"> </w:t>
      </w:r>
      <w:r w:rsidR="004F63E8">
        <w:rPr>
          <w:rFonts w:eastAsia="游明朝"/>
          <w:b/>
          <w:bCs/>
          <w:lang w:eastAsia="ja-JP"/>
        </w:rPr>
        <w:t>for 60 GHz unlicensed spectrum</w:t>
      </w:r>
      <w:r>
        <w:rPr>
          <w:rFonts w:eastAsia="游明朝"/>
          <w:b/>
          <w:bCs/>
          <w:lang w:eastAsia="ja-JP"/>
        </w:rPr>
        <w:t>.</w:t>
      </w:r>
    </w:p>
    <w:p w14:paraId="11DF50CB" w14:textId="77777777" w:rsidR="00DF247B" w:rsidRDefault="00DF247B" w:rsidP="001D0AA0">
      <w:pPr>
        <w:rPr>
          <w:rFonts w:eastAsia="游明朝"/>
          <w:lang w:eastAsia="ja-JP"/>
        </w:rPr>
      </w:pPr>
    </w:p>
    <w:p w14:paraId="653450AD" w14:textId="6D15FB2B" w:rsidR="001D0AA0" w:rsidRDefault="001D0AA0" w:rsidP="001D0AA0">
      <w:pPr>
        <w:pStyle w:val="2"/>
        <w:rPr>
          <w:lang w:eastAsia="zh-CN"/>
        </w:rPr>
      </w:pPr>
      <w:r>
        <w:rPr>
          <w:lang w:eastAsia="zh-CN"/>
        </w:rPr>
        <w:t>Beam management</w:t>
      </w:r>
    </w:p>
    <w:p w14:paraId="0F7162E2" w14:textId="2618E631" w:rsidR="00DE7C00" w:rsidRPr="004E70A5" w:rsidRDefault="00DE7C00" w:rsidP="00DE7C00">
      <w:pPr>
        <w:autoSpaceDE/>
        <w:snapToGrid/>
        <w:rPr>
          <w:rFonts w:eastAsia="ＭＳ 明朝"/>
          <w:lang w:eastAsia="ja-JP"/>
        </w:rPr>
      </w:pPr>
      <w:r>
        <w:rPr>
          <w:rFonts w:eastAsia="ＭＳ 明朝"/>
          <w:lang w:eastAsia="ja-JP"/>
        </w:rPr>
        <w:t xml:space="preserve">In RAN1 #102e, the following agreement on </w:t>
      </w:r>
      <w:r w:rsidR="00DF247B">
        <w:rPr>
          <w:rFonts w:eastAsia="ＭＳ 明朝"/>
          <w:lang w:eastAsia="ja-JP"/>
        </w:rPr>
        <w:t>beam management</w:t>
      </w:r>
      <w:r>
        <w:rPr>
          <w:rFonts w:eastAsia="ＭＳ 明朝"/>
          <w:lang w:eastAsia="ja-JP"/>
        </w:rPr>
        <w:t xml:space="preserve"> was achieved</w:t>
      </w:r>
      <w:r w:rsidR="00370241">
        <w:rPr>
          <w:rFonts w:eastAsia="ＭＳ 明朝"/>
          <w:lang w:eastAsia="ja-JP"/>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DE7C00" w:rsidRPr="004E70A5" w14:paraId="55E4517B" w14:textId="77777777" w:rsidTr="002316C8">
        <w:trPr>
          <w:trHeight w:val="689"/>
        </w:trPr>
        <w:tc>
          <w:tcPr>
            <w:tcW w:w="9259" w:type="dxa"/>
          </w:tcPr>
          <w:p w14:paraId="636EAEA9" w14:textId="77777777" w:rsidR="00DE7C00" w:rsidRPr="00DE7C00" w:rsidRDefault="00DE7C00" w:rsidP="00DE7C00">
            <w:pPr>
              <w:suppressAutoHyphens w:val="0"/>
              <w:autoSpaceDE/>
              <w:autoSpaceDN/>
              <w:snapToGrid/>
              <w:spacing w:after="0"/>
              <w:jc w:val="left"/>
              <w:textAlignment w:val="auto"/>
              <w:rPr>
                <w:rFonts w:ascii="Calibri" w:hAnsi="Calibri" w:cs="Calibri"/>
                <w:lang w:eastAsia="x-none"/>
              </w:rPr>
            </w:pPr>
            <w:r w:rsidRPr="00DE7C00">
              <w:rPr>
                <w:rFonts w:ascii="Calibri" w:hAnsi="Calibri" w:cs="Calibri"/>
                <w:highlight w:val="green"/>
                <w:lang w:eastAsia="x-none"/>
              </w:rPr>
              <w:t>Agreement:</w:t>
            </w:r>
          </w:p>
          <w:p w14:paraId="282F830B" w14:textId="77777777" w:rsidR="00DE7C00" w:rsidRPr="00DE7C00" w:rsidRDefault="00DE7C00" w:rsidP="00DE7C00">
            <w:pPr>
              <w:suppressAutoHyphens w:val="0"/>
              <w:autoSpaceDE/>
              <w:autoSpaceDN/>
              <w:snapToGrid/>
              <w:spacing w:after="0"/>
              <w:jc w:val="left"/>
              <w:textAlignment w:val="auto"/>
              <w:rPr>
                <w:rFonts w:ascii="Calibri" w:hAnsi="Calibri" w:cs="Calibri"/>
                <w:lang w:eastAsia="x-none"/>
              </w:rPr>
            </w:pPr>
            <w:r w:rsidRPr="00DE7C00">
              <w:rPr>
                <w:rFonts w:ascii="Calibri" w:hAnsi="Calibri" w:cs="Calibri"/>
                <w:lang w:eastAsia="x-none"/>
              </w:rPr>
              <w:t xml:space="preserve">Consider at least the following aspects in system operations with beams </w:t>
            </w:r>
          </w:p>
          <w:p w14:paraId="41C2FF88" w14:textId="77777777" w:rsidR="00DE7C00" w:rsidRPr="00DE7C00" w:rsidRDefault="00DE7C00" w:rsidP="00DE7C00">
            <w:pPr>
              <w:numPr>
                <w:ilvl w:val="0"/>
                <w:numId w:val="13"/>
              </w:numPr>
              <w:suppressAutoHyphens w:val="0"/>
              <w:autoSpaceDE/>
              <w:autoSpaceDN/>
              <w:snapToGrid/>
              <w:spacing w:after="0"/>
              <w:jc w:val="left"/>
              <w:textAlignment w:val="auto"/>
              <w:rPr>
                <w:rFonts w:ascii="Calibri" w:hAnsi="Calibri" w:cs="Calibri"/>
                <w:lang w:eastAsia="x-none"/>
              </w:rPr>
            </w:pPr>
            <w:r w:rsidRPr="00DE7C00">
              <w:rPr>
                <w:rFonts w:ascii="Calibri" w:hAnsi="Calibri" w:cs="Calibri"/>
                <w:lang w:eastAsia="x-none"/>
              </w:rPr>
              <w:t>Study of BFR mechanism enhancements, if supported</w:t>
            </w:r>
          </w:p>
          <w:p w14:paraId="70D1E9A2" w14:textId="77777777" w:rsidR="00DE7C00" w:rsidRPr="00DE7C00" w:rsidRDefault="00DE7C00" w:rsidP="00DE7C00">
            <w:pPr>
              <w:numPr>
                <w:ilvl w:val="1"/>
                <w:numId w:val="13"/>
              </w:numPr>
              <w:suppressAutoHyphens w:val="0"/>
              <w:autoSpaceDE/>
              <w:autoSpaceDN/>
              <w:snapToGrid/>
              <w:spacing w:after="0"/>
              <w:jc w:val="left"/>
              <w:textAlignment w:val="auto"/>
              <w:rPr>
                <w:rFonts w:ascii="Calibri" w:hAnsi="Calibri" w:cs="Calibri"/>
                <w:lang w:eastAsia="x-none"/>
              </w:rPr>
            </w:pPr>
            <w:r w:rsidRPr="00DE7C00">
              <w:rPr>
                <w:rFonts w:ascii="Calibri" w:hAnsi="Calibri" w:cs="Calibri"/>
                <w:lang w:eastAsia="x-none"/>
              </w:rPr>
              <w:t xml:space="preserve">e.g., the use of aperiodic CSI-RS for BFR, increased number of RSs for monitoring/candidates and efficient utilization of the increased number of RSs, enhanced reliability to cope with narrower </w:t>
            </w:r>
            <w:proofErr w:type="spellStart"/>
            <w:r w:rsidRPr="00DE7C00">
              <w:rPr>
                <w:rFonts w:ascii="Calibri" w:hAnsi="Calibri" w:cs="Calibri"/>
                <w:lang w:eastAsia="x-none"/>
              </w:rPr>
              <w:t>beamwidth</w:t>
            </w:r>
            <w:proofErr w:type="spellEnd"/>
          </w:p>
          <w:p w14:paraId="3FFCD4E7" w14:textId="77777777" w:rsidR="00DE7C00" w:rsidRPr="00DE7C00" w:rsidRDefault="00DE7C00" w:rsidP="00DE7C00">
            <w:pPr>
              <w:numPr>
                <w:ilvl w:val="0"/>
                <w:numId w:val="13"/>
              </w:numPr>
              <w:suppressAutoHyphens w:val="0"/>
              <w:autoSpaceDE/>
              <w:autoSpaceDN/>
              <w:snapToGrid/>
              <w:spacing w:after="0"/>
              <w:jc w:val="left"/>
              <w:textAlignment w:val="auto"/>
              <w:rPr>
                <w:rFonts w:ascii="Calibri" w:hAnsi="Calibri" w:cs="Calibri"/>
                <w:lang w:eastAsia="x-none"/>
              </w:rPr>
            </w:pPr>
            <w:r w:rsidRPr="00DE7C00">
              <w:rPr>
                <w:rFonts w:ascii="Calibri" w:hAnsi="Calibri" w:cs="Calibri"/>
                <w:lang w:eastAsia="x-none"/>
              </w:rPr>
              <w:t>Study of UE capabilities on beam switch timing in beam management procedure</w:t>
            </w:r>
          </w:p>
          <w:p w14:paraId="61806EDE" w14:textId="77777777" w:rsidR="00DE7C00" w:rsidRPr="00DE7C00" w:rsidRDefault="00DE7C00" w:rsidP="00DE7C00">
            <w:pPr>
              <w:numPr>
                <w:ilvl w:val="0"/>
                <w:numId w:val="13"/>
              </w:numPr>
              <w:suppressAutoHyphens w:val="0"/>
              <w:autoSpaceDE/>
              <w:autoSpaceDN/>
              <w:snapToGrid/>
              <w:spacing w:after="0"/>
              <w:jc w:val="left"/>
              <w:textAlignment w:val="auto"/>
              <w:rPr>
                <w:rFonts w:ascii="Calibri" w:hAnsi="Calibri" w:cs="Calibri"/>
                <w:lang w:eastAsia="x-none"/>
              </w:rPr>
            </w:pPr>
            <w:r w:rsidRPr="00DE7C00">
              <w:rPr>
                <w:rFonts w:ascii="Calibri" w:hAnsi="Calibri" w:cs="Calibri"/>
                <w:lang w:eastAsia="x-none"/>
              </w:rPr>
              <w:t>Study of enhancements for beam management and corresponding RS(s) in DL and UL are needed further considering at least the following aspects, if supported:</w:t>
            </w:r>
          </w:p>
          <w:p w14:paraId="172A2965" w14:textId="77777777" w:rsidR="00DE7C00" w:rsidRPr="00DE7C00" w:rsidRDefault="00DE7C00" w:rsidP="00DE7C00">
            <w:pPr>
              <w:numPr>
                <w:ilvl w:val="1"/>
                <w:numId w:val="13"/>
              </w:numPr>
              <w:suppressAutoHyphens w:val="0"/>
              <w:autoSpaceDE/>
              <w:autoSpaceDN/>
              <w:snapToGrid/>
              <w:spacing w:after="0"/>
              <w:jc w:val="left"/>
              <w:textAlignment w:val="auto"/>
              <w:rPr>
                <w:rFonts w:ascii="Calibri" w:hAnsi="Calibri" w:cs="Calibri"/>
                <w:lang w:eastAsia="x-none"/>
              </w:rPr>
            </w:pPr>
            <w:r w:rsidRPr="00DE7C00">
              <w:rPr>
                <w:rFonts w:ascii="Calibri" w:hAnsi="Calibri" w:cs="Calibri"/>
                <w:lang w:eastAsia="x-none"/>
              </w:rPr>
              <w:t>beam switching time, beam alignment delay (including initial access), LBT failure, and potential coverage loss (if large SCS is supported)</w:t>
            </w:r>
          </w:p>
          <w:p w14:paraId="211C4DE0" w14:textId="63847826" w:rsidR="00DE7C00" w:rsidRPr="004C7D2B" w:rsidRDefault="00DE7C00" w:rsidP="00501EBC">
            <w:pPr>
              <w:numPr>
                <w:ilvl w:val="0"/>
                <w:numId w:val="13"/>
              </w:numPr>
              <w:suppressAutoHyphens w:val="0"/>
              <w:autoSpaceDE/>
              <w:autoSpaceDN/>
              <w:snapToGrid/>
              <w:spacing w:after="0"/>
              <w:jc w:val="left"/>
              <w:textAlignment w:val="auto"/>
              <w:rPr>
                <w:rFonts w:ascii="Calibri" w:hAnsi="Calibri" w:cs="Calibri"/>
                <w:lang w:eastAsia="x-none"/>
              </w:rPr>
            </w:pPr>
            <w:r w:rsidRPr="00DE7C00">
              <w:rPr>
                <w:rFonts w:ascii="Calibri" w:hAnsi="Calibri" w:cs="Calibri"/>
                <w:lang w:eastAsia="x-none"/>
              </w:rPr>
              <w:t>Study of beam switching gap handling for signals/channels (e.g. CSI-RS, PDSCH, SRS, PUSCH) for higher subcarriers spacing, if supported</w:t>
            </w:r>
          </w:p>
        </w:tc>
      </w:tr>
    </w:tbl>
    <w:p w14:paraId="69A2E8C4" w14:textId="77777777" w:rsidR="0093451F" w:rsidRDefault="0093451F" w:rsidP="00951860">
      <w:pPr>
        <w:rPr>
          <w:rFonts w:eastAsia="游明朝"/>
          <w:lang w:eastAsia="ja-JP"/>
        </w:rPr>
      </w:pPr>
    </w:p>
    <w:p w14:paraId="04845D84" w14:textId="117B9DB7" w:rsidR="00441E83" w:rsidRDefault="001037A3" w:rsidP="00951860">
      <w:pPr>
        <w:rPr>
          <w:rFonts w:eastAsia="游明朝"/>
          <w:lang w:eastAsia="ja-JP"/>
        </w:rPr>
      </w:pPr>
      <w:r>
        <w:rPr>
          <w:rFonts w:eastAsia="游明朝"/>
          <w:lang w:eastAsia="ja-JP"/>
        </w:rPr>
        <w:t xml:space="preserve">For the operation above 52.6 GHz, </w:t>
      </w:r>
      <w:r w:rsidR="003355E3">
        <w:rPr>
          <w:rFonts w:eastAsia="游明朝"/>
          <w:lang w:eastAsia="ja-JP"/>
        </w:rPr>
        <w:t xml:space="preserve">the use of </w:t>
      </w:r>
      <w:r>
        <w:rPr>
          <w:rFonts w:eastAsia="游明朝"/>
          <w:lang w:eastAsia="ja-JP"/>
        </w:rPr>
        <w:t>narrower beam</w:t>
      </w:r>
      <w:r w:rsidR="003355E3">
        <w:rPr>
          <w:rFonts w:eastAsia="游明朝"/>
          <w:lang w:eastAsia="ja-JP"/>
        </w:rPr>
        <w:t>s,</w:t>
      </w:r>
      <w:r>
        <w:rPr>
          <w:rFonts w:eastAsia="游明朝"/>
          <w:lang w:eastAsia="ja-JP"/>
        </w:rPr>
        <w:t xml:space="preserve"> </w:t>
      </w:r>
      <w:r w:rsidR="00951860">
        <w:rPr>
          <w:rFonts w:eastAsia="游明朝"/>
          <w:lang w:eastAsia="ja-JP"/>
        </w:rPr>
        <w:t>even during initial access</w:t>
      </w:r>
      <w:r w:rsidR="003355E3">
        <w:rPr>
          <w:rFonts w:eastAsia="游明朝"/>
          <w:lang w:eastAsia="ja-JP"/>
        </w:rPr>
        <w:t>,</w:t>
      </w:r>
      <w:r w:rsidR="00951860">
        <w:rPr>
          <w:rFonts w:eastAsia="游明朝"/>
          <w:lang w:eastAsia="ja-JP"/>
        </w:rPr>
        <w:t xml:space="preserve"> </w:t>
      </w:r>
      <w:r>
        <w:rPr>
          <w:rFonts w:eastAsia="游明朝"/>
          <w:lang w:eastAsia="ja-JP"/>
        </w:rPr>
        <w:t xml:space="preserve">would be </w:t>
      </w:r>
      <w:r w:rsidR="00951860">
        <w:rPr>
          <w:rFonts w:eastAsia="游明朝"/>
          <w:lang w:eastAsia="ja-JP"/>
        </w:rPr>
        <w:t>beneficial in order to overcome extreme</w:t>
      </w:r>
      <w:r w:rsidR="006F39F0">
        <w:rPr>
          <w:rFonts w:eastAsia="游明朝"/>
          <w:lang w:eastAsia="ja-JP"/>
        </w:rPr>
        <w:t>ly</w:t>
      </w:r>
      <w:r w:rsidR="00951860">
        <w:rPr>
          <w:rFonts w:eastAsia="游明朝"/>
          <w:lang w:eastAsia="ja-JP"/>
        </w:rPr>
        <w:t xml:space="preserve"> high propagation loss. However, </w:t>
      </w:r>
      <w:r w:rsidR="006F39F0">
        <w:rPr>
          <w:rFonts w:eastAsia="游明朝"/>
          <w:lang w:eastAsia="ja-JP"/>
        </w:rPr>
        <w:t xml:space="preserve">the connection </w:t>
      </w:r>
      <w:r w:rsidR="000354D3">
        <w:rPr>
          <w:rFonts w:eastAsia="游明朝"/>
          <w:lang w:eastAsia="ja-JP"/>
        </w:rPr>
        <w:t xml:space="preserve">tends to be lost when using </w:t>
      </w:r>
      <w:r w:rsidR="00951860">
        <w:rPr>
          <w:rFonts w:eastAsia="游明朝"/>
          <w:lang w:eastAsia="ja-JP"/>
        </w:rPr>
        <w:t xml:space="preserve">SSB </w:t>
      </w:r>
      <w:r w:rsidR="000354D3">
        <w:rPr>
          <w:rFonts w:eastAsia="游明朝"/>
          <w:lang w:eastAsia="ja-JP"/>
        </w:rPr>
        <w:t xml:space="preserve">with </w:t>
      </w:r>
      <w:r w:rsidR="00951860">
        <w:rPr>
          <w:rFonts w:eastAsia="游明朝"/>
          <w:lang w:eastAsia="ja-JP"/>
        </w:rPr>
        <w:t>narrower beam</w:t>
      </w:r>
      <w:r w:rsidR="006F39F0">
        <w:rPr>
          <w:rFonts w:eastAsia="游明朝"/>
          <w:lang w:eastAsia="ja-JP"/>
        </w:rPr>
        <w:t>s</w:t>
      </w:r>
      <w:r w:rsidR="000354D3">
        <w:rPr>
          <w:rFonts w:eastAsia="游明朝"/>
          <w:lang w:eastAsia="ja-JP"/>
        </w:rPr>
        <w:t>,</w:t>
      </w:r>
      <w:r w:rsidR="00951860">
        <w:rPr>
          <w:rFonts w:eastAsia="游明朝"/>
          <w:lang w:eastAsia="ja-JP"/>
        </w:rPr>
        <w:t xml:space="preserve"> due to the change of environment or movement of the UE. In addition, enhancement to more than 64 SSB</w:t>
      </w:r>
      <w:r w:rsidR="000354D3">
        <w:rPr>
          <w:rFonts w:eastAsia="游明朝"/>
          <w:lang w:eastAsia="ja-JP"/>
        </w:rPr>
        <w:t>s</w:t>
      </w:r>
      <w:r w:rsidR="00951860">
        <w:rPr>
          <w:rFonts w:eastAsia="游明朝"/>
          <w:lang w:eastAsia="ja-JP"/>
        </w:rPr>
        <w:t xml:space="preserve"> would </w:t>
      </w:r>
      <w:r w:rsidR="000354D3">
        <w:rPr>
          <w:rFonts w:eastAsia="游明朝"/>
          <w:lang w:eastAsia="ja-JP"/>
        </w:rPr>
        <w:t xml:space="preserve">have a </w:t>
      </w:r>
      <w:r w:rsidR="00951860">
        <w:rPr>
          <w:rFonts w:eastAsia="游明朝"/>
          <w:lang w:eastAsia="ja-JP"/>
        </w:rPr>
        <w:t>large specification impact.</w:t>
      </w:r>
    </w:p>
    <w:p w14:paraId="685AF49D" w14:textId="47B66438" w:rsidR="004C7D2B" w:rsidRDefault="00441E83" w:rsidP="00441E83">
      <w:pPr>
        <w:rPr>
          <w:rFonts w:eastAsia="游明朝"/>
          <w:lang w:eastAsia="ja-JP"/>
        </w:rPr>
      </w:pPr>
      <w:r>
        <w:rPr>
          <w:rFonts w:eastAsia="游明朝"/>
          <w:lang w:eastAsia="ja-JP"/>
        </w:rPr>
        <w:t>Even in legacy NR, narrower beam</w:t>
      </w:r>
      <w:r w:rsidR="000E2F6E">
        <w:rPr>
          <w:rFonts w:eastAsia="游明朝"/>
          <w:lang w:eastAsia="ja-JP"/>
        </w:rPr>
        <w:t>s</w:t>
      </w:r>
      <w:r>
        <w:rPr>
          <w:rFonts w:eastAsia="游明朝"/>
          <w:lang w:eastAsia="ja-JP"/>
        </w:rPr>
        <w:t xml:space="preserve"> </w:t>
      </w:r>
      <w:r w:rsidR="000E2F6E">
        <w:rPr>
          <w:rFonts w:eastAsia="游明朝"/>
          <w:lang w:eastAsia="ja-JP"/>
        </w:rPr>
        <w:t xml:space="preserve">are </w:t>
      </w:r>
      <w:r>
        <w:rPr>
          <w:rFonts w:eastAsia="游明朝"/>
          <w:lang w:eastAsia="ja-JP"/>
        </w:rPr>
        <w:t>provided by CSI-RS. Therefore, narrower beam</w:t>
      </w:r>
      <w:r w:rsidR="000E2F6E">
        <w:rPr>
          <w:rFonts w:eastAsia="游明朝"/>
          <w:lang w:eastAsia="ja-JP"/>
        </w:rPr>
        <w:t>s</w:t>
      </w:r>
      <w:r>
        <w:rPr>
          <w:rFonts w:eastAsia="游明朝"/>
          <w:lang w:eastAsia="ja-JP"/>
        </w:rPr>
        <w:t xml:space="preserve"> using CSI-RS during initial access could be considered. Figure </w:t>
      </w:r>
      <w:r w:rsidR="001A4396">
        <w:rPr>
          <w:rFonts w:eastAsia="游明朝"/>
          <w:lang w:eastAsia="ja-JP"/>
        </w:rPr>
        <w:t xml:space="preserve">2 </w:t>
      </w:r>
      <w:r>
        <w:rPr>
          <w:rFonts w:eastAsia="游明朝"/>
          <w:lang w:eastAsia="ja-JP"/>
        </w:rPr>
        <w:t xml:space="preserve">shows beam refinement using CSI-RS. At first, </w:t>
      </w:r>
      <w:r w:rsidR="000E2F6E">
        <w:rPr>
          <w:rFonts w:eastAsia="游明朝"/>
          <w:lang w:eastAsia="ja-JP"/>
        </w:rPr>
        <w:t xml:space="preserve">the </w:t>
      </w:r>
      <w:r>
        <w:rPr>
          <w:rFonts w:eastAsia="游明朝"/>
          <w:lang w:eastAsia="ja-JP"/>
        </w:rPr>
        <w:t>CSI-RS configuration is broadcast via SIB1.</w:t>
      </w:r>
      <w:r w:rsidR="00D6676D">
        <w:rPr>
          <w:rFonts w:eastAsia="游明朝"/>
          <w:lang w:eastAsia="ja-JP"/>
        </w:rPr>
        <w:t xml:space="preserve"> From the CSI-RS configuration, </w:t>
      </w:r>
      <w:r w:rsidR="000E2F6E">
        <w:rPr>
          <w:rFonts w:eastAsia="游明朝"/>
          <w:lang w:eastAsia="ja-JP"/>
        </w:rPr>
        <w:t xml:space="preserve">the </w:t>
      </w:r>
      <w:r w:rsidR="00D6676D">
        <w:rPr>
          <w:rFonts w:eastAsia="游明朝"/>
          <w:lang w:eastAsia="ja-JP"/>
        </w:rPr>
        <w:t xml:space="preserve">UE measures the best narrower beam among </w:t>
      </w:r>
      <w:r w:rsidR="000E2F6E">
        <w:rPr>
          <w:rFonts w:eastAsia="游明朝"/>
          <w:lang w:eastAsia="ja-JP"/>
        </w:rPr>
        <w:t xml:space="preserve">the </w:t>
      </w:r>
      <w:r w:rsidR="00D6676D">
        <w:rPr>
          <w:rFonts w:eastAsia="游明朝"/>
          <w:lang w:eastAsia="ja-JP"/>
        </w:rPr>
        <w:t xml:space="preserve">CSI-RS set that is </w:t>
      </w:r>
      <w:proofErr w:type="spellStart"/>
      <w:r w:rsidR="00D6676D">
        <w:rPr>
          <w:rFonts w:eastAsia="游明朝"/>
          <w:lang w:eastAsia="ja-JP"/>
        </w:rPr>
        <w:t>QCLed</w:t>
      </w:r>
      <w:proofErr w:type="spellEnd"/>
      <w:r w:rsidR="00D6676D">
        <w:rPr>
          <w:rFonts w:eastAsia="游明朝"/>
          <w:lang w:eastAsia="ja-JP"/>
        </w:rPr>
        <w:t xml:space="preserve"> with the best SSB. Finally, </w:t>
      </w:r>
      <w:r w:rsidR="00784F50">
        <w:rPr>
          <w:rFonts w:eastAsia="游明朝"/>
          <w:lang w:eastAsia="ja-JP"/>
        </w:rPr>
        <w:t xml:space="preserve">the </w:t>
      </w:r>
      <w:r w:rsidR="00D6676D">
        <w:rPr>
          <w:rFonts w:eastAsia="游明朝"/>
          <w:lang w:eastAsia="ja-JP"/>
        </w:rPr>
        <w:t xml:space="preserve">UE can report the best CSI-RS information in Msg3. From Msg4 transmission, </w:t>
      </w:r>
      <w:r w:rsidR="00784F50">
        <w:rPr>
          <w:rFonts w:eastAsia="游明朝"/>
          <w:lang w:eastAsia="ja-JP"/>
        </w:rPr>
        <w:t xml:space="preserve">the </w:t>
      </w:r>
      <w:r w:rsidR="00D6676D">
        <w:rPr>
          <w:rFonts w:eastAsia="游明朝"/>
          <w:lang w:eastAsia="ja-JP"/>
        </w:rPr>
        <w:t>gNB can use the reported narrower beam to the UE. This would contribute to early and fine beam alignment.</w:t>
      </w:r>
    </w:p>
    <w:p w14:paraId="15928121" w14:textId="1B043C1C" w:rsidR="004C7D2B" w:rsidRDefault="0023653F" w:rsidP="004C7D2B">
      <w:pPr>
        <w:pStyle w:val="a5"/>
        <w:rPr>
          <w:b w:val="0"/>
          <w:bCs w:val="0"/>
        </w:rPr>
      </w:pPr>
      <w:r>
        <w:lastRenderedPageBreak/>
        <w:pict w14:anchorId="4E12D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177.6pt">
            <v:imagedata r:id="rId11" o:title=""/>
          </v:shape>
        </w:pict>
      </w:r>
    </w:p>
    <w:p w14:paraId="144D0081" w14:textId="76F8B7A6" w:rsidR="004C7D2B" w:rsidRPr="00BF2434" w:rsidRDefault="00BF2434" w:rsidP="00BF2434">
      <w:pPr>
        <w:jc w:val="center"/>
        <w:rPr>
          <w:rFonts w:eastAsia="游明朝"/>
          <w:lang w:eastAsia="ja-JP"/>
        </w:rPr>
      </w:pPr>
      <w:r>
        <w:rPr>
          <w:rFonts w:eastAsia="游明朝" w:hint="eastAsia"/>
          <w:lang w:eastAsia="ja-JP"/>
        </w:rPr>
        <w:t>F</w:t>
      </w:r>
      <w:r>
        <w:rPr>
          <w:rFonts w:eastAsia="游明朝"/>
          <w:lang w:eastAsia="ja-JP"/>
        </w:rPr>
        <w:t xml:space="preserve">igure 2. </w:t>
      </w:r>
      <w:r w:rsidR="001A4396">
        <w:rPr>
          <w:rFonts w:eastAsia="游明朝"/>
          <w:lang w:eastAsia="ja-JP"/>
        </w:rPr>
        <w:t>Beam refinement using CSI-RS</w:t>
      </w:r>
    </w:p>
    <w:p w14:paraId="613C667A" w14:textId="6870554A" w:rsidR="001D0AA0" w:rsidRPr="00C02B4F" w:rsidRDefault="00DF247B" w:rsidP="001D0AA0">
      <w:pPr>
        <w:rPr>
          <w:rFonts w:eastAsia="游明朝"/>
          <w:b/>
          <w:bCs/>
          <w:lang w:eastAsia="ja-JP"/>
        </w:rPr>
      </w:pPr>
      <w:r w:rsidRPr="00C02B4F">
        <w:rPr>
          <w:rFonts w:eastAsia="游明朝"/>
          <w:b/>
          <w:bCs/>
          <w:lang w:eastAsia="ja-JP"/>
        </w:rPr>
        <w:t xml:space="preserve">Proposal </w:t>
      </w:r>
      <w:r w:rsidR="00B21BE9">
        <w:rPr>
          <w:rFonts w:eastAsia="游明朝"/>
          <w:b/>
          <w:bCs/>
          <w:lang w:eastAsia="ja-JP"/>
        </w:rPr>
        <w:t>5</w:t>
      </w:r>
      <w:r w:rsidRPr="00C02B4F">
        <w:rPr>
          <w:rFonts w:eastAsia="游明朝"/>
          <w:b/>
          <w:bCs/>
          <w:lang w:eastAsia="ja-JP"/>
        </w:rPr>
        <w:t xml:space="preserve">: </w:t>
      </w:r>
      <w:r w:rsidR="00BA092B">
        <w:rPr>
          <w:rFonts w:eastAsia="游明朝"/>
          <w:b/>
          <w:bCs/>
          <w:lang w:eastAsia="ja-JP"/>
        </w:rPr>
        <w:t>B</w:t>
      </w:r>
      <w:r w:rsidRPr="00C02B4F">
        <w:rPr>
          <w:rFonts w:eastAsia="游明朝"/>
          <w:b/>
          <w:bCs/>
          <w:lang w:eastAsia="ja-JP"/>
        </w:rPr>
        <w:t>eam alignment during initial access procedure should be considered for NR above 52.6 GHz</w:t>
      </w:r>
    </w:p>
    <w:p w14:paraId="5FF53BDC" w14:textId="77777777" w:rsidR="00DF247B" w:rsidRPr="00C02B4F" w:rsidRDefault="00DF247B" w:rsidP="004C7D2B">
      <w:pPr>
        <w:rPr>
          <w:rFonts w:eastAsia="游明朝"/>
          <w:lang w:eastAsia="ja-JP"/>
        </w:rPr>
      </w:pPr>
    </w:p>
    <w:p w14:paraId="2B6BD3A8" w14:textId="77777777" w:rsidR="00C81B5A" w:rsidRDefault="0094751F">
      <w:pPr>
        <w:pStyle w:val="1"/>
        <w:rPr>
          <w:lang w:eastAsia="zh-CN"/>
        </w:rPr>
      </w:pPr>
      <w:r>
        <w:rPr>
          <w:lang w:eastAsia="zh-CN"/>
        </w:rPr>
        <w:t>Conclusions</w:t>
      </w:r>
    </w:p>
    <w:p w14:paraId="62A3A5A0" w14:textId="77777777" w:rsidR="00C81B5A" w:rsidRDefault="0094751F">
      <w:r>
        <w:rPr>
          <w:rFonts w:eastAsia="Times New Roman"/>
          <w:color w:val="000000"/>
        </w:rPr>
        <w:t xml:space="preserve">In this contribution, </w:t>
      </w:r>
      <w:r>
        <w:rPr>
          <w:color w:val="000000"/>
          <w:lang w:eastAsia="zh-CN"/>
        </w:rPr>
        <w:t>b</w:t>
      </w:r>
      <w:r>
        <w:rPr>
          <w:lang w:eastAsia="zh-CN"/>
        </w:rPr>
        <w:t>ased on the above discussion, we have the following proposals:</w:t>
      </w:r>
    </w:p>
    <w:p w14:paraId="32B17DBE" w14:textId="77777777" w:rsidR="00381BAF" w:rsidRDefault="00381BAF" w:rsidP="00381BAF">
      <w:pPr>
        <w:rPr>
          <w:rFonts w:eastAsia="ＭＳ 明朝"/>
          <w:b/>
          <w:bCs/>
          <w:color w:val="000000"/>
          <w:lang w:eastAsia="ja-JP"/>
        </w:rPr>
      </w:pPr>
      <w:r>
        <w:rPr>
          <w:rFonts w:eastAsia="ＭＳ 明朝"/>
          <w:b/>
          <w:bCs/>
          <w:color w:val="000000"/>
          <w:lang w:eastAsia="ja-JP"/>
        </w:rPr>
        <w:t>Proposal 1: NR devices support that transmission is occupied for 2.16 GHz bandwidth in 60GHz unlicensed spectrum.</w:t>
      </w:r>
    </w:p>
    <w:p w14:paraId="34BEC1EF" w14:textId="77777777" w:rsidR="00381BAF" w:rsidRPr="00F06801" w:rsidRDefault="00381BAF" w:rsidP="00381BAF">
      <w:pPr>
        <w:rPr>
          <w:rFonts w:eastAsia="ＭＳ 明朝"/>
          <w:b/>
          <w:color w:val="000000"/>
          <w:lang w:eastAsia="ja-JP"/>
        </w:rPr>
      </w:pPr>
      <w:r>
        <w:rPr>
          <w:rFonts w:eastAsia="ＭＳ 明朝"/>
          <w:b/>
          <w:color w:val="000000"/>
          <w:lang w:eastAsia="ja-JP"/>
        </w:rPr>
        <w:t>Observation 1: CA (either inter-band or intra-band) can be supported, but we prefer not to rely on CA with maximum bandwidth 400MHz per carrier to achieve 2.16GHz bandwidth.</w:t>
      </w:r>
    </w:p>
    <w:p w14:paraId="6F365A40" w14:textId="77777777" w:rsidR="00381BAF" w:rsidRDefault="00381BAF" w:rsidP="00381BAF">
      <w:pPr>
        <w:rPr>
          <w:rFonts w:eastAsia="ＭＳ 明朝"/>
          <w:b/>
          <w:bCs/>
          <w:color w:val="000000"/>
          <w:lang w:eastAsia="ja-JP"/>
        </w:rPr>
      </w:pPr>
      <w:r>
        <w:rPr>
          <w:rFonts w:eastAsia="ＭＳ 明朝"/>
          <w:b/>
          <w:bCs/>
          <w:color w:val="000000"/>
          <w:lang w:eastAsia="ja-JP"/>
        </w:rPr>
        <w:t xml:space="preserve">Observation 2: To support 2.16 GHz bandwidth by single carrier, 960 kHz SCS is required. </w:t>
      </w:r>
    </w:p>
    <w:p w14:paraId="636329C1" w14:textId="77777777" w:rsidR="00381BAF" w:rsidRDefault="00381BAF" w:rsidP="00381BAF">
      <w:r>
        <w:rPr>
          <w:rFonts w:eastAsia="ＭＳ 明朝"/>
          <w:b/>
          <w:bCs/>
          <w:color w:val="000000"/>
          <w:lang w:eastAsia="ja-JP"/>
        </w:rPr>
        <w:t xml:space="preserve">Observation 3: Wider SCS has robustness to frequency offset and phase </w:t>
      </w:r>
      <w:proofErr w:type="gramStart"/>
      <w:r>
        <w:rPr>
          <w:rFonts w:eastAsia="ＭＳ 明朝"/>
          <w:b/>
          <w:bCs/>
          <w:color w:val="000000"/>
          <w:lang w:eastAsia="ja-JP"/>
        </w:rPr>
        <w:t>noise, but</w:t>
      </w:r>
      <w:proofErr w:type="gramEnd"/>
      <w:r>
        <w:rPr>
          <w:rFonts w:eastAsia="ＭＳ 明朝"/>
          <w:b/>
          <w:bCs/>
          <w:color w:val="000000"/>
          <w:lang w:eastAsia="ja-JP"/>
        </w:rPr>
        <w:t xml:space="preserve"> impacts on CP duration. </w:t>
      </w:r>
    </w:p>
    <w:p w14:paraId="0215404F" w14:textId="77777777" w:rsidR="00381BAF" w:rsidRPr="00C02B4F" w:rsidRDefault="00381BAF" w:rsidP="00381BAF">
      <w:pPr>
        <w:rPr>
          <w:rFonts w:eastAsia="ＭＳ 明朝"/>
          <w:b/>
          <w:bCs/>
          <w:color w:val="000000"/>
          <w:lang w:eastAsia="ja-JP"/>
        </w:rPr>
      </w:pPr>
      <w:r w:rsidRPr="00C02B4F">
        <w:rPr>
          <w:rFonts w:eastAsia="ＭＳ 明朝"/>
          <w:b/>
          <w:bCs/>
          <w:color w:val="000000"/>
          <w:lang w:eastAsia="ja-JP"/>
        </w:rPr>
        <w:t>Proposal 2: Support up to 960 kHz SCS, in order to support 2.16 GHz bandwidth by single carrier.</w:t>
      </w:r>
    </w:p>
    <w:p w14:paraId="2874C887" w14:textId="77777777" w:rsidR="00381BAF" w:rsidRPr="00501EBC" w:rsidRDefault="00381BAF" w:rsidP="00381BAF">
      <w:pPr>
        <w:rPr>
          <w:rFonts w:eastAsia="游明朝"/>
          <w:b/>
          <w:bCs/>
          <w:lang w:eastAsia="ja-JP"/>
        </w:rPr>
      </w:pPr>
      <w:r w:rsidRPr="00501EBC">
        <w:rPr>
          <w:rFonts w:eastAsia="游明朝"/>
          <w:b/>
          <w:bCs/>
          <w:lang w:eastAsia="ja-JP"/>
        </w:rPr>
        <w:t xml:space="preserve">Observation </w:t>
      </w:r>
      <w:r>
        <w:rPr>
          <w:rFonts w:eastAsia="游明朝"/>
          <w:b/>
          <w:bCs/>
          <w:lang w:eastAsia="ja-JP"/>
        </w:rPr>
        <w:t>4</w:t>
      </w:r>
      <w:r w:rsidRPr="00501EBC">
        <w:rPr>
          <w:rFonts w:eastAsia="游明朝"/>
          <w:b/>
          <w:bCs/>
          <w:lang w:eastAsia="ja-JP"/>
        </w:rPr>
        <w:t>: The increase of SCS causes frequent PDCCH monitoring, which is not desirable for the UE power consumption.</w:t>
      </w:r>
    </w:p>
    <w:p w14:paraId="6B17A169" w14:textId="77777777" w:rsidR="00381BAF" w:rsidRPr="00501EBC" w:rsidRDefault="00381BAF" w:rsidP="00381BAF">
      <w:pPr>
        <w:rPr>
          <w:rFonts w:eastAsia="游明朝"/>
          <w:b/>
          <w:bCs/>
          <w:lang w:eastAsia="ja-JP"/>
        </w:rPr>
      </w:pPr>
      <w:r w:rsidRPr="00501EBC">
        <w:rPr>
          <w:rFonts w:eastAsia="游明朝"/>
          <w:b/>
          <w:bCs/>
          <w:lang w:eastAsia="ja-JP"/>
        </w:rPr>
        <w:t xml:space="preserve">Proposal </w:t>
      </w:r>
      <w:r>
        <w:rPr>
          <w:rFonts w:eastAsia="游明朝"/>
          <w:b/>
          <w:bCs/>
          <w:lang w:eastAsia="ja-JP"/>
        </w:rPr>
        <w:t>3</w:t>
      </w:r>
      <w:r w:rsidRPr="00501EBC">
        <w:rPr>
          <w:rFonts w:eastAsia="游明朝"/>
          <w:b/>
          <w:bCs/>
          <w:lang w:eastAsia="ja-JP"/>
        </w:rPr>
        <w:t>: Multi-PDSCH</w:t>
      </w:r>
      <w:r>
        <w:rPr>
          <w:rFonts w:eastAsia="游明朝"/>
          <w:b/>
          <w:bCs/>
          <w:lang w:eastAsia="ja-JP"/>
        </w:rPr>
        <w:t>/PUSCH</w:t>
      </w:r>
      <w:r w:rsidRPr="00501EBC">
        <w:rPr>
          <w:rFonts w:eastAsia="游明朝"/>
          <w:b/>
          <w:bCs/>
          <w:lang w:eastAsia="ja-JP"/>
        </w:rPr>
        <w:t xml:space="preserve"> scheduling by one DCI should be supported for NR above 52.6 GHz</w:t>
      </w:r>
      <w:r>
        <w:rPr>
          <w:rFonts w:eastAsia="游明朝"/>
          <w:b/>
          <w:bCs/>
          <w:lang w:eastAsia="ja-JP"/>
        </w:rPr>
        <w:t>.</w:t>
      </w:r>
    </w:p>
    <w:p w14:paraId="04982469" w14:textId="77777777" w:rsidR="00381BAF" w:rsidRPr="002316C8" w:rsidRDefault="00381BAF" w:rsidP="00381BAF">
      <w:pPr>
        <w:rPr>
          <w:rFonts w:eastAsia="游明朝"/>
          <w:b/>
          <w:bCs/>
          <w:lang w:eastAsia="ja-JP"/>
        </w:rPr>
      </w:pPr>
      <w:r w:rsidRPr="002316C8">
        <w:rPr>
          <w:rFonts w:eastAsia="游明朝"/>
          <w:b/>
          <w:bCs/>
          <w:lang w:eastAsia="ja-JP"/>
        </w:rPr>
        <w:t xml:space="preserve">Observation </w:t>
      </w:r>
      <w:r>
        <w:rPr>
          <w:rFonts w:eastAsia="游明朝"/>
          <w:b/>
          <w:bCs/>
          <w:lang w:eastAsia="ja-JP"/>
        </w:rPr>
        <w:t>5</w:t>
      </w:r>
      <w:r w:rsidRPr="002316C8">
        <w:rPr>
          <w:rFonts w:eastAsia="游明朝"/>
          <w:b/>
          <w:bCs/>
          <w:lang w:eastAsia="ja-JP"/>
        </w:rPr>
        <w:t>: Multi-PUSCH scheduling introduced in Rel-16 NR-U can be reused for NR above 52.6 GHz.</w:t>
      </w:r>
    </w:p>
    <w:p w14:paraId="74381C3F" w14:textId="77777777" w:rsidR="00381BAF" w:rsidRDefault="00381BAF" w:rsidP="00381BAF">
      <w:pPr>
        <w:rPr>
          <w:rFonts w:eastAsia="游明朝"/>
          <w:lang w:eastAsia="ja-JP"/>
        </w:rPr>
      </w:pPr>
      <w:r w:rsidRPr="002316C8">
        <w:rPr>
          <w:rFonts w:eastAsia="游明朝" w:hint="eastAsia"/>
          <w:b/>
          <w:bCs/>
          <w:lang w:eastAsia="ja-JP"/>
        </w:rPr>
        <w:t>P</w:t>
      </w:r>
      <w:r w:rsidRPr="002316C8">
        <w:rPr>
          <w:rFonts w:eastAsia="游明朝"/>
          <w:b/>
          <w:bCs/>
          <w:lang w:eastAsia="ja-JP"/>
        </w:rPr>
        <w:t xml:space="preserve">roposal </w:t>
      </w:r>
      <w:r>
        <w:rPr>
          <w:rFonts w:eastAsia="游明朝"/>
          <w:b/>
          <w:bCs/>
          <w:lang w:eastAsia="ja-JP"/>
        </w:rPr>
        <w:t>4</w:t>
      </w:r>
      <w:r w:rsidRPr="002316C8">
        <w:rPr>
          <w:rFonts w:eastAsia="游明朝"/>
          <w:b/>
          <w:bCs/>
          <w:lang w:eastAsia="ja-JP"/>
        </w:rPr>
        <w:t>:</w:t>
      </w:r>
      <w:r>
        <w:rPr>
          <w:rFonts w:eastAsia="游明朝"/>
          <w:b/>
          <w:bCs/>
          <w:lang w:eastAsia="ja-JP"/>
        </w:rPr>
        <w:t xml:space="preserve"> Sub-PRB based interlace design should be supported for 60 GHz unlicensed spectrum.</w:t>
      </w:r>
    </w:p>
    <w:p w14:paraId="2E5B71E5" w14:textId="77777777" w:rsidR="00381BAF" w:rsidRPr="00C02B4F" w:rsidRDefault="00381BAF" w:rsidP="00381BAF">
      <w:pPr>
        <w:rPr>
          <w:rFonts w:eastAsia="游明朝"/>
          <w:b/>
          <w:bCs/>
          <w:lang w:eastAsia="ja-JP"/>
        </w:rPr>
      </w:pPr>
      <w:r w:rsidRPr="00C02B4F">
        <w:rPr>
          <w:rFonts w:eastAsia="游明朝"/>
          <w:b/>
          <w:bCs/>
          <w:lang w:eastAsia="ja-JP"/>
        </w:rPr>
        <w:t xml:space="preserve">Proposal </w:t>
      </w:r>
      <w:r>
        <w:rPr>
          <w:rFonts w:eastAsia="游明朝"/>
          <w:b/>
          <w:bCs/>
          <w:lang w:eastAsia="ja-JP"/>
        </w:rPr>
        <w:t>5</w:t>
      </w:r>
      <w:r w:rsidRPr="00C02B4F">
        <w:rPr>
          <w:rFonts w:eastAsia="游明朝"/>
          <w:b/>
          <w:bCs/>
          <w:lang w:eastAsia="ja-JP"/>
        </w:rPr>
        <w:t xml:space="preserve">: </w:t>
      </w:r>
      <w:r>
        <w:rPr>
          <w:rFonts w:eastAsia="游明朝"/>
          <w:b/>
          <w:bCs/>
          <w:lang w:eastAsia="ja-JP"/>
        </w:rPr>
        <w:t>B</w:t>
      </w:r>
      <w:r w:rsidRPr="00C02B4F">
        <w:rPr>
          <w:rFonts w:eastAsia="游明朝"/>
          <w:b/>
          <w:bCs/>
          <w:lang w:eastAsia="ja-JP"/>
        </w:rPr>
        <w:t>eam alignment during initial access procedure should be considered for NR above 52.6 GHz</w:t>
      </w:r>
    </w:p>
    <w:p w14:paraId="3E2BB8C0" w14:textId="77777777" w:rsidR="00381BAF" w:rsidRPr="004835BE" w:rsidRDefault="00381BAF">
      <w:pPr>
        <w:rPr>
          <w:rFonts w:eastAsia="ＭＳ 明朝"/>
          <w:color w:val="000000"/>
          <w:lang w:eastAsia="ja-JP"/>
        </w:rPr>
      </w:pPr>
    </w:p>
    <w:p w14:paraId="480F5E0C" w14:textId="77777777" w:rsidR="00C81B5A" w:rsidRDefault="0094751F">
      <w:pPr>
        <w:pStyle w:val="1"/>
        <w:rPr>
          <w:lang w:eastAsia="zh-CN"/>
        </w:rPr>
      </w:pPr>
      <w:r>
        <w:rPr>
          <w:lang w:eastAsia="zh-CN"/>
        </w:rPr>
        <w:t>References</w:t>
      </w:r>
    </w:p>
    <w:p w14:paraId="1097D831" w14:textId="77777777" w:rsidR="00C81B5A" w:rsidRDefault="0094751F">
      <w:pPr>
        <w:pStyle w:val="Web"/>
        <w:numPr>
          <w:ilvl w:val="0"/>
          <w:numId w:val="8"/>
        </w:numPr>
        <w:spacing w:before="0" w:after="120"/>
        <w:rPr>
          <w:rFonts w:ascii="Times New Roman" w:hAnsi="Times New Roman" w:cs="Times New Roman"/>
          <w:sz w:val="22"/>
          <w:szCs w:val="22"/>
        </w:rPr>
      </w:pPr>
      <w:r>
        <w:rPr>
          <w:rFonts w:ascii="Times New Roman" w:hAnsi="Times New Roman" w:cs="Times New Roman"/>
          <w:sz w:val="22"/>
          <w:szCs w:val="22"/>
        </w:rPr>
        <w:t>RP-193259, “New SID: Study on supporting NR from 52.6GHz to 71 GHz,” TSG RAN Meeting #86, December 2019.</w:t>
      </w:r>
    </w:p>
    <w:p w14:paraId="2C4D7D82" w14:textId="77777777" w:rsidR="00C81B5A" w:rsidRPr="00CA2B25" w:rsidRDefault="0094751F">
      <w:pPr>
        <w:pStyle w:val="Web"/>
        <w:numPr>
          <w:ilvl w:val="0"/>
          <w:numId w:val="7"/>
        </w:numPr>
        <w:spacing w:before="0" w:after="120"/>
        <w:rPr>
          <w:rFonts w:ascii="Times New Roman" w:hAnsi="Times New Roman" w:cs="Times New Roman"/>
          <w:sz w:val="22"/>
          <w:szCs w:val="22"/>
        </w:rPr>
      </w:pPr>
      <w:r w:rsidRPr="00CA2B25">
        <w:rPr>
          <w:rFonts w:ascii="Times New Roman" w:hAnsi="Times New Roman" w:cs="Times New Roman"/>
          <w:sz w:val="22"/>
          <w:szCs w:val="22"/>
        </w:rPr>
        <w:t>TR 38.807 v16.0., “Study on requirements for NR beyond 52.6 GHz”</w:t>
      </w:r>
    </w:p>
    <w:p w14:paraId="33D4B66D" w14:textId="77777777" w:rsidR="00C81B5A" w:rsidRPr="00CA2B25" w:rsidRDefault="0094751F">
      <w:pPr>
        <w:pStyle w:val="Web"/>
        <w:numPr>
          <w:ilvl w:val="0"/>
          <w:numId w:val="7"/>
        </w:numPr>
        <w:spacing w:before="0" w:after="120"/>
        <w:rPr>
          <w:rFonts w:ascii="Times New Roman" w:hAnsi="Times New Roman" w:cs="Times New Roman"/>
          <w:sz w:val="22"/>
          <w:szCs w:val="22"/>
        </w:rPr>
      </w:pPr>
      <w:r w:rsidRPr="00CA2B25">
        <w:rPr>
          <w:rFonts w:ascii="Times New Roman" w:hAnsi="Times New Roman" w:cs="Times New Roman"/>
          <w:sz w:val="22"/>
          <w:szCs w:val="22"/>
        </w:rPr>
        <w:t>TR 38.901 v14.3.0, “Study on channel model for frequencies from 0.5 to 100 GHz”</w:t>
      </w:r>
    </w:p>
    <w:p w14:paraId="0267310B" w14:textId="77777777" w:rsidR="00C81B5A" w:rsidRPr="00CA2B25" w:rsidRDefault="00C81B5A">
      <w:pPr>
        <w:rPr>
          <w:lang w:eastAsia="zh-CN"/>
        </w:rPr>
      </w:pPr>
    </w:p>
    <w:sectPr w:rsidR="00C81B5A" w:rsidRPr="00CA2B25">
      <w:pgSz w:w="11909" w:h="16834"/>
      <w:pgMar w:top="1440" w:right="1152" w:bottom="1440" w:left="1440" w:header="720" w:footer="720"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94C973F" w16cex:dateUtc="2020-10-10T02:08:19.23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86F62" w14:textId="77777777" w:rsidR="0048550C" w:rsidRDefault="0048550C">
      <w:pPr>
        <w:spacing w:after="0"/>
      </w:pPr>
      <w:r>
        <w:separator/>
      </w:r>
    </w:p>
  </w:endnote>
  <w:endnote w:type="continuationSeparator" w:id="0">
    <w:p w14:paraId="571CB2EE" w14:textId="77777777" w:rsidR="0048550C" w:rsidRDefault="004855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07642" w14:textId="77777777" w:rsidR="0048550C" w:rsidRDefault="0048550C">
      <w:pPr>
        <w:spacing w:after="0"/>
      </w:pPr>
      <w:r>
        <w:rPr>
          <w:color w:val="000000"/>
        </w:rPr>
        <w:separator/>
      </w:r>
    </w:p>
  </w:footnote>
  <w:footnote w:type="continuationSeparator" w:id="0">
    <w:p w14:paraId="11C607DE" w14:textId="77777777" w:rsidR="0048550C" w:rsidRDefault="004855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627B6"/>
    <w:multiLevelType w:val="multilevel"/>
    <w:tmpl w:val="412C8910"/>
    <w:styleLink w:val="LFO3"/>
    <w:lvl w:ilvl="0">
      <w:numFmt w:val="bullet"/>
      <w:pStyle w:val="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3F67C75"/>
    <w:multiLevelType w:val="multilevel"/>
    <w:tmpl w:val="EC6A3544"/>
    <w:styleLink w:val="LFO5"/>
    <w:lvl w:ilvl="0">
      <w:start w:val="1"/>
      <w:numFmt w:val="decimal"/>
      <w:pStyle w:val="StyleHeading1NMPHeading1H1h11h12h13h14h15h16appheadin"/>
      <w:lvlText w:val="%1"/>
      <w:lvlJc w:val="left"/>
      <w:pPr>
        <w:ind w:left="432" w:hanging="432"/>
      </w:pPr>
    </w:lvl>
    <w:lvl w:ilvl="1">
      <w:start w:val="1"/>
      <w:numFmt w:val="decimal"/>
      <w:lvlText w:val="%1.%2"/>
      <w:lvlJc w:val="left"/>
      <w:pPr>
        <w:ind w:left="576" w:hanging="576"/>
      </w:pPr>
      <w:rPr>
        <w:lang w:val="en-GB"/>
      </w:rPr>
    </w:lvl>
    <w:lvl w:ilvl="2">
      <w:start w:val="1"/>
      <w:numFmt w:val="decimal"/>
      <w:lvlText w:val="%1.%2.%3"/>
      <w:lvlJc w:val="left"/>
      <w:pPr>
        <w:ind w:left="2564" w:hanging="2564"/>
      </w:pPr>
    </w:lvl>
    <w:lvl w:ilvl="3">
      <w:start w:val="1"/>
      <w:numFmt w:val="decimal"/>
      <w:lvlText w:val="%1.%2.%3.%4"/>
      <w:lvlJc w:val="left"/>
      <w:pPr>
        <w:ind w:left="1290" w:hanging="129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61546E1"/>
    <w:multiLevelType w:val="multilevel"/>
    <w:tmpl w:val="EC120C70"/>
    <w:lvl w:ilvl="0">
      <w:start w:val="1"/>
      <w:numFmt w:val="decimal"/>
      <w:lvlText w:val="[%1]"/>
      <w:lvlJc w:val="left"/>
      <w:pPr>
        <w:ind w:left="357" w:hanging="357"/>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9739C1"/>
    <w:multiLevelType w:val="multilevel"/>
    <w:tmpl w:val="DE449416"/>
    <w:styleLink w:val="WWOutlineListStyle"/>
    <w:lvl w:ilvl="0">
      <w:start w:val="1"/>
      <w:numFmt w:val="decimal"/>
      <w:pStyle w:val="1"/>
      <w:lvlText w:val="%1"/>
      <w:lvlJc w:val="left"/>
      <w:pPr>
        <w:ind w:left="432" w:hanging="432"/>
      </w:pPr>
      <w:rPr>
        <w:i w:val="0"/>
        <w:lang w:val="en-US"/>
      </w:rPr>
    </w:lvl>
    <w:lvl w:ilvl="1">
      <w:start w:val="1"/>
      <w:numFmt w:val="decimal"/>
      <w:pStyle w:val="2"/>
      <w:lvlText w:val="%1.%2"/>
      <w:lvlJc w:val="left"/>
      <w:pPr>
        <w:ind w:left="576" w:hanging="576"/>
      </w:pPr>
      <w:rPr>
        <w:rFonts w:ascii="Times New Roman" w:hAnsi="Times New Roman"/>
        <w:b/>
        <w:i w:val="0"/>
        <w:sz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3F9F0457"/>
    <w:multiLevelType w:val="multilevel"/>
    <w:tmpl w:val="59FA5DE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DD6F3A"/>
    <w:multiLevelType w:val="multilevel"/>
    <w:tmpl w:val="83CE021A"/>
    <w:styleLink w:val="LFO1"/>
    <w:lvl w:ilvl="0">
      <w:start w:val="1"/>
      <w:numFmt w:val="decimal"/>
      <w:pStyle w:val="References"/>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510030FC"/>
    <w:multiLevelType w:val="multilevel"/>
    <w:tmpl w:val="BF107398"/>
    <w:styleLink w:val="LFO4"/>
    <w:lvl w:ilvl="0">
      <w:start w:val="1"/>
      <w:numFmt w:val="decimal"/>
      <w:pStyle w:val="references0"/>
      <w:lvlText w:val="[%1]"/>
      <w:lvlJc w:val="left"/>
      <w:pPr>
        <w:ind w:left="360" w:hanging="360"/>
      </w:pPr>
      <w:rPr>
        <w:rFonts w:ascii="Times New Roman" w:hAnsi="Times New Roman" w:cs="Times New Roman"/>
        <w:b w:val="0"/>
        <w:bCs w:val="0"/>
        <w:i w:val="0"/>
        <w:iCs w:val="0"/>
        <w:sz w:val="20"/>
        <w:szCs w:val="16"/>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C074A74"/>
    <w:multiLevelType w:val="hybridMultilevel"/>
    <w:tmpl w:val="5C074A74"/>
    <w:lvl w:ilvl="0" w:tplc="649C50B4">
      <w:start w:val="1"/>
      <w:numFmt w:val="bullet"/>
      <w:lvlText w:val=""/>
      <w:lvlJc w:val="left"/>
      <w:pPr>
        <w:ind w:left="720" w:hanging="360"/>
      </w:pPr>
      <w:rPr>
        <w:rFonts w:ascii="Symbol" w:hAnsi="Symbol" w:hint="default"/>
      </w:rPr>
    </w:lvl>
    <w:lvl w:ilvl="1" w:tplc="8758D01A">
      <w:start w:val="1"/>
      <w:numFmt w:val="bullet"/>
      <w:lvlText w:val="o"/>
      <w:lvlJc w:val="left"/>
      <w:pPr>
        <w:ind w:left="1440" w:hanging="360"/>
      </w:pPr>
      <w:rPr>
        <w:rFonts w:ascii="Courier New" w:hAnsi="Courier New" w:cs="Courier New" w:hint="default"/>
      </w:rPr>
    </w:lvl>
    <w:lvl w:ilvl="2" w:tplc="27E87690">
      <w:start w:val="1"/>
      <w:numFmt w:val="bullet"/>
      <w:lvlText w:val=""/>
      <w:lvlJc w:val="left"/>
      <w:pPr>
        <w:ind w:left="2160" w:hanging="360"/>
      </w:pPr>
      <w:rPr>
        <w:rFonts w:ascii="Wingdings" w:hAnsi="Wingdings" w:hint="default"/>
      </w:rPr>
    </w:lvl>
    <w:lvl w:ilvl="3" w:tplc="09B4A30C">
      <w:start w:val="1"/>
      <w:numFmt w:val="bullet"/>
      <w:lvlText w:val=""/>
      <w:lvlJc w:val="left"/>
      <w:pPr>
        <w:ind w:left="2880" w:hanging="360"/>
      </w:pPr>
      <w:rPr>
        <w:rFonts w:ascii="Symbol" w:hAnsi="Symbol" w:hint="default"/>
      </w:rPr>
    </w:lvl>
    <w:lvl w:ilvl="4" w:tplc="A2A046E8">
      <w:start w:val="1"/>
      <w:numFmt w:val="bullet"/>
      <w:lvlText w:val="o"/>
      <w:lvlJc w:val="left"/>
      <w:pPr>
        <w:ind w:left="3600" w:hanging="360"/>
      </w:pPr>
      <w:rPr>
        <w:rFonts w:ascii="Courier New" w:hAnsi="Courier New" w:cs="Courier New" w:hint="default"/>
      </w:rPr>
    </w:lvl>
    <w:lvl w:ilvl="5" w:tplc="B5146FB8">
      <w:start w:val="1"/>
      <w:numFmt w:val="bullet"/>
      <w:lvlText w:val=""/>
      <w:lvlJc w:val="left"/>
      <w:pPr>
        <w:ind w:left="4320" w:hanging="360"/>
      </w:pPr>
      <w:rPr>
        <w:rFonts w:ascii="Wingdings" w:hAnsi="Wingdings" w:hint="default"/>
      </w:rPr>
    </w:lvl>
    <w:lvl w:ilvl="6" w:tplc="61E8565C">
      <w:start w:val="1"/>
      <w:numFmt w:val="bullet"/>
      <w:lvlText w:val=""/>
      <w:lvlJc w:val="left"/>
      <w:pPr>
        <w:ind w:left="5040" w:hanging="360"/>
      </w:pPr>
      <w:rPr>
        <w:rFonts w:ascii="Symbol" w:hAnsi="Symbol" w:hint="default"/>
      </w:rPr>
    </w:lvl>
    <w:lvl w:ilvl="7" w:tplc="641AC992">
      <w:start w:val="1"/>
      <w:numFmt w:val="bullet"/>
      <w:lvlText w:val="o"/>
      <w:lvlJc w:val="left"/>
      <w:pPr>
        <w:ind w:left="5760" w:hanging="360"/>
      </w:pPr>
      <w:rPr>
        <w:rFonts w:ascii="Courier New" w:hAnsi="Courier New" w:cs="Courier New" w:hint="default"/>
      </w:rPr>
    </w:lvl>
    <w:lvl w:ilvl="8" w:tplc="7BDE5520">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0"/>
  </w:num>
  <w:num w:numId="4">
    <w:abstractNumId w:val="9"/>
  </w:num>
  <w:num w:numId="5">
    <w:abstractNumId w:val="1"/>
  </w:num>
  <w:num w:numId="6">
    <w:abstractNumId w:val="5"/>
  </w:num>
  <w:num w:numId="7">
    <w:abstractNumId w:val="2"/>
  </w:num>
  <w:num w:numId="8">
    <w:abstractNumId w:val="2"/>
    <w:lvlOverride w:ilvl="0">
      <w:startOverride w:val="1"/>
    </w:lvlOverride>
  </w:num>
  <w:num w:numId="9">
    <w:abstractNumId w:val="6"/>
  </w:num>
  <w:num w:numId="10">
    <w:abstractNumId w:val="11"/>
  </w:num>
  <w:num w:numId="11">
    <w:abstractNumId w:val="3"/>
  </w:num>
  <w:num w:numId="12">
    <w:abstractNumId w:val="7"/>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5"/>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3MLe0NDI3NDM2NzNS0lEKTi0uzszPAykwqQUAdSFVhiwAAAA="/>
  </w:docVars>
  <w:rsids>
    <w:rsidRoot w:val="00C81B5A"/>
    <w:rsid w:val="00001D34"/>
    <w:rsid w:val="000354D3"/>
    <w:rsid w:val="00044857"/>
    <w:rsid w:val="00056034"/>
    <w:rsid w:val="000650FE"/>
    <w:rsid w:val="00066C21"/>
    <w:rsid w:val="00096D77"/>
    <w:rsid w:val="000B2CA7"/>
    <w:rsid w:val="000B4ED7"/>
    <w:rsid w:val="000C11E5"/>
    <w:rsid w:val="000C3804"/>
    <w:rsid w:val="000E2F6E"/>
    <w:rsid w:val="000E4AB8"/>
    <w:rsid w:val="00102915"/>
    <w:rsid w:val="001037A3"/>
    <w:rsid w:val="00130ABA"/>
    <w:rsid w:val="0013269D"/>
    <w:rsid w:val="00135E24"/>
    <w:rsid w:val="00136E42"/>
    <w:rsid w:val="00172456"/>
    <w:rsid w:val="0017471F"/>
    <w:rsid w:val="001A4396"/>
    <w:rsid w:val="001C32D0"/>
    <w:rsid w:val="001D0AA0"/>
    <w:rsid w:val="001D3C7F"/>
    <w:rsid w:val="002114B9"/>
    <w:rsid w:val="002240F7"/>
    <w:rsid w:val="002305E0"/>
    <w:rsid w:val="0023653F"/>
    <w:rsid w:val="00236CB6"/>
    <w:rsid w:val="00262B76"/>
    <w:rsid w:val="002771C5"/>
    <w:rsid w:val="002A675A"/>
    <w:rsid w:val="002D6D96"/>
    <w:rsid w:val="002F7E5B"/>
    <w:rsid w:val="00306380"/>
    <w:rsid w:val="00311C65"/>
    <w:rsid w:val="003268A3"/>
    <w:rsid w:val="003333B8"/>
    <w:rsid w:val="003355E3"/>
    <w:rsid w:val="00337EAF"/>
    <w:rsid w:val="00351664"/>
    <w:rsid w:val="00363819"/>
    <w:rsid w:val="00370241"/>
    <w:rsid w:val="0037276F"/>
    <w:rsid w:val="00376FEE"/>
    <w:rsid w:val="00381BAF"/>
    <w:rsid w:val="003868D6"/>
    <w:rsid w:val="00392616"/>
    <w:rsid w:val="00392D5B"/>
    <w:rsid w:val="003C12A5"/>
    <w:rsid w:val="003F0920"/>
    <w:rsid w:val="004017C0"/>
    <w:rsid w:val="00403E3E"/>
    <w:rsid w:val="00405D8C"/>
    <w:rsid w:val="00416969"/>
    <w:rsid w:val="00441E83"/>
    <w:rsid w:val="0045049F"/>
    <w:rsid w:val="004775EA"/>
    <w:rsid w:val="004835BE"/>
    <w:rsid w:val="0048550C"/>
    <w:rsid w:val="004A4C2F"/>
    <w:rsid w:val="004B263D"/>
    <w:rsid w:val="004B63F4"/>
    <w:rsid w:val="004C0AC0"/>
    <w:rsid w:val="004C4BAC"/>
    <w:rsid w:val="004C7D2B"/>
    <w:rsid w:val="004D4A57"/>
    <w:rsid w:val="004D60F9"/>
    <w:rsid w:val="004E246A"/>
    <w:rsid w:val="004E70A5"/>
    <w:rsid w:val="004F63E8"/>
    <w:rsid w:val="00501EBC"/>
    <w:rsid w:val="00520500"/>
    <w:rsid w:val="00533B13"/>
    <w:rsid w:val="0054135C"/>
    <w:rsid w:val="0054447B"/>
    <w:rsid w:val="005554F1"/>
    <w:rsid w:val="00570D5F"/>
    <w:rsid w:val="00571902"/>
    <w:rsid w:val="00582CE1"/>
    <w:rsid w:val="005A4033"/>
    <w:rsid w:val="005B134F"/>
    <w:rsid w:val="005B6471"/>
    <w:rsid w:val="005C505C"/>
    <w:rsid w:val="005D2CD5"/>
    <w:rsid w:val="005E3F88"/>
    <w:rsid w:val="006020DA"/>
    <w:rsid w:val="00637185"/>
    <w:rsid w:val="006426F3"/>
    <w:rsid w:val="00647AB5"/>
    <w:rsid w:val="00676C80"/>
    <w:rsid w:val="0068515B"/>
    <w:rsid w:val="006870D1"/>
    <w:rsid w:val="00690DB2"/>
    <w:rsid w:val="006961BE"/>
    <w:rsid w:val="006B0B80"/>
    <w:rsid w:val="006E3609"/>
    <w:rsid w:val="006E5E87"/>
    <w:rsid w:val="006F39F0"/>
    <w:rsid w:val="0070118D"/>
    <w:rsid w:val="007333AD"/>
    <w:rsid w:val="00745A5E"/>
    <w:rsid w:val="00781BA8"/>
    <w:rsid w:val="00784F50"/>
    <w:rsid w:val="007A524D"/>
    <w:rsid w:val="007D5813"/>
    <w:rsid w:val="007E02DB"/>
    <w:rsid w:val="008020E7"/>
    <w:rsid w:val="00813E5C"/>
    <w:rsid w:val="00835250"/>
    <w:rsid w:val="00846685"/>
    <w:rsid w:val="008536B1"/>
    <w:rsid w:val="008A305E"/>
    <w:rsid w:val="008B4360"/>
    <w:rsid w:val="008E080E"/>
    <w:rsid w:val="008E60DB"/>
    <w:rsid w:val="008F300F"/>
    <w:rsid w:val="008F4163"/>
    <w:rsid w:val="00924B1F"/>
    <w:rsid w:val="0093451F"/>
    <w:rsid w:val="00941B15"/>
    <w:rsid w:val="0094751F"/>
    <w:rsid w:val="00947D05"/>
    <w:rsid w:val="00951860"/>
    <w:rsid w:val="00965436"/>
    <w:rsid w:val="00976EE2"/>
    <w:rsid w:val="009800CF"/>
    <w:rsid w:val="00990469"/>
    <w:rsid w:val="009904A1"/>
    <w:rsid w:val="00994332"/>
    <w:rsid w:val="00996DFC"/>
    <w:rsid w:val="009B1691"/>
    <w:rsid w:val="009C42B6"/>
    <w:rsid w:val="009E10BD"/>
    <w:rsid w:val="009E1A56"/>
    <w:rsid w:val="009F1E6E"/>
    <w:rsid w:val="009F4745"/>
    <w:rsid w:val="00A01202"/>
    <w:rsid w:val="00A07C6B"/>
    <w:rsid w:val="00A12269"/>
    <w:rsid w:val="00A135FD"/>
    <w:rsid w:val="00A22B56"/>
    <w:rsid w:val="00A27971"/>
    <w:rsid w:val="00A32A7C"/>
    <w:rsid w:val="00A5481F"/>
    <w:rsid w:val="00A92EAA"/>
    <w:rsid w:val="00AC4B45"/>
    <w:rsid w:val="00AC6E7F"/>
    <w:rsid w:val="00AD1A78"/>
    <w:rsid w:val="00AD6B00"/>
    <w:rsid w:val="00AE1959"/>
    <w:rsid w:val="00AE4EC5"/>
    <w:rsid w:val="00AF2691"/>
    <w:rsid w:val="00B11767"/>
    <w:rsid w:val="00B21BE9"/>
    <w:rsid w:val="00B272A1"/>
    <w:rsid w:val="00B438CF"/>
    <w:rsid w:val="00BA092B"/>
    <w:rsid w:val="00BA54E7"/>
    <w:rsid w:val="00BF2434"/>
    <w:rsid w:val="00C02B4F"/>
    <w:rsid w:val="00C206D1"/>
    <w:rsid w:val="00C2587A"/>
    <w:rsid w:val="00C26779"/>
    <w:rsid w:val="00C3226B"/>
    <w:rsid w:val="00C468DD"/>
    <w:rsid w:val="00C6671D"/>
    <w:rsid w:val="00C81B5A"/>
    <w:rsid w:val="00C96EFF"/>
    <w:rsid w:val="00CA2B25"/>
    <w:rsid w:val="00CB3E61"/>
    <w:rsid w:val="00CB6905"/>
    <w:rsid w:val="00CE08BC"/>
    <w:rsid w:val="00D14D29"/>
    <w:rsid w:val="00D20BE2"/>
    <w:rsid w:val="00D32123"/>
    <w:rsid w:val="00D526AE"/>
    <w:rsid w:val="00D56B0E"/>
    <w:rsid w:val="00D618AD"/>
    <w:rsid w:val="00D6327B"/>
    <w:rsid w:val="00D6676D"/>
    <w:rsid w:val="00D77F22"/>
    <w:rsid w:val="00D87BED"/>
    <w:rsid w:val="00D9760B"/>
    <w:rsid w:val="00DC63D5"/>
    <w:rsid w:val="00DD529F"/>
    <w:rsid w:val="00DE7C00"/>
    <w:rsid w:val="00DF247B"/>
    <w:rsid w:val="00E34771"/>
    <w:rsid w:val="00E47426"/>
    <w:rsid w:val="00E55DE3"/>
    <w:rsid w:val="00E56A71"/>
    <w:rsid w:val="00E57AEE"/>
    <w:rsid w:val="00E959F2"/>
    <w:rsid w:val="00EE2E6F"/>
    <w:rsid w:val="00F06801"/>
    <w:rsid w:val="00F0782B"/>
    <w:rsid w:val="00F12EDF"/>
    <w:rsid w:val="00F62780"/>
    <w:rsid w:val="00F63D43"/>
    <w:rsid w:val="00F75AD6"/>
    <w:rsid w:val="00F8590D"/>
    <w:rsid w:val="00FC5537"/>
    <w:rsid w:val="00FF02B8"/>
    <w:rsid w:val="00FF155A"/>
    <w:rsid w:val="077E0418"/>
    <w:rsid w:val="09A8B9A3"/>
    <w:rsid w:val="17599B1C"/>
    <w:rsid w:val="3B2738C9"/>
    <w:rsid w:val="3FB79CB8"/>
    <w:rsid w:val="40535490"/>
    <w:rsid w:val="525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92C53A"/>
  <w15:docId w15:val="{6F350024-EDC2-4D9C-B838-F51BE9DF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autoSpaceDE w:val="0"/>
      <w:snapToGrid w:val="0"/>
      <w:spacing w:after="120"/>
      <w:jc w:val="both"/>
    </w:pPr>
    <w:rPr>
      <w:sz w:val="22"/>
      <w:szCs w:val="22"/>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
    <w:name w:val="heading 2"/>
    <w:basedOn w:val="a"/>
    <w:next w:val="a"/>
    <w:uiPriority w:val="9"/>
    <w:unhideWhenUsed/>
    <w:qFormat/>
    <w:pPr>
      <w:keepNext/>
      <w:numPr>
        <w:ilvl w:val="1"/>
        <w:numId w:val="1"/>
      </w:numPr>
      <w:spacing w:before="120"/>
      <w:outlineLvl w:val="1"/>
    </w:pPr>
    <w:rPr>
      <w:b/>
      <w:bCs/>
      <w:sz w:val="24"/>
    </w:rPr>
  </w:style>
  <w:style w:type="paragraph" w:styleId="3">
    <w:name w:val="heading 3"/>
    <w:basedOn w:val="a"/>
    <w:next w:val="a"/>
    <w:uiPriority w:val="9"/>
    <w:semiHidden/>
    <w:unhideWhenUsed/>
    <w:qFormat/>
    <w:pPr>
      <w:keepNext/>
      <w:numPr>
        <w:ilvl w:val="2"/>
        <w:numId w:val="1"/>
      </w:numPr>
      <w:spacing w:before="120"/>
      <w:outlineLvl w:val="2"/>
    </w:pPr>
    <w:rPr>
      <w:b/>
    </w:rPr>
  </w:style>
  <w:style w:type="paragraph" w:styleId="4">
    <w:name w:val="heading 4"/>
    <w:basedOn w:val="a"/>
    <w:next w:val="a"/>
    <w:uiPriority w:val="9"/>
    <w:semiHidden/>
    <w:unhideWhenUsed/>
    <w:qFormat/>
    <w:pPr>
      <w:keepNext/>
      <w:numPr>
        <w:ilvl w:val="3"/>
        <w:numId w:val="1"/>
      </w:numPr>
      <w:spacing w:before="120"/>
      <w:outlineLvl w:val="3"/>
    </w:pPr>
    <w:rPr>
      <w:b/>
      <w:bCs/>
      <w:szCs w:val="28"/>
    </w:rPr>
  </w:style>
  <w:style w:type="paragraph" w:styleId="5">
    <w:name w:val="heading 5"/>
    <w:basedOn w:val="a"/>
    <w:next w:val="a"/>
    <w:uiPriority w:val="9"/>
    <w:semiHidden/>
    <w:unhideWhenUsed/>
    <w:qFormat/>
    <w:pPr>
      <w:keepNext/>
      <w:numPr>
        <w:ilvl w:val="4"/>
        <w:numId w:val="1"/>
      </w:numPr>
      <w:spacing w:before="120"/>
      <w:outlineLvl w:val="4"/>
    </w:pPr>
    <w:rPr>
      <w:b/>
      <w:bCs/>
      <w:i/>
      <w:iCs/>
      <w:szCs w:val="26"/>
    </w:rPr>
  </w:style>
  <w:style w:type="paragraph" w:styleId="6">
    <w:name w:val="heading 6"/>
    <w:basedOn w:val="a"/>
    <w:next w:val="a"/>
    <w:uiPriority w:val="9"/>
    <w:semiHidden/>
    <w:unhideWhenUsed/>
    <w:qFormat/>
    <w:pPr>
      <w:numPr>
        <w:ilvl w:val="5"/>
        <w:numId w:val="1"/>
      </w:numPr>
      <w:spacing w:before="240" w:after="60"/>
      <w:outlineLvl w:val="5"/>
    </w:pPr>
    <w:rPr>
      <w:b/>
      <w:bCs/>
    </w:rPr>
  </w:style>
  <w:style w:type="paragraph" w:styleId="7">
    <w:name w:val="heading 7"/>
    <w:basedOn w:val="a"/>
    <w:next w:val="a"/>
    <w:pPr>
      <w:numPr>
        <w:ilvl w:val="6"/>
        <w:numId w:val="1"/>
      </w:numPr>
      <w:spacing w:before="240" w:after="60"/>
      <w:outlineLvl w:val="6"/>
    </w:pPr>
    <w:rPr>
      <w:sz w:val="24"/>
      <w:szCs w:val="24"/>
    </w:rPr>
  </w:style>
  <w:style w:type="paragraph" w:styleId="8">
    <w:name w:val="heading 8"/>
    <w:basedOn w:val="a"/>
    <w:next w:val="a"/>
    <w:pPr>
      <w:numPr>
        <w:ilvl w:val="7"/>
        <w:numId w:val="1"/>
      </w:numPr>
      <w:spacing w:before="240" w:after="60"/>
      <w:outlineLvl w:val="7"/>
    </w:pPr>
    <w:rPr>
      <w:i/>
      <w:iCs/>
      <w:sz w:val="24"/>
      <w:szCs w:val="24"/>
    </w:rPr>
  </w:style>
  <w:style w:type="paragraph" w:styleId="9">
    <w:name w:val="heading 9"/>
    <w:basedOn w:val="a"/>
    <w:next w:val="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pPr>
      <w:numPr>
        <w:numId w:val="1"/>
      </w:numPr>
    </w:pPr>
  </w:style>
  <w:style w:type="paragraph" w:styleId="a3">
    <w:name w:val="Body Text"/>
    <w:basedOn w:val="a"/>
    <w:rPr>
      <w:sz w:val="20"/>
      <w:szCs w:val="20"/>
    </w:rPr>
  </w:style>
  <w:style w:type="character" w:styleId="a4">
    <w:name w:val="Hyperlink"/>
    <w:basedOn w:val="a0"/>
    <w:rPr>
      <w:color w:val="0000FF"/>
      <w:u w:val="single"/>
    </w:rPr>
  </w:style>
  <w:style w:type="paragraph" w:styleId="a5">
    <w:name w:val="caption"/>
    <w:basedOn w:val="a"/>
    <w:next w:val="a"/>
    <w:qFormat/>
    <w:pPr>
      <w:jc w:val="center"/>
    </w:pPr>
    <w:rPr>
      <w:b/>
      <w:bCs/>
      <w:sz w:val="20"/>
      <w:szCs w:val="20"/>
    </w:rPr>
  </w:style>
  <w:style w:type="paragraph" w:customStyle="1" w:styleId="Normal">
    <w:name w:val="Normal."/>
    <w:pPr>
      <w:widowControl w:val="0"/>
      <w:suppressAutoHyphens/>
      <w:spacing w:line="180" w:lineRule="atLeast"/>
    </w:pPr>
    <w:rPr>
      <w:rFonts w:eastAsia="Batang"/>
      <w:kern w:val="3"/>
      <w:sz w:val="18"/>
      <w:szCs w:val="18"/>
    </w:rPr>
  </w:style>
  <w:style w:type="paragraph" w:customStyle="1" w:styleId="EX">
    <w:name w:val="EX"/>
    <w:basedOn w:val="a"/>
    <w:pPr>
      <w:keepLines/>
      <w:autoSpaceDE/>
      <w:spacing w:after="180"/>
      <w:ind w:left="1702" w:hanging="1418"/>
      <w:jc w:val="left"/>
    </w:pPr>
    <w:rPr>
      <w:sz w:val="20"/>
      <w:szCs w:val="20"/>
      <w:lang w:val="en-GB"/>
    </w:rPr>
  </w:style>
  <w:style w:type="paragraph" w:styleId="a6">
    <w:name w:val="List Bullet"/>
    <w:basedOn w:val="a7"/>
    <w:pPr>
      <w:autoSpaceDE/>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rPr>
      <w:rFonts w:ascii="Tahoma" w:hAnsi="Tahoma" w:cs="Tahoma"/>
      <w:sz w:val="16"/>
      <w:szCs w:val="16"/>
    </w:rPr>
  </w:style>
  <w:style w:type="paragraph" w:customStyle="1" w:styleId="References">
    <w:name w:val="References"/>
    <w:basedOn w:val="a"/>
    <w:pPr>
      <w:numPr>
        <w:numId w:val="2"/>
      </w:numPr>
      <w:spacing w:after="60"/>
    </w:pPr>
    <w:rPr>
      <w:sz w:val="20"/>
      <w:szCs w:val="16"/>
    </w:rPr>
  </w:style>
  <w:style w:type="character" w:styleId="a9">
    <w:name w:val="FollowedHyperlink"/>
    <w:basedOn w:val="a0"/>
    <w:rPr>
      <w:color w:val="800080"/>
      <w:u w:val="single"/>
    </w:rPr>
  </w:style>
  <w:style w:type="paragraph" w:styleId="aa">
    <w:name w:val="footnote text"/>
    <w:basedOn w:val="a"/>
    <w:rPr>
      <w:sz w:val="20"/>
      <w:szCs w:val="20"/>
    </w:rPr>
  </w:style>
  <w:style w:type="character" w:styleId="ab">
    <w:name w:val="footnote reference"/>
    <w:basedOn w:val="a0"/>
    <w:rPr>
      <w:position w:val="0"/>
      <w:vertAlign w:val="superscript"/>
    </w:rPr>
  </w:style>
  <w:style w:type="paragraph" w:customStyle="1" w:styleId="10">
    <w:name w:val="1"/>
    <w:next w:val="a"/>
    <w:pPr>
      <w:keepNext/>
      <w:tabs>
        <w:tab w:val="left" w:pos="720"/>
      </w:tabs>
      <w:suppressAutoHyphens/>
      <w:autoSpaceDE w:val="0"/>
      <w:ind w:left="720" w:hanging="360"/>
      <w:jc w:val="both"/>
    </w:pPr>
    <w:rPr>
      <w:rFonts w:eastAsia="Times New Roman"/>
      <w:kern w:val="3"/>
      <w:lang w:val="en-GB" w:eastAsia="zh-CN"/>
    </w:rPr>
  </w:style>
  <w:style w:type="paragraph" w:customStyle="1" w:styleId="Char">
    <w:name w:val="Char"/>
    <w:pPr>
      <w:keepNext/>
      <w:numPr>
        <w:numId w:val="3"/>
      </w:numPr>
      <w:suppressAutoHyphens/>
      <w:autoSpaceDE w:val="0"/>
      <w:spacing w:before="60" w:after="60"/>
      <w:jc w:val="both"/>
    </w:pPr>
    <w:rPr>
      <w:rFonts w:ascii="Arial" w:hAnsi="Arial" w:cs="Arial"/>
      <w:color w:val="0000FF"/>
      <w:kern w:val="3"/>
      <w:lang w:eastAsia="zh-CN"/>
    </w:rPr>
  </w:style>
  <w:style w:type="paragraph" w:customStyle="1" w:styleId="EQ">
    <w:name w:val="EQ"/>
    <w:basedOn w:val="a"/>
    <w:next w:val="a"/>
    <w:pPr>
      <w:keepLines/>
      <w:tabs>
        <w:tab w:val="center" w:pos="4536"/>
        <w:tab w:val="right" w:pos="9072"/>
      </w:tabs>
      <w:autoSpaceDE/>
      <w:spacing w:after="180"/>
      <w:jc w:val="left"/>
    </w:pPr>
    <w:rPr>
      <w:rFonts w:eastAsia="Times New Roman"/>
      <w:sz w:val="20"/>
      <w:szCs w:val="20"/>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character" w:customStyle="1" w:styleId="CaptionChar">
    <w:name w:val="Caption Char"/>
    <w:basedOn w:val="a0"/>
    <w:rPr>
      <w:b/>
      <w:bCs/>
    </w:rPr>
  </w:style>
  <w:style w:type="paragraph" w:styleId="ac">
    <w:name w:val="header"/>
    <w:basedOn w:val="a"/>
    <w:pPr>
      <w:tabs>
        <w:tab w:val="center" w:pos="4680"/>
        <w:tab w:val="right" w:pos="9360"/>
      </w:tabs>
    </w:pPr>
  </w:style>
  <w:style w:type="character" w:customStyle="1" w:styleId="HeaderChar">
    <w:name w:val="Header Char"/>
    <w:basedOn w:val="a0"/>
    <w:rPr>
      <w:sz w:val="22"/>
      <w:szCs w:val="22"/>
    </w:rPr>
  </w:style>
  <w:style w:type="paragraph" w:styleId="ad">
    <w:name w:val="footer"/>
    <w:basedOn w:val="a"/>
    <w:pPr>
      <w:tabs>
        <w:tab w:val="center" w:pos="4680"/>
        <w:tab w:val="right" w:pos="9360"/>
      </w:tabs>
    </w:pPr>
  </w:style>
  <w:style w:type="character" w:customStyle="1" w:styleId="FooterChar">
    <w:name w:val="Footer Char"/>
    <w:basedOn w:val="a0"/>
    <w:rPr>
      <w:sz w:val="22"/>
      <w:szCs w:val="22"/>
    </w:rPr>
  </w:style>
  <w:style w:type="paragraph" w:customStyle="1" w:styleId="TH">
    <w:name w:val="TH"/>
    <w:basedOn w:val="a"/>
    <w:pPr>
      <w:keepNext/>
      <w:keepLines/>
      <w:autoSpaceDE/>
      <w:spacing w:before="60" w:after="180"/>
      <w:jc w:val="center"/>
    </w:pPr>
    <w:rPr>
      <w:rFonts w:ascii="Arial" w:eastAsia="ＭＳ 明朝" w:hAnsi="Arial"/>
      <w:b/>
      <w:sz w:val="20"/>
      <w:szCs w:val="20"/>
    </w:rPr>
  </w:style>
  <w:style w:type="paragraph" w:customStyle="1" w:styleId="TF">
    <w:name w:val="TF"/>
    <w:basedOn w:val="TH"/>
    <w:pPr>
      <w:keepNext w:val="0"/>
      <w:spacing w:before="0" w:after="240"/>
    </w:pPr>
  </w:style>
  <w:style w:type="character" w:customStyle="1" w:styleId="TFChar">
    <w:name w:val="TF Char"/>
    <w:basedOn w:val="a0"/>
    <w:rPr>
      <w:rFonts w:ascii="Arial" w:eastAsia="ＭＳ 明朝" w:hAnsi="Arial"/>
      <w:b/>
      <w:lang w:eastAsia="en-US"/>
    </w:rPr>
  </w:style>
  <w:style w:type="paragraph" w:customStyle="1" w:styleId="TAR">
    <w:name w:val="TAR"/>
    <w:basedOn w:val="a"/>
    <w:pPr>
      <w:keepNext/>
      <w:keepLines/>
      <w:autoSpaceDE/>
      <w:spacing w:after="0"/>
      <w:jc w:val="right"/>
    </w:pPr>
    <w:rPr>
      <w:rFonts w:ascii="Arial" w:hAnsi="Arial"/>
      <w:sz w:val="18"/>
      <w:szCs w:val="20"/>
    </w:rPr>
  </w:style>
  <w:style w:type="paragraph" w:customStyle="1" w:styleId="TAH">
    <w:name w:val="TAH"/>
    <w:basedOn w:val="TAC"/>
    <w:rPr>
      <w:b/>
    </w:rPr>
  </w:style>
  <w:style w:type="paragraph" w:customStyle="1" w:styleId="TAC">
    <w:name w:val="TAC"/>
    <w:basedOn w:val="a"/>
    <w:pPr>
      <w:keepNext/>
      <w:keepLines/>
      <w:autoSpaceDE/>
      <w:spacing w:after="0"/>
      <w:jc w:val="center"/>
    </w:pPr>
    <w:rPr>
      <w:rFonts w:ascii="Arial" w:hAnsi="Arial"/>
      <w:sz w:val="18"/>
      <w:szCs w:val="20"/>
    </w:rPr>
  </w:style>
  <w:style w:type="paragraph" w:styleId="ae">
    <w:name w:val="Document Map"/>
    <w:basedOn w:val="a"/>
    <w:rPr>
      <w:rFonts w:ascii="SimSun" w:hAnsi="SimSun"/>
      <w:sz w:val="18"/>
      <w:szCs w:val="18"/>
    </w:rPr>
  </w:style>
  <w:style w:type="character" w:customStyle="1" w:styleId="DocumentMapChar">
    <w:name w:val="Document Map Char"/>
    <w:basedOn w:val="a0"/>
    <w:rPr>
      <w:rFonts w:ascii="SimSun" w:hAnsi="SimSun"/>
      <w:sz w:val="18"/>
      <w:szCs w:val="18"/>
      <w:lang w:eastAsia="en-US"/>
    </w:rPr>
  </w:style>
  <w:style w:type="character" w:styleId="af">
    <w:name w:val="annotation reference"/>
    <w:basedOn w:val="a0"/>
    <w:rPr>
      <w:sz w:val="21"/>
      <w:szCs w:val="21"/>
    </w:rPr>
  </w:style>
  <w:style w:type="paragraph" w:styleId="af0">
    <w:name w:val="annotation text"/>
    <w:basedOn w:val="a"/>
    <w:link w:val="af1"/>
    <w:pPr>
      <w:jc w:val="left"/>
    </w:pPr>
  </w:style>
  <w:style w:type="character" w:customStyle="1" w:styleId="CommentTextChar">
    <w:name w:val="Comment Text Char"/>
    <w:basedOn w:val="a0"/>
    <w:rPr>
      <w:sz w:val="22"/>
      <w:szCs w:val="22"/>
      <w:lang w:eastAsia="en-US"/>
    </w:rPr>
  </w:style>
  <w:style w:type="paragraph" w:styleId="af2">
    <w:name w:val="annotation subject"/>
    <w:basedOn w:val="af0"/>
    <w:next w:val="af0"/>
    <w:rPr>
      <w:b/>
      <w:bCs/>
    </w:rPr>
  </w:style>
  <w:style w:type="character" w:customStyle="1" w:styleId="CommentSubjectChar">
    <w:name w:val="Comment Subject Char"/>
    <w:basedOn w:val="CommentTextChar"/>
    <w:rPr>
      <w:b/>
      <w:bCs/>
      <w:sz w:val="22"/>
      <w:szCs w:val="22"/>
      <w:lang w:eastAsia="en-US"/>
    </w:rPr>
  </w:style>
  <w:style w:type="character" w:customStyle="1" w:styleId="ZGSM">
    <w:name w:val="ZGSM"/>
  </w:style>
  <w:style w:type="paragraph" w:customStyle="1" w:styleId="ZT">
    <w:name w:val="ZT"/>
    <w:pPr>
      <w:widowControl w:val="0"/>
      <w:suppressAutoHyphens/>
      <w:spacing w:line="240" w:lineRule="atLeast"/>
      <w:jc w:val="right"/>
    </w:pPr>
    <w:rPr>
      <w:rFonts w:ascii="Arial" w:hAnsi="Arial"/>
      <w:b/>
      <w:sz w:val="34"/>
      <w:lang w:val="en-GB"/>
    </w:rPr>
  </w:style>
  <w:style w:type="paragraph" w:styleId="af3">
    <w:name w:val="List Paragraph"/>
    <w:basedOn w:val="a"/>
    <w:pPr>
      <w:autoSpaceDE/>
      <w:snapToGrid/>
      <w:spacing w:after="0"/>
      <w:ind w:left="720"/>
    </w:pPr>
    <w:rPr>
      <w:rFonts w:ascii="Calibri" w:hAnsi="Calibri" w:cs="Calibri"/>
      <w:sz w:val="21"/>
      <w:szCs w:val="21"/>
      <w:lang w:eastAsia="zh-CN"/>
    </w:rPr>
  </w:style>
  <w:style w:type="paragraph" w:customStyle="1" w:styleId="B3">
    <w:name w:val="B3"/>
    <w:basedOn w:val="30"/>
    <w:pPr>
      <w:overflowPunct w:val="0"/>
      <w:snapToGrid/>
      <w:spacing w:after="180"/>
      <w:ind w:left="1135" w:hanging="284"/>
      <w:jc w:val="left"/>
    </w:pPr>
    <w:rPr>
      <w:sz w:val="20"/>
      <w:szCs w:val="20"/>
      <w:lang w:val="en-GB" w:eastAsia="ja-JP"/>
    </w:rPr>
  </w:style>
  <w:style w:type="character" w:customStyle="1" w:styleId="B3Char">
    <w:name w:val="B3 Char"/>
    <w:basedOn w:val="a0"/>
    <w:rPr>
      <w:lang w:eastAsia="ja-JP"/>
    </w:rPr>
  </w:style>
  <w:style w:type="paragraph" w:styleId="30">
    <w:name w:val="List 3"/>
    <w:basedOn w:val="a"/>
    <w:pPr>
      <w:ind w:left="100" w:hanging="200"/>
    </w:pPr>
  </w:style>
  <w:style w:type="paragraph" w:styleId="af4">
    <w:name w:val="Revision"/>
    <w:pPr>
      <w:suppressAutoHyphens/>
    </w:pPr>
    <w:rPr>
      <w:sz w:val="22"/>
      <w:szCs w:val="22"/>
    </w:rPr>
  </w:style>
  <w:style w:type="character" w:customStyle="1" w:styleId="TAHCar">
    <w:name w:val="TAH Car"/>
    <w:rPr>
      <w:rFonts w:ascii="Arial" w:hAnsi="Arial"/>
      <w:b/>
      <w:sz w:val="18"/>
      <w:lang w:eastAsia="en-US"/>
    </w:rPr>
  </w:style>
  <w:style w:type="paragraph" w:customStyle="1" w:styleId="TAL">
    <w:name w:val="TAL"/>
    <w:basedOn w:val="a"/>
    <w:pPr>
      <w:keepNext/>
      <w:keepLines/>
      <w:autoSpaceDE/>
      <w:snapToGrid/>
      <w:spacing w:after="0"/>
      <w:jc w:val="left"/>
    </w:pPr>
    <w:rPr>
      <w:rFonts w:ascii="Arial" w:hAnsi="Arial"/>
      <w:sz w:val="18"/>
      <w:szCs w:val="20"/>
      <w:lang w:val="en-GB"/>
    </w:rPr>
  </w:style>
  <w:style w:type="paragraph" w:customStyle="1" w:styleId="TAN">
    <w:name w:val="TAN"/>
    <w:basedOn w:val="TAL"/>
    <w:pPr>
      <w:ind w:left="851" w:hanging="851"/>
    </w:pPr>
  </w:style>
  <w:style w:type="character" w:customStyle="1" w:styleId="TALCar">
    <w:name w:val="TAL Car"/>
    <w:rPr>
      <w:rFonts w:ascii="Arial" w:eastAsia="SimSun" w:hAnsi="Arial"/>
      <w:sz w:val="18"/>
      <w:lang w:val="en-GB" w:eastAsia="en-US"/>
    </w:rPr>
  </w:style>
  <w:style w:type="character" w:customStyle="1" w:styleId="THChar">
    <w:name w:val="TH Char"/>
    <w:rPr>
      <w:rFonts w:ascii="Arial" w:eastAsia="ＭＳ 明朝" w:hAnsi="Arial"/>
      <w:b/>
      <w:lang w:eastAsia="en-US"/>
    </w:rPr>
  </w:style>
  <w:style w:type="paragraph" w:customStyle="1" w:styleId="B1">
    <w:name w:val="B1"/>
    <w:basedOn w:val="a7"/>
    <w:pPr>
      <w:autoSpaceDE/>
      <w:snapToGrid/>
      <w:spacing w:after="180"/>
      <w:ind w:left="568" w:hanging="284"/>
      <w:jc w:val="left"/>
    </w:pPr>
    <w:rPr>
      <w:rFonts w:eastAsia="ＭＳ 明朝"/>
      <w:sz w:val="20"/>
      <w:szCs w:val="20"/>
      <w:lang w:val="en-GB"/>
    </w:rPr>
  </w:style>
  <w:style w:type="paragraph" w:customStyle="1" w:styleId="B2">
    <w:name w:val="B2"/>
    <w:basedOn w:val="21"/>
    <w:pPr>
      <w:autoSpaceDE/>
      <w:snapToGrid/>
      <w:spacing w:after="180"/>
      <w:ind w:left="851" w:hanging="284"/>
      <w:jc w:val="left"/>
    </w:pPr>
    <w:rPr>
      <w:rFonts w:eastAsia="ＭＳ 明朝"/>
      <w:sz w:val="20"/>
      <w:szCs w:val="20"/>
      <w:lang w:val="en-GB"/>
    </w:rPr>
  </w:style>
  <w:style w:type="character" w:customStyle="1" w:styleId="B1Zchn">
    <w:name w:val="B1 Zchn"/>
    <w:basedOn w:val="a0"/>
    <w:rPr>
      <w:rFonts w:eastAsia="ＭＳ 明朝"/>
      <w:lang w:eastAsia="en-US"/>
    </w:rPr>
  </w:style>
  <w:style w:type="paragraph" w:styleId="21">
    <w:name w:val="List 2"/>
    <w:basedOn w:val="a"/>
    <w:pPr>
      <w:ind w:left="100" w:hanging="200"/>
    </w:pPr>
  </w:style>
  <w:style w:type="paragraph" w:customStyle="1" w:styleId="31">
    <w:name w:val="标题3"/>
    <w:basedOn w:val="a"/>
    <w:pPr>
      <w:widowControl w:val="0"/>
      <w:snapToGrid/>
      <w:spacing w:after="0" w:line="360" w:lineRule="auto"/>
      <w:ind w:left="1134"/>
    </w:pPr>
    <w:rPr>
      <w:i/>
      <w:color w:val="0000FF"/>
      <w:sz w:val="21"/>
      <w:szCs w:val="20"/>
      <w:lang w:eastAsia="zh-CN"/>
    </w:rPr>
  </w:style>
  <w:style w:type="character" w:customStyle="1" w:styleId="B1Char1">
    <w:name w:val="B1 Char1"/>
    <w:rPr>
      <w:rFonts w:eastAsia="Times New Roman"/>
    </w:rPr>
  </w:style>
  <w:style w:type="paragraph" w:customStyle="1" w:styleId="references0">
    <w:name w:val="references"/>
    <w:pPr>
      <w:numPr>
        <w:numId w:val="4"/>
      </w:numPr>
      <w:suppressAutoHyphens/>
      <w:spacing w:after="50" w:line="180" w:lineRule="exact"/>
      <w:jc w:val="both"/>
    </w:pPr>
    <w:rPr>
      <w:rFonts w:eastAsia="ＭＳ 明朝"/>
      <w:szCs w:val="16"/>
    </w:rPr>
  </w:style>
  <w:style w:type="paragraph" w:customStyle="1" w:styleId="Doc-text2">
    <w:name w:val="Doc-text2"/>
    <w:basedOn w:val="a"/>
    <w:pPr>
      <w:tabs>
        <w:tab w:val="left" w:pos="1622"/>
      </w:tabs>
      <w:autoSpaceDE/>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rPr>
      <w:rFonts w:ascii="Arial" w:eastAsia="ＭＳ 明朝" w:hAnsi="Arial"/>
      <w:szCs w:val="24"/>
      <w:lang w:val="en-GB" w:eastAsia="en-GB"/>
    </w:rPr>
  </w:style>
  <w:style w:type="paragraph" w:customStyle="1" w:styleId="Default">
    <w:name w:val="Default"/>
    <w:pPr>
      <w:suppressAutoHyphens/>
      <w:autoSpaceDE w:val="0"/>
    </w:pPr>
    <w:rPr>
      <w:rFonts w:ascii="Calibri" w:hAnsi="Calibri" w:cs="Calibri"/>
      <w:color w:val="000000"/>
      <w:sz w:val="24"/>
      <w:szCs w:val="24"/>
    </w:rPr>
  </w:style>
  <w:style w:type="paragraph" w:customStyle="1" w:styleId="TdocHeader2">
    <w:name w:val="Tdoc_Header_2"/>
    <w:basedOn w:val="a"/>
    <w:pPr>
      <w:widowControl w:val="0"/>
      <w:tabs>
        <w:tab w:val="left" w:pos="1701"/>
        <w:tab w:val="right" w:pos="9072"/>
        <w:tab w:val="right" w:pos="10206"/>
      </w:tabs>
      <w:autoSpaceDE/>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pPr>
      <w:numPr>
        <w:numId w:val="5"/>
      </w:numPr>
      <w:autoSpaceDE/>
      <w:snapToGrid/>
      <w:spacing w:before="240" w:after="60"/>
      <w:jc w:val="left"/>
    </w:pPr>
    <w:rPr>
      <w:rFonts w:ascii="Arial" w:eastAsia="Batang" w:hAnsi="Arial" w:cs="Arial"/>
      <w:kern w:val="3"/>
      <w:szCs w:val="32"/>
      <w:lang w:val="en-GB"/>
    </w:rPr>
  </w:style>
  <w:style w:type="paragraph" w:customStyle="1" w:styleId="NO">
    <w:name w:val="NO"/>
    <w:basedOn w:val="a"/>
    <w:pPr>
      <w:keepLines/>
      <w:overflowPunct w:val="0"/>
      <w:snapToGrid/>
      <w:spacing w:after="180"/>
      <w:ind w:left="1135" w:hanging="851"/>
      <w:jc w:val="left"/>
    </w:pPr>
    <w:rPr>
      <w:rFonts w:eastAsia="Times New Roman"/>
      <w:sz w:val="20"/>
      <w:szCs w:val="20"/>
      <w:lang w:val="en-GB"/>
    </w:rPr>
  </w:style>
  <w:style w:type="character" w:customStyle="1" w:styleId="NOChar1">
    <w:name w:val="NO Char1"/>
    <w:rPr>
      <w:rFonts w:eastAsia="Times New Roman"/>
      <w:lang w:val="en-GB"/>
    </w:rPr>
  </w:style>
  <w:style w:type="paragraph" w:customStyle="1" w:styleId="EditorsNote">
    <w:name w:val="Editor's Note"/>
    <w:basedOn w:val="NO"/>
    <w:rPr>
      <w:color w:val="FF0000"/>
    </w:rPr>
  </w:style>
  <w:style w:type="character" w:customStyle="1" w:styleId="ListParagraphChar">
    <w:name w:val="List Paragraph Char"/>
    <w:rPr>
      <w:rFonts w:ascii="Calibri" w:hAnsi="Calibri" w:cs="Calibri"/>
      <w:sz w:val="21"/>
      <w:szCs w:val="21"/>
      <w:lang w:eastAsia="zh-CN"/>
    </w:rPr>
  </w:style>
  <w:style w:type="paragraph" w:customStyle="1" w:styleId="CRCoverPage">
    <w:name w:val="CR Cover Page"/>
    <w:next w:val="a"/>
    <w:pPr>
      <w:suppressAutoHyphens/>
      <w:spacing w:after="120"/>
    </w:pPr>
    <w:rPr>
      <w:rFonts w:ascii="Arial" w:eastAsia="ＭＳ 明朝" w:hAnsi="Arial"/>
      <w:lang w:val="en-GB"/>
    </w:rPr>
  </w:style>
  <w:style w:type="paragraph" w:styleId="af5">
    <w:name w:val="TOC Heading"/>
    <w:basedOn w:val="1"/>
    <w:next w:val="a"/>
    <w:pPr>
      <w:keepLines/>
      <w:autoSpaceDE/>
      <w:snapToGrid/>
      <w:spacing w:before="480" w:after="0" w:line="276" w:lineRule="auto"/>
      <w:jc w:val="left"/>
    </w:pPr>
    <w:rPr>
      <w:rFonts w:ascii="Cambria" w:hAnsi="Cambria"/>
      <w:color w:val="365F91"/>
      <w:lang w:eastAsia="zh-CN"/>
    </w:rPr>
  </w:style>
  <w:style w:type="paragraph" w:styleId="11">
    <w:name w:val="toc 1"/>
    <w:basedOn w:val="a"/>
    <w:next w:val="a"/>
    <w:autoRedefine/>
  </w:style>
  <w:style w:type="paragraph" w:styleId="22">
    <w:name w:val="toc 2"/>
    <w:basedOn w:val="a"/>
    <w:next w:val="a"/>
    <w:autoRedefine/>
    <w:pPr>
      <w:ind w:left="420"/>
    </w:pPr>
  </w:style>
  <w:style w:type="character" w:styleId="af6">
    <w:name w:val="Placeholder Text"/>
    <w:basedOn w:val="a0"/>
    <w:rPr>
      <w:color w:val="808080"/>
    </w:rPr>
  </w:style>
  <w:style w:type="paragraph" w:styleId="Web">
    <w:name w:val="Normal (Web)"/>
    <w:basedOn w:val="a"/>
    <w:pPr>
      <w:autoSpaceDE/>
      <w:snapToGrid/>
      <w:spacing w:before="100" w:after="100"/>
      <w:jc w:val="left"/>
    </w:pPr>
    <w:rPr>
      <w:rFonts w:ascii="SimSun" w:hAnsi="SimSun" w:cs="SimSun"/>
      <w:sz w:val="24"/>
      <w:szCs w:val="24"/>
      <w:lang w:eastAsia="zh-CN"/>
    </w:rPr>
  </w:style>
  <w:style w:type="paragraph" w:styleId="af7">
    <w:name w:val="Date"/>
    <w:basedOn w:val="a"/>
    <w:next w:val="a"/>
    <w:pPr>
      <w:ind w:left="100"/>
    </w:pPr>
  </w:style>
  <w:style w:type="character" w:customStyle="1" w:styleId="DateChar">
    <w:name w:val="Date Char"/>
    <w:basedOn w:val="a0"/>
    <w:rPr>
      <w:sz w:val="22"/>
      <w:szCs w:val="22"/>
    </w:rPr>
  </w:style>
  <w:style w:type="character" w:customStyle="1" w:styleId="Heading2Char">
    <w:name w:val="Heading 2 Char"/>
    <w:basedOn w:val="a0"/>
    <w:rPr>
      <w:b/>
      <w:bCs/>
      <w:sz w:val="24"/>
      <w:szCs w:val="22"/>
    </w:rPr>
  </w:style>
  <w:style w:type="paragraph" w:customStyle="1" w:styleId="Fig">
    <w:name w:val="Fig"/>
    <w:basedOn w:val="a"/>
    <w:pPr>
      <w:ind w:firstLine="425"/>
      <w:jc w:val="center"/>
    </w:pPr>
    <w:rPr>
      <w:b/>
      <w:lang w:eastAsia="zh-CN"/>
    </w:rPr>
  </w:style>
  <w:style w:type="paragraph" w:customStyle="1" w:styleId="Figture">
    <w:name w:val="Figture"/>
    <w:basedOn w:val="a"/>
    <w:pPr>
      <w:ind w:firstLine="425"/>
      <w:jc w:val="center"/>
    </w:pPr>
  </w:style>
  <w:style w:type="character" w:customStyle="1" w:styleId="FigChar">
    <w:name w:val="Fig Char"/>
    <w:basedOn w:val="a0"/>
    <w:rPr>
      <w:b/>
      <w:sz w:val="22"/>
      <w:szCs w:val="22"/>
      <w:lang w:eastAsia="zh-CN"/>
    </w:rPr>
  </w:style>
  <w:style w:type="paragraph" w:styleId="af8">
    <w:name w:val="table of figures"/>
    <w:basedOn w:val="a"/>
    <w:next w:val="a"/>
    <w:pPr>
      <w:ind w:left="200" w:hanging="200"/>
    </w:pPr>
  </w:style>
  <w:style w:type="character" w:customStyle="1" w:styleId="FigtureChar">
    <w:name w:val="Figture Char"/>
    <w:basedOn w:val="a0"/>
    <w:rPr>
      <w:sz w:val="22"/>
      <w:szCs w:val="22"/>
    </w:rPr>
  </w:style>
  <w:style w:type="paragraph" w:styleId="af9">
    <w:name w:val="Title"/>
    <w:basedOn w:val="a"/>
    <w:next w:val="a"/>
    <w:uiPriority w:val="10"/>
    <w:qFormat/>
    <w:pPr>
      <w:spacing w:before="240" w:after="60"/>
      <w:jc w:val="center"/>
      <w:outlineLvl w:val="0"/>
    </w:pPr>
    <w:rPr>
      <w:rFonts w:ascii="Cambria" w:hAnsi="Cambria"/>
      <w:b/>
      <w:bCs/>
      <w:sz w:val="32"/>
      <w:szCs w:val="32"/>
    </w:rPr>
  </w:style>
  <w:style w:type="character" w:customStyle="1" w:styleId="TitleChar">
    <w:name w:val="Title Char"/>
    <w:basedOn w:val="a0"/>
    <w:rPr>
      <w:rFonts w:ascii="Cambria" w:eastAsia="SimSun" w:hAnsi="Cambria" w:cs="Times New Roman"/>
      <w:b/>
      <w:bCs/>
      <w:sz w:val="32"/>
      <w:szCs w:val="32"/>
    </w:rPr>
  </w:style>
  <w:style w:type="paragraph" w:styleId="80">
    <w:name w:val="toc 8"/>
    <w:basedOn w:val="a"/>
    <w:next w:val="a"/>
    <w:autoRedefine/>
    <w:pPr>
      <w:ind w:left="2940"/>
    </w:pPr>
  </w:style>
  <w:style w:type="paragraph" w:customStyle="1" w:styleId="LGTdoc">
    <w:name w:val="LGTdoc_본문"/>
    <w:basedOn w:val="a"/>
    <w:pPr>
      <w:widowControl w:val="0"/>
      <w:autoSpaceDE/>
      <w:spacing w:after="0" w:line="264" w:lineRule="auto"/>
    </w:pPr>
    <w:rPr>
      <w:rFonts w:ascii="Calibri" w:eastAsia="Batang" w:hAnsi="Calibri" w:cs="Arial"/>
      <w:kern w:val="3"/>
      <w:szCs w:val="24"/>
      <w:lang w:eastAsia="ko-KR"/>
    </w:rPr>
  </w:style>
  <w:style w:type="character" w:customStyle="1" w:styleId="afa">
    <w:name w:val="テキスト (文字)"/>
    <w:rPr>
      <w:rFonts w:ascii="Century" w:hAnsi="Century"/>
      <w:kern w:val="3"/>
      <w:sz w:val="21"/>
      <w:szCs w:val="22"/>
      <w:lang w:val="en-GB"/>
    </w:rPr>
  </w:style>
  <w:style w:type="paragraph" w:customStyle="1" w:styleId="afb">
    <w:name w:val="テキスト"/>
    <w:basedOn w:val="a"/>
    <w:pPr>
      <w:widowControl w:val="0"/>
      <w:autoSpaceDE/>
      <w:snapToGrid/>
      <w:spacing w:after="0" w:line="320" w:lineRule="exact"/>
      <w:ind w:firstLine="210"/>
    </w:pPr>
    <w:rPr>
      <w:rFonts w:ascii="Century" w:hAnsi="Century"/>
      <w:kern w:val="3"/>
      <w:sz w:val="21"/>
      <w:lang w:val="en-GB"/>
    </w:rPr>
  </w:style>
  <w:style w:type="character" w:customStyle="1" w:styleId="Char0">
    <w:name w:val="列出段落 Char"/>
    <w:rPr>
      <w:szCs w:val="22"/>
    </w:rPr>
  </w:style>
  <w:style w:type="paragraph" w:customStyle="1" w:styleId="ListParagraph1">
    <w:name w:val="List Paragraph1"/>
    <w:basedOn w:val="a"/>
    <w:pPr>
      <w:autoSpaceDE/>
      <w:snapToGrid/>
      <w:spacing w:after="200" w:line="276" w:lineRule="auto"/>
      <w:ind w:left="420" w:firstLine="420"/>
    </w:pPr>
    <w:rPr>
      <w:sz w:val="20"/>
    </w:r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pPr>
    <w:rPr>
      <w:rFonts w:ascii="Courier New" w:eastAsia="Times New Roman" w:hAnsi="Courier New"/>
      <w:sz w:val="16"/>
      <w:lang w:val="en-GB" w:eastAsia="en-GB"/>
    </w:rPr>
  </w:style>
  <w:style w:type="character" w:customStyle="1" w:styleId="PLChar">
    <w:name w:val="PL Char"/>
    <w:rPr>
      <w:rFonts w:ascii="Courier New" w:eastAsia="Times New Roman" w:hAnsi="Courier New"/>
      <w:sz w:val="16"/>
      <w:shd w:val="clear" w:color="auto" w:fill="E6E6E6"/>
      <w:lang w:val="en-GB" w:eastAsia="en-GB"/>
    </w:rPr>
  </w:style>
  <w:style w:type="numbering" w:customStyle="1" w:styleId="LFO1">
    <w:name w:val="LFO1"/>
    <w:basedOn w:val="a2"/>
    <w:pPr>
      <w:numPr>
        <w:numId w:val="2"/>
      </w:numPr>
    </w:pPr>
  </w:style>
  <w:style w:type="numbering" w:customStyle="1" w:styleId="LFO3">
    <w:name w:val="LFO3"/>
    <w:basedOn w:val="a2"/>
    <w:pPr>
      <w:numPr>
        <w:numId w:val="3"/>
      </w:numPr>
    </w:pPr>
  </w:style>
  <w:style w:type="numbering" w:customStyle="1" w:styleId="LFO4">
    <w:name w:val="LFO4"/>
    <w:basedOn w:val="a2"/>
    <w:pPr>
      <w:numPr>
        <w:numId w:val="4"/>
      </w:numPr>
    </w:pPr>
  </w:style>
  <w:style w:type="numbering" w:customStyle="1" w:styleId="LFO5">
    <w:name w:val="LFO5"/>
    <w:basedOn w:val="a2"/>
    <w:pPr>
      <w:numPr>
        <w:numId w:val="5"/>
      </w:numPr>
    </w:pPr>
  </w:style>
  <w:style w:type="character" w:customStyle="1" w:styleId="af1">
    <w:name w:val="コメント文字列 (文字)"/>
    <w:basedOn w:val="a0"/>
    <w:link w:val="af0"/>
    <w:rsid w:val="004C7D2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69278">
      <w:bodyDiv w:val="1"/>
      <w:marLeft w:val="0"/>
      <w:marRight w:val="0"/>
      <w:marTop w:val="0"/>
      <w:marBottom w:val="0"/>
      <w:divBdr>
        <w:top w:val="none" w:sz="0" w:space="0" w:color="auto"/>
        <w:left w:val="none" w:sz="0" w:space="0" w:color="auto"/>
        <w:bottom w:val="none" w:sz="0" w:space="0" w:color="auto"/>
        <w:right w:val="none" w:sz="0" w:space="0" w:color="auto"/>
      </w:divBdr>
    </w:div>
    <w:div w:id="347218303">
      <w:bodyDiv w:val="1"/>
      <w:marLeft w:val="0"/>
      <w:marRight w:val="0"/>
      <w:marTop w:val="0"/>
      <w:marBottom w:val="0"/>
      <w:divBdr>
        <w:top w:val="none" w:sz="0" w:space="0" w:color="auto"/>
        <w:left w:val="none" w:sz="0" w:space="0" w:color="auto"/>
        <w:bottom w:val="none" w:sz="0" w:space="0" w:color="auto"/>
        <w:right w:val="none" w:sz="0" w:space="0" w:color="auto"/>
      </w:divBdr>
    </w:div>
    <w:div w:id="647250900">
      <w:bodyDiv w:val="1"/>
      <w:marLeft w:val="0"/>
      <w:marRight w:val="0"/>
      <w:marTop w:val="0"/>
      <w:marBottom w:val="0"/>
      <w:divBdr>
        <w:top w:val="none" w:sz="0" w:space="0" w:color="auto"/>
        <w:left w:val="none" w:sz="0" w:space="0" w:color="auto"/>
        <w:bottom w:val="none" w:sz="0" w:space="0" w:color="auto"/>
        <w:right w:val="none" w:sz="0" w:space="0" w:color="auto"/>
      </w:divBdr>
    </w:div>
    <w:div w:id="710115279">
      <w:bodyDiv w:val="1"/>
      <w:marLeft w:val="0"/>
      <w:marRight w:val="0"/>
      <w:marTop w:val="0"/>
      <w:marBottom w:val="0"/>
      <w:divBdr>
        <w:top w:val="none" w:sz="0" w:space="0" w:color="auto"/>
        <w:left w:val="none" w:sz="0" w:space="0" w:color="auto"/>
        <w:bottom w:val="none" w:sz="0" w:space="0" w:color="auto"/>
        <w:right w:val="none" w:sz="0" w:space="0" w:color="auto"/>
      </w:divBdr>
    </w:div>
    <w:div w:id="744570348">
      <w:bodyDiv w:val="1"/>
      <w:marLeft w:val="0"/>
      <w:marRight w:val="0"/>
      <w:marTop w:val="0"/>
      <w:marBottom w:val="0"/>
      <w:divBdr>
        <w:top w:val="none" w:sz="0" w:space="0" w:color="auto"/>
        <w:left w:val="none" w:sz="0" w:space="0" w:color="auto"/>
        <w:bottom w:val="none" w:sz="0" w:space="0" w:color="auto"/>
        <w:right w:val="none" w:sz="0" w:space="0" w:color="auto"/>
      </w:divBdr>
    </w:div>
    <w:div w:id="761029317">
      <w:bodyDiv w:val="1"/>
      <w:marLeft w:val="0"/>
      <w:marRight w:val="0"/>
      <w:marTop w:val="0"/>
      <w:marBottom w:val="0"/>
      <w:divBdr>
        <w:top w:val="none" w:sz="0" w:space="0" w:color="auto"/>
        <w:left w:val="none" w:sz="0" w:space="0" w:color="auto"/>
        <w:bottom w:val="none" w:sz="0" w:space="0" w:color="auto"/>
        <w:right w:val="none" w:sz="0" w:space="0" w:color="auto"/>
      </w:divBdr>
    </w:div>
    <w:div w:id="1024328271">
      <w:bodyDiv w:val="1"/>
      <w:marLeft w:val="0"/>
      <w:marRight w:val="0"/>
      <w:marTop w:val="0"/>
      <w:marBottom w:val="0"/>
      <w:divBdr>
        <w:top w:val="none" w:sz="0" w:space="0" w:color="auto"/>
        <w:left w:val="none" w:sz="0" w:space="0" w:color="auto"/>
        <w:bottom w:val="none" w:sz="0" w:space="0" w:color="auto"/>
        <w:right w:val="none" w:sz="0" w:space="0" w:color="auto"/>
      </w:divBdr>
    </w:div>
    <w:div w:id="1493259671">
      <w:bodyDiv w:val="1"/>
      <w:marLeft w:val="0"/>
      <w:marRight w:val="0"/>
      <w:marTop w:val="0"/>
      <w:marBottom w:val="0"/>
      <w:divBdr>
        <w:top w:val="none" w:sz="0" w:space="0" w:color="auto"/>
        <w:left w:val="none" w:sz="0" w:space="0" w:color="auto"/>
        <w:bottom w:val="none" w:sz="0" w:space="0" w:color="auto"/>
        <w:right w:val="none" w:sz="0" w:space="0" w:color="auto"/>
      </w:divBdr>
    </w:div>
    <w:div w:id="1556307220">
      <w:bodyDiv w:val="1"/>
      <w:marLeft w:val="0"/>
      <w:marRight w:val="0"/>
      <w:marTop w:val="0"/>
      <w:marBottom w:val="0"/>
      <w:divBdr>
        <w:top w:val="none" w:sz="0" w:space="0" w:color="auto"/>
        <w:left w:val="none" w:sz="0" w:space="0" w:color="auto"/>
        <w:bottom w:val="none" w:sz="0" w:space="0" w:color="auto"/>
        <w:right w:val="none" w:sz="0" w:space="0" w:color="auto"/>
      </w:divBdr>
    </w:div>
    <w:div w:id="1587493718">
      <w:bodyDiv w:val="1"/>
      <w:marLeft w:val="0"/>
      <w:marRight w:val="0"/>
      <w:marTop w:val="0"/>
      <w:marBottom w:val="0"/>
      <w:divBdr>
        <w:top w:val="none" w:sz="0" w:space="0" w:color="auto"/>
        <w:left w:val="none" w:sz="0" w:space="0" w:color="auto"/>
        <w:bottom w:val="none" w:sz="0" w:space="0" w:color="auto"/>
        <w:right w:val="none" w:sz="0" w:space="0" w:color="auto"/>
      </w:divBdr>
    </w:div>
    <w:div w:id="1815636369">
      <w:bodyDiv w:val="1"/>
      <w:marLeft w:val="0"/>
      <w:marRight w:val="0"/>
      <w:marTop w:val="0"/>
      <w:marBottom w:val="0"/>
      <w:divBdr>
        <w:top w:val="none" w:sz="0" w:space="0" w:color="auto"/>
        <w:left w:val="none" w:sz="0" w:space="0" w:color="auto"/>
        <w:bottom w:val="none" w:sz="0" w:space="0" w:color="auto"/>
        <w:right w:val="none" w:sz="0" w:space="0" w:color="auto"/>
      </w:divBdr>
    </w:div>
    <w:div w:id="1983804735">
      <w:bodyDiv w:val="1"/>
      <w:marLeft w:val="0"/>
      <w:marRight w:val="0"/>
      <w:marTop w:val="0"/>
      <w:marBottom w:val="0"/>
      <w:divBdr>
        <w:top w:val="none" w:sz="0" w:space="0" w:color="auto"/>
        <w:left w:val="none" w:sz="0" w:space="0" w:color="auto"/>
        <w:bottom w:val="none" w:sz="0" w:space="0" w:color="auto"/>
        <w:right w:val="none" w:sz="0" w:space="0" w:color="auto"/>
      </w:divBdr>
    </w:div>
    <w:div w:id="2081362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ab766fb502114b7a" Type="http://schemas.microsoft.com/office/2018/08/relationships/commentsExtensible" Target="commentsExtensi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100801-7994-426C-92DB-EAC803365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F2FF6-B35A-4F1A-A220-9D806C2C41D0}">
  <ds:schemaRefs>
    <ds:schemaRef ds:uri="http://schemas.microsoft.com/sharepoint/v3/contenttype/forms"/>
  </ds:schemaRefs>
</ds:datastoreItem>
</file>

<file path=customXml/itemProps3.xml><?xml version="1.0" encoding="utf-8"?>
<ds:datastoreItem xmlns:ds="http://schemas.openxmlformats.org/officeDocument/2006/customXml" ds:itemID="{4CF59A7B-FBED-4808-837C-1E401B55A0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1981</Words>
  <Characters>11297</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Naoki</cp:lastModifiedBy>
  <cp:revision>77</cp:revision>
  <cp:lastPrinted>2017-08-08T10:03:00Z</cp:lastPrinted>
  <dcterms:created xsi:type="dcterms:W3CDTF">2020-10-11T21:37:00Z</dcterms:created>
  <dcterms:modified xsi:type="dcterms:W3CDTF">2020-10-16T15:08:00Z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