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29657436"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901622">
        <w:rPr>
          <w:rFonts w:eastAsia="SimSun"/>
          <w:sz w:val="22"/>
          <w:lang w:eastAsia="zh-CN"/>
        </w:rPr>
        <w:t>3</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5A2A02">
        <w:rPr>
          <w:rFonts w:eastAsia="SimSun" w:hint="eastAsia"/>
          <w:sz w:val="22"/>
          <w:lang w:eastAsia="zh-CN"/>
        </w:rPr>
        <w:t>20</w:t>
      </w:r>
      <w:r w:rsidR="005A2A02">
        <w:rPr>
          <w:rFonts w:eastAsia="SimSun"/>
          <w:sz w:val="22"/>
          <w:lang w:eastAsia="zh-CN"/>
        </w:rPr>
        <w:t>08217</w:t>
      </w:r>
    </w:p>
    <w:p w14:paraId="5274BA97" w14:textId="423579E6"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ED2D09">
        <w:rPr>
          <w:rFonts w:eastAsia="SimSun"/>
          <w:sz w:val="22"/>
          <w:lang w:eastAsia="zh-CN"/>
        </w:rPr>
        <w:t>October</w:t>
      </w:r>
      <w:r w:rsidR="002328B0">
        <w:rPr>
          <w:rFonts w:eastAsia="SimSun"/>
          <w:sz w:val="22"/>
          <w:lang w:eastAsia="zh-CN"/>
        </w:rPr>
        <w:t xml:space="preserve"> </w:t>
      </w:r>
      <w:r w:rsidR="00ED2D09">
        <w:rPr>
          <w:rFonts w:eastAsia="SimSun"/>
          <w:sz w:val="22"/>
          <w:lang w:eastAsia="zh-CN"/>
        </w:rPr>
        <w:t>26</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sidR="00ED2D09">
        <w:rPr>
          <w:rFonts w:eastAsia="SimSun"/>
          <w:sz w:val="22"/>
          <w:lang w:eastAsia="zh-CN"/>
        </w:rPr>
        <w:t>November 13</w:t>
      </w:r>
      <w:r w:rsidR="003845A5"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FEB63AE" w14:textId="22FCA5A5" w:rsidR="000146F7" w:rsidRDefault="003A33FE" w:rsidP="00497AFF">
      <w:pPr>
        <w:pStyle w:val="00Text"/>
      </w:pPr>
      <w:r>
        <w:t xml:space="preserve">NR system specify multi-beam operation since 3GPP release 15 mainly to support FR2 systems. New WID for further enhancing NR MIMO [1] includes the following objectives </w:t>
      </w:r>
      <w:r w:rsidR="000146F7">
        <w:t xml:space="preserve">of enhancement on </w:t>
      </w:r>
      <w:r>
        <w:t>multi-beam operations</w:t>
      </w:r>
      <w:r w:rsidR="000146F7">
        <w:t>. In RAN1#102-e meeting</w:t>
      </w:r>
      <w:r w:rsidR="006F6D28">
        <w:t xml:space="preserve"> [2]</w:t>
      </w:r>
      <w:r w:rsidR="000146F7">
        <w:t>, we reached the following agreements:</w:t>
      </w:r>
    </w:p>
    <w:tbl>
      <w:tblPr>
        <w:tblStyle w:val="TableGrid"/>
        <w:tblW w:w="0" w:type="auto"/>
        <w:tblLook w:val="04A0" w:firstRow="1" w:lastRow="0" w:firstColumn="1" w:lastColumn="0" w:noHBand="0" w:noVBand="1"/>
      </w:tblPr>
      <w:tblGrid>
        <w:gridCol w:w="9062"/>
      </w:tblGrid>
      <w:tr w:rsidR="000146F7" w:rsidRPr="000146F7" w14:paraId="79F07CAA" w14:textId="77777777" w:rsidTr="000146F7">
        <w:tc>
          <w:tcPr>
            <w:tcW w:w="9062" w:type="dxa"/>
          </w:tcPr>
          <w:p w14:paraId="4948E7D7" w14:textId="77777777" w:rsidR="000146F7" w:rsidRPr="000146F7" w:rsidRDefault="000146F7" w:rsidP="000146F7">
            <w:pPr>
              <w:rPr>
                <w:rFonts w:cs="Times"/>
                <w:b/>
                <w:bCs/>
                <w:sz w:val="18"/>
                <w:szCs w:val="18"/>
                <w:highlight w:val="green"/>
                <w:lang w:eastAsia="x-none"/>
              </w:rPr>
            </w:pPr>
            <w:r w:rsidRPr="000146F7">
              <w:rPr>
                <w:rFonts w:cs="Times"/>
                <w:b/>
                <w:bCs/>
                <w:sz w:val="18"/>
                <w:szCs w:val="18"/>
                <w:highlight w:val="green"/>
                <w:lang w:eastAsia="x-none"/>
              </w:rPr>
              <w:t xml:space="preserve">Agreement </w:t>
            </w:r>
          </w:p>
          <w:p w14:paraId="0CF3069D" w14:textId="77777777" w:rsidR="000146F7" w:rsidRPr="000146F7" w:rsidRDefault="000146F7" w:rsidP="000146F7">
            <w:pPr>
              <w:snapToGrid w:val="0"/>
              <w:rPr>
                <w:sz w:val="18"/>
                <w:szCs w:val="18"/>
              </w:rPr>
            </w:pPr>
            <w:r w:rsidRPr="000146F7">
              <w:rPr>
                <w:b/>
                <w:sz w:val="18"/>
                <w:szCs w:val="18"/>
              </w:rPr>
              <w:t>Note</w:t>
            </w:r>
            <w:r w:rsidRPr="000146F7">
              <w:rPr>
                <w:sz w:val="18"/>
                <w:szCs w:val="18"/>
              </w:rPr>
              <w:t>: the enumeration for issues (such as “issue 1a), 1b), 6) in the proposal below refers to the enumeration within the proposals, not Table 1 in the FL summary.</w:t>
            </w:r>
          </w:p>
          <w:p w14:paraId="625170E7"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 [Issue 1] For Rel.17 NR FeMIMO, on the unified TCI framework</w:t>
            </w:r>
          </w:p>
          <w:p w14:paraId="69652CC6"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Support joint TCI for DL and UL based on and analogous to Rel.15/16 DL TCI framework</w:t>
            </w:r>
          </w:p>
          <w:p w14:paraId="6973A67B"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The term “TCI” at least comprises a TCI state that </w:t>
            </w:r>
            <w:r w:rsidRPr="000146F7">
              <w:rPr>
                <w:rFonts w:ascii="Times New Roman" w:hAnsi="Times New Roman"/>
                <w:sz w:val="18"/>
                <w:szCs w:val="18"/>
                <w:u w:val="single"/>
              </w:rPr>
              <w:t>includes</w:t>
            </w:r>
            <w:r w:rsidRPr="000146F7">
              <w:rPr>
                <w:rFonts w:ascii="Times New Roman" w:hAnsi="Times New Roman"/>
                <w:sz w:val="18"/>
                <w:szCs w:val="18"/>
              </w:rPr>
              <w:t xml:space="preserve"> at least one source RS to provide a reference (UE assumption) for determining QCL and/or spatial filter </w:t>
            </w:r>
          </w:p>
          <w:p w14:paraId="14C6B4DF"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The source reference signal(s) in M TCIs provide common QCL information at least for UE-dedicated reception on PDSCH and all or subset of CORESETs in a CC</w:t>
            </w:r>
          </w:p>
          <w:p w14:paraId="26158FFA"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Optionally this common QCL information can also apply to CSI-RS resource for CSI, CSI-RS resource for BM, and CSI-RS for tracking</w:t>
            </w:r>
          </w:p>
          <w:p w14:paraId="24412FCE"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Applicability on PD</w:t>
            </w:r>
            <w:r w:rsidRPr="000146F7">
              <w:rPr>
                <w:rFonts w:ascii="Times New Roman" w:hAnsi="Times New Roman"/>
                <w:sz w:val="18"/>
                <w:szCs w:val="18"/>
                <w:lang w:eastAsia="ko-KR"/>
              </w:rPr>
              <w:t>S</w:t>
            </w:r>
            <w:r w:rsidRPr="000146F7">
              <w:rPr>
                <w:rFonts w:ascii="Times New Roman" w:hAnsi="Times New Roman"/>
                <w:sz w:val="18"/>
                <w:szCs w:val="18"/>
              </w:rPr>
              <w:t>CH includes PDSCH default beam</w:t>
            </w:r>
          </w:p>
          <w:p w14:paraId="73D3BE56"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highlight w:val="darkYellow"/>
              </w:rPr>
              <w:t>Working Assumption</w:t>
            </w:r>
            <w:r w:rsidRPr="000146F7">
              <w:rPr>
                <w:rFonts w:ascii="Times New Roman" w:hAnsi="Times New Roman"/>
                <w:sz w:val="18"/>
                <w:szCs w:val="18"/>
              </w:rPr>
              <w:t>: Select between M=1 and M&gt;=1</w:t>
            </w:r>
          </w:p>
          <w:p w14:paraId="1D39D48B"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The source reference signal(s) in N TCIs provide a reference for determining common UL TX spatial filter(s) at least for dynamic-grant/configured-grant based PUSCH, all or subset of dedicated PUCCH resources in a CC, </w:t>
            </w:r>
          </w:p>
          <w:p w14:paraId="4E9B902B"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Optionally, this UL TX spatial filter can also apply to all SRS resources in resource set(s) configured for antenna switching/codebook-based/non-codebook-based UL transmissions</w:t>
            </w:r>
          </w:p>
          <w:p w14:paraId="40F699E3"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applicability of this UL TX spatial filter to SRS configured for beam management (BM)</w:t>
            </w:r>
          </w:p>
          <w:p w14:paraId="4F7A7241"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PUSCH port determination based on the TCI, e.g., to be mapped with SRS ports analogous to Rel.15/16</w:t>
            </w:r>
          </w:p>
          <w:p w14:paraId="277E0AD2"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highlight w:val="darkYellow"/>
              </w:rPr>
              <w:t>Working Assumption</w:t>
            </w:r>
            <w:r w:rsidRPr="000146F7">
              <w:rPr>
                <w:rFonts w:ascii="Times New Roman" w:hAnsi="Times New Roman"/>
                <w:sz w:val="18"/>
                <w:szCs w:val="18"/>
              </w:rPr>
              <w:t>: Select between N=1 and N&gt;=1</w:t>
            </w:r>
          </w:p>
          <w:p w14:paraId="2971E0A6"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FFS: extension to common QCL information applied to only some of the CORESETs or PUCCH resources in a CC, e.g. for mTRP </w:t>
            </w:r>
          </w:p>
          <w:p w14:paraId="10C4094A"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FFS: When used for the purpose of joint beam indication for UL and DL, whether a joint TCI pool for DL and UL dedicated for the purpose is used, or the same TCI pool as that used for the purpose of separate DL/UL beam indication is used </w:t>
            </w:r>
          </w:p>
          <w:p w14:paraId="4BA50C36"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The resulting beam indication directly refers to the associated source RS(s)</w:t>
            </w:r>
          </w:p>
          <w:p w14:paraId="15D25387"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(RAN1#103-e): Details on extension to intra- and inter-band CA</w:t>
            </w:r>
          </w:p>
          <w:p w14:paraId="40DB28B3"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FFS (RAN1#103-e): The supported number of active TCI states considering factors such as multi-TRP and issue 6 </w:t>
            </w:r>
          </w:p>
          <w:p w14:paraId="32B53FE2"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(RAN1#103-e): Applicable QCL types, and co-existence with DL TCI and spatial relation indication in Rel.15/16</w:t>
            </w:r>
          </w:p>
          <w:p w14:paraId="6E60874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investigate, for the purpose of down selection, the following alternatives for accommodating the case of separate beam indication for UL and DL</w:t>
            </w:r>
          </w:p>
          <w:p w14:paraId="0833C31C"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Alt1. Utilize the joint TCI </w:t>
            </w:r>
            <w:r w:rsidRPr="000146F7">
              <w:rPr>
                <w:rFonts w:ascii="Times New Roman" w:eastAsia="Times New Roman" w:hAnsi="Times New Roman"/>
                <w:sz w:val="18"/>
                <w:szCs w:val="18"/>
                <w:lang w:eastAsia="zh-CN"/>
              </w:rPr>
              <w:t>to include references for both DL and UL beams</w:t>
            </w:r>
          </w:p>
          <w:p w14:paraId="44D0C1BE"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Alt2. Utilize two separate TCI states, one for DL and one for UL. The TCI state for the DL is the same as agreed in 1a. The TCI state for the UL can be newly introduced.</w:t>
            </w:r>
          </w:p>
          <w:p w14:paraId="17A5752F"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Alt 2-1: The UL TCI state is taken from the same pool of TCI states as the DL TCI state</w:t>
            </w:r>
          </w:p>
          <w:p w14:paraId="418D59C6"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Alt 2-2: The UL TCI state is taken from another pool of TCI states than the DL TCI state</w:t>
            </w:r>
          </w:p>
          <w:p w14:paraId="66B9E8A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The resulting beam indication directly refers to the associated source RS(s)</w:t>
            </w:r>
          </w:p>
          <w:p w14:paraId="051E515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(RAN1#103-e): Details on extension to intra- and inter-band CA</w:t>
            </w:r>
          </w:p>
          <w:p w14:paraId="77224852"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Note: This may be related to issue 5 as well as </w:t>
            </w:r>
            <w:r w:rsidRPr="000146F7">
              <w:rPr>
                <w:rFonts w:ascii="Times New Roman" w:hAnsi="Times New Roman"/>
                <w:sz w:val="18"/>
                <w:szCs w:val="18"/>
                <w:lang w:eastAsia="zh-CN"/>
              </w:rPr>
              <w:t>other reasons for different TCIs such as network flexibility/scheduling</w:t>
            </w:r>
          </w:p>
          <w:p w14:paraId="793D5EF5"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lastRenderedPageBreak/>
              <w:t>Support the use of SSB/CSI-RS for BM and/or SRS for BM as source RS to determine a UL TX spatial filter in the unified TCI framework</w:t>
            </w:r>
          </w:p>
          <w:p w14:paraId="4270CFDF"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Whether the UL TX spatial filter corresponds to UL TCI (separate from DL TCI) depends on the outcome of 1b) above</w:t>
            </w:r>
          </w:p>
          <w:p w14:paraId="7CE36304"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Support the use of non-BM CSI-RS and/or non-BM SRS in addition</w:t>
            </w:r>
          </w:p>
          <w:p w14:paraId="3A5A9BD2"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decide if SRS for BM can be configured as a source RS to represent a DL RX spatial filter in the unified TCI framework</w:t>
            </w:r>
          </w:p>
          <w:p w14:paraId="41189B6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In RAN1#103-e, decide/finalize all other parameters included in or concurrent with (but not included in) the TCI, e.g. UL-PC-related parameters (involving P0/alpha, PL RS, and/or closed loop index), UL-timing-related parameters  </w:t>
            </w:r>
          </w:p>
          <w:p w14:paraId="680FCA7D"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identify issues pertaining to alignment between DL and UL default beam assumptions using the unified TCI framework</w:t>
            </w:r>
          </w:p>
          <w:p w14:paraId="40D7FD18"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[Issue 2] For Rel.17 NR FeMIMO, on L1/L2-centric inter-cell mobility: </w:t>
            </w:r>
          </w:p>
          <w:p w14:paraId="391559D6"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In RAN1#103-e, finalize scope and use cases for L1/L2-centric inter-cell mobility, including: </w:t>
            </w:r>
          </w:p>
          <w:p w14:paraId="03243199"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Applicability in various non-CA and CA setups such as intra-band and inter-band CA</w:t>
            </w:r>
          </w:p>
          <w:p w14:paraId="1E8F7FAB"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Use cases in comparison to Rel.15 L3-based handover (HO) taking into account potential extension of DAPS-based Rel.16 mobility enhancement to FR2-FR2 HO</w:t>
            </w:r>
          </w:p>
          <w:p w14:paraId="022188BC"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The extent of RAN2 impact (MAC CE, RRC, user plane protocols)</w:t>
            </w:r>
          </w:p>
          <w:p w14:paraId="5B8754F5"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Network architecture, e.g. NSA vs. SA, inter-RAT scenarios</w:t>
            </w:r>
          </w:p>
          <w:p w14:paraId="71D331D7"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4E2BF918"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Method(s) for incorporating non-serving cell information associated with TCI</w:t>
            </w:r>
          </w:p>
          <w:p w14:paraId="07FFEE74"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Method(s) for DL measurements and UE reporting (e.g. L1-RSRP) associated with non-serving cell(s)</w:t>
            </w:r>
          </w:p>
          <w:p w14:paraId="006B9EBA"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bookmarkStart w:id="0" w:name="_Hlk49275654"/>
            <w:r w:rsidRPr="000146F7">
              <w:rPr>
                <w:rFonts w:ascii="Times New Roman" w:hAnsi="Times New Roman"/>
                <w:sz w:val="18"/>
                <w:szCs w:val="18"/>
              </w:rPr>
              <w:t>UE behavior for reception of signals and non-UE-specific control and data channels associated with non-serving cell(s)</w:t>
            </w:r>
            <w:bookmarkEnd w:id="0"/>
            <w:r w:rsidRPr="000146F7">
              <w:rPr>
                <w:rFonts w:ascii="Times New Roman" w:hAnsi="Times New Roman"/>
                <w:sz w:val="18"/>
                <w:szCs w:val="18"/>
              </w:rPr>
              <w:t xml:space="preserve"> </w:t>
            </w:r>
          </w:p>
          <w:p w14:paraId="3BB4FD18"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UL-related enhancements, e.g. related to RA procedure including TA</w:t>
            </w:r>
          </w:p>
          <w:p w14:paraId="295E4C0D"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Beam-level event-driven mechanism for L1/L2-centric inter-cell mobility</w:t>
            </w:r>
          </w:p>
          <w:p w14:paraId="219854DC"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[Issue 3] For Rel.17 NR FeMIMO, on dynamic TCI state update signaling medium: </w:t>
            </w:r>
          </w:p>
          <w:p w14:paraId="6BFC2FF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investigate, for the purpose of down selection, the following alternatives:</w:t>
            </w:r>
          </w:p>
          <w:p w14:paraId="44CA2CB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Alt1. DCI</w:t>
            </w:r>
          </w:p>
          <w:p w14:paraId="1B21613D"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Alt2. MAC CE</w:t>
            </w:r>
          </w:p>
          <w:p w14:paraId="6A9C19F4"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Note: Combination between DCI and MAC CE for, e.g. different use cases or control information partitioning can also be considered </w:t>
            </w:r>
          </w:p>
          <w:p w14:paraId="019C99B5"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FC17617"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This may be related to outcome of issue 1a), 1b), and 6a)</w:t>
            </w:r>
          </w:p>
          <w:p w14:paraId="6BDC392E"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In RAN1#103-e, depending on the outcome of 3a), identify candidates for more detailed design issues for the dynamic TCI state update such as </w:t>
            </w:r>
          </w:p>
          <w:p w14:paraId="7A8A8395"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Exact content </w:t>
            </w:r>
          </w:p>
          <w:p w14:paraId="2EE6DE4C"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Signaling format </w:t>
            </w:r>
          </w:p>
          <w:p w14:paraId="69EAC420"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Reliability aspects including the support of retransmission</w:t>
            </w:r>
          </w:p>
          <w:p w14:paraId="6E72FA8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Extensions, including the support of UE-group (in contrast to UE-dedicated) signaling</w:t>
            </w:r>
          </w:p>
          <w:p w14:paraId="4C0122DF"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[Issue 4] For Rel.17 NR FeMIMO, on MP-UE assumption to facilitate fast UL panel selection:</w:t>
            </w:r>
          </w:p>
          <w:p w14:paraId="62A3902A"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The following assumptions are used: </w:t>
            </w:r>
          </w:p>
          <w:p w14:paraId="37DE7C37"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In terms of RF functionality, a UE panel comprises a collection of TXRUs that is able to generate one analog beam (one beam may correspond to two antenna ports if dual-polarized array is used)</w:t>
            </w:r>
          </w:p>
          <w:p w14:paraId="6D502577"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UE panels can constitute the same as well as different number of antenna ports, number of beams, and EIRP </w:t>
            </w:r>
          </w:p>
          <w:p w14:paraId="36BA3E1E"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 beam correspondence across different UE panels</w:t>
            </w:r>
          </w:p>
          <w:p w14:paraId="21EDD05A"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For each UE panel, it can comprise an independent unit of PC, FFT timing window, and/or TA.</w:t>
            </w:r>
          </w:p>
          <w:p w14:paraId="3B5EE32A"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eastAsia="Malgun Gothic" w:hAnsi="Times New Roman"/>
                <w:sz w:val="18"/>
                <w:szCs w:val="18"/>
              </w:rPr>
              <w:t>FFS: Same or different sets of UE panels can be used for DL reception and UL transmission, respectively</w:t>
            </w:r>
          </w:p>
          <w:p w14:paraId="423D8D43"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identify candidate use cases including MPE, and consider remaining aspects if use cases are identified</w:t>
            </w:r>
          </w:p>
          <w:p w14:paraId="4E61165C"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identify candidate signaling schemes for the following:</w:t>
            </w:r>
          </w:p>
          <w:p w14:paraId="7DA3AB26"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NW to MP-UE (taking into account potential extension of the unified TCI framework in issue 1)</w:t>
            </w:r>
          </w:p>
          <w:p w14:paraId="0AE9C7F2"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MP-UE to NW</w:t>
            </w:r>
          </w:p>
          <w:p w14:paraId="45A83B32"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[Issue 5] For Rel.17 NR FeMIMO, on MPE mitigation (that is, minimizing the UL coverage loss due to the UE having to meet the MPE regulation), in RAN1#103-e: </w:t>
            </w:r>
          </w:p>
          <w:p w14:paraId="61F3D46A"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If needed, identify candidate solutions to be down-selected in future meeting(s). The following sub-categories can be used:</w:t>
            </w:r>
          </w:p>
          <w:p w14:paraId="6228CBE2"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lastRenderedPageBreak/>
              <w:t>CAT0. The need for specification support for MPE event detection and, if needed, candidate solutions</w:t>
            </w:r>
          </w:p>
          <w:p w14:paraId="52229416"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CAT1. The need for UE reporting associated with an MPE and/or a potential/anticipated MPE event if the UE selects a certain UL spatial resource, e.g., corresponding to DL or UL RS</w:t>
            </w:r>
          </w:p>
          <w:p w14:paraId="1397FAEB"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CAT2. The need for NW signaling in response to the reported MPE event (taking into account issue 1) and UE behavior after receiving the NW signaling</w:t>
            </w:r>
          </w:p>
          <w:p w14:paraId="4881C490"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RAN4 has agreed to specify P-MPR reporting (cf. CRs for TS 38.101/102/133) which can be used as a baseline scheme for further enhancement</w:t>
            </w:r>
          </w:p>
          <w:p w14:paraId="355EB52F"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This may be related to outcome of issue 4b)</w:t>
            </w:r>
          </w:p>
          <w:p w14:paraId="0D59A2F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Companies are encouraged to submit evaluation results based on the agreed EVM to justify the benefits of the candidate solutions</w:t>
            </w:r>
          </w:p>
          <w:p w14:paraId="42CEB8B9"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[Issue 6] For Rel.17 NR FeMIMO, </w:t>
            </w:r>
          </w:p>
          <w:p w14:paraId="0F9171DE"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24E17FCC" w14:textId="459C8A79" w:rsidR="000146F7" w:rsidRPr="000146F7" w:rsidRDefault="000146F7" w:rsidP="000146F7">
            <w:pPr>
              <w:pStyle w:val="ListParagraph"/>
              <w:numPr>
                <w:ilvl w:val="1"/>
                <w:numId w:val="8"/>
              </w:numPr>
              <w:snapToGrid w:val="0"/>
              <w:ind w:leftChars="0"/>
              <w:contextualSpacing/>
              <w:rPr>
                <w:sz w:val="18"/>
                <w:szCs w:val="18"/>
              </w:rPr>
            </w:pPr>
            <w:r w:rsidRPr="000146F7">
              <w:rPr>
                <w:rFonts w:ascii="Times New Roman" w:hAnsi="Times New Roman"/>
                <w:sz w:val="18"/>
                <w:szCs w:val="18"/>
              </w:rPr>
              <w:t xml:space="preserve">Partial BFR will be handled in ITEM 2c (BM enhancement for mTRP) </w:t>
            </w:r>
          </w:p>
        </w:tc>
      </w:tr>
    </w:tbl>
    <w:p w14:paraId="32135821" w14:textId="06E81146" w:rsidR="003A33FE" w:rsidRDefault="000146F7" w:rsidP="00497AFF">
      <w:pPr>
        <w:pStyle w:val="00Text"/>
      </w:pPr>
      <w:r>
        <w:lastRenderedPageBreak/>
        <w:t xml:space="preserve"> </w:t>
      </w:r>
    </w:p>
    <w:p w14:paraId="28568785" w14:textId="384DD026" w:rsidR="003A33FE" w:rsidRDefault="002328B0" w:rsidP="00497AFF">
      <w:pPr>
        <w:pStyle w:val="00Text"/>
      </w:pPr>
      <w:r w:rsidRPr="00497AFF">
        <w:t xml:space="preserve">In this contribution, we present our views on various </w:t>
      </w:r>
      <w:r w:rsidR="003A33FE">
        <w:t xml:space="preserve">aspects on NR multi-beam operation enhancement. In particular, we will present our views on </w:t>
      </w:r>
      <w:r w:rsidR="006F6D28">
        <w:t xml:space="preserve">unified TCI state and </w:t>
      </w:r>
      <w:r w:rsidR="003A33FE">
        <w:t xml:space="preserve">common beam operation, </w:t>
      </w:r>
      <w:r w:rsidR="00833D9E">
        <w:t xml:space="preserve">inter-cell mobility, </w:t>
      </w:r>
      <w:r w:rsidR="003A33FE">
        <w:t>UL beam selection and MPE issues.</w:t>
      </w:r>
    </w:p>
    <w:p w14:paraId="1646829D" w14:textId="516B64B6" w:rsidR="002C4DCC" w:rsidRDefault="00EE55B6" w:rsidP="002C4DCC">
      <w:pPr>
        <w:pStyle w:val="01"/>
        <w:numPr>
          <w:ilvl w:val="0"/>
          <w:numId w:val="1"/>
        </w:numPr>
        <w:ind w:left="562" w:hanging="562"/>
      </w:pPr>
      <w:r>
        <w:t xml:space="preserve">Unified TCI </w:t>
      </w:r>
      <w:r w:rsidR="00D61D3A">
        <w:t>and Common Beam Operation</w:t>
      </w:r>
    </w:p>
    <w:p w14:paraId="1986E6D0" w14:textId="64383694" w:rsidR="007E0349" w:rsidRDefault="007E0349" w:rsidP="00C04386">
      <w:pPr>
        <w:pStyle w:val="Heading2"/>
      </w:pPr>
      <w:r w:rsidRPr="007E0349">
        <w:rPr>
          <w:sz w:val="22"/>
          <w:szCs w:val="24"/>
          <w:lang w:eastAsia="zh-CN"/>
        </w:rPr>
        <w:t xml:space="preserve">Common </w:t>
      </w:r>
      <w:r w:rsidR="006F6D28">
        <w:rPr>
          <w:sz w:val="22"/>
          <w:szCs w:val="24"/>
          <w:lang w:eastAsia="zh-CN"/>
        </w:rPr>
        <w:t>QCL and Spatial Setting</w:t>
      </w:r>
      <w:r w:rsidRPr="007E0349">
        <w:rPr>
          <w:sz w:val="22"/>
          <w:szCs w:val="24"/>
          <w:lang w:eastAsia="zh-CN"/>
        </w:rPr>
        <w:t xml:space="preserve"> </w:t>
      </w:r>
    </w:p>
    <w:p w14:paraId="464FD86C" w14:textId="3F757E9B" w:rsidR="002E0083" w:rsidRDefault="002E0083" w:rsidP="002E0083">
      <w:pPr>
        <w:pStyle w:val="00Text"/>
      </w:pPr>
      <w:r>
        <w:t xml:space="preserve">In rel-15 and rel-16, Tx beam is indicated for each channel and reference signal individually. In downlink transmission, a TCI state is indicated for each individual CORESET and each individual CSI-RS resource. TCI state is also indicated separately for PDSCH transmission. In uplink transmission, spatial relation info is indicated to each PUCCH resource and each SRS resource. </w:t>
      </w:r>
      <w:r w:rsidR="009861B8">
        <w:t xml:space="preserve">Such a design does give system full flexibility of implementation but on the other hand, that causes significant signaling overhead and latency of TCI state or spatial relation info switch. In practical deployment, such implementation flexibility is not critical but the system has to bear the cost. Therefore, a common TCI state operation is desired so that same TCI state/spatial relation info are applied to all the channels. </w:t>
      </w:r>
    </w:p>
    <w:p w14:paraId="42DCA205" w14:textId="43FA5947" w:rsidR="00362B55" w:rsidRDefault="009861B8" w:rsidP="00362B55">
      <w:pPr>
        <w:pStyle w:val="00Text"/>
      </w:pPr>
      <w:r>
        <w:t xml:space="preserve">As we discussed in last meeting, we can indicate M TCI state(s) to provide common QCL assumption for UE-dedicated </w:t>
      </w:r>
      <w:r>
        <w:rPr>
          <w:rFonts w:hint="eastAsia"/>
        </w:rPr>
        <w:t>PDSCH</w:t>
      </w:r>
      <w:r>
        <w:t xml:space="preserve"> </w:t>
      </w:r>
      <w:r>
        <w:rPr>
          <w:rFonts w:hint="eastAsia"/>
        </w:rPr>
        <w:t>a</w:t>
      </w:r>
      <w:r>
        <w:t xml:space="preserve">nd PDCCH and N TCI state(s) to provide common spatial setting for UE dedicated PUSCH and PUCCH. The value of M and N is FFS between = 1 and  &gt;= 1. In our view, M = 1 and N = 1 shall be selected to support common TCI state operation. </w:t>
      </w:r>
      <w:r w:rsidR="00D61D3A">
        <w:t>There is no strong justification to support M &gt; 1 or N =1 in common TCI state operation:</w:t>
      </w:r>
    </w:p>
    <w:p w14:paraId="763FD135" w14:textId="740B1F9B" w:rsidR="00D61D3A" w:rsidRDefault="00D61D3A" w:rsidP="00D61D3A">
      <w:pPr>
        <w:pStyle w:val="00Text"/>
        <w:numPr>
          <w:ilvl w:val="0"/>
          <w:numId w:val="10"/>
        </w:numPr>
      </w:pPr>
      <w:r>
        <w:t xml:space="preserve">As stated in the WID, one of the objectives for enhancement on multi-beam operation is to support common beam for data and control transmission/reception for DL and UL. Common beam implied single TCI state for data and control transmission/reception.  </w:t>
      </w:r>
    </w:p>
    <w:p w14:paraId="69C873EB" w14:textId="7A4C2DE7" w:rsidR="00D61D3A" w:rsidRDefault="007D7CF3" w:rsidP="00D61D3A">
      <w:pPr>
        <w:pStyle w:val="00Text"/>
        <w:numPr>
          <w:ilvl w:val="0"/>
          <w:numId w:val="10"/>
        </w:numPr>
      </w:pPr>
      <w:r>
        <w:t>Supporting M &gt; 1 or N &gt; 1 would imply that the system would indicate different QCL or spatial setting on different channels. That is the design specified in rel-15 and rel-16. Since that is equivalently what can be supported in rel</w:t>
      </w:r>
      <w:r w:rsidR="00031B46">
        <w:t>-</w:t>
      </w:r>
      <w:r>
        <w:t>15/rel</w:t>
      </w:r>
      <w:r w:rsidR="00031B46">
        <w:t>-</w:t>
      </w:r>
      <w:r>
        <w:t>16</w:t>
      </w:r>
      <w:r w:rsidR="00031B46">
        <w:t>.</w:t>
      </w:r>
    </w:p>
    <w:p w14:paraId="18CE1CFA" w14:textId="5ACDC7E0" w:rsidR="00031B46" w:rsidRDefault="00F316D9" w:rsidP="00D61D3A">
      <w:pPr>
        <w:pStyle w:val="00Text"/>
        <w:numPr>
          <w:ilvl w:val="0"/>
          <w:numId w:val="10"/>
        </w:numPr>
      </w:pPr>
      <w:r>
        <w:t xml:space="preserve">It is preferred to finish the common QCL/spatial setting for baseline system (i.e., single-TRP) first before we can consider to extend it to the multi-TRP system. </w:t>
      </w:r>
    </w:p>
    <w:p w14:paraId="2379BE15" w14:textId="18A757DF" w:rsidR="00F316D9" w:rsidRDefault="00F316D9" w:rsidP="00F316D9">
      <w:pPr>
        <w:pStyle w:val="000proposals"/>
      </w:pPr>
      <w:bookmarkStart w:id="1" w:name="_Hlk53585775"/>
      <w:r>
        <w:t xml:space="preserve">Proposal 1: Support to indicate M = 1 TCI state to provide common QCL information for UE-dedicated PDSCH and PDCCH and indicate N = 1 TCI state to provide common spatial setting for UE-dedicated PUCCH and PUSCH. </w:t>
      </w:r>
    </w:p>
    <w:bookmarkEnd w:id="1"/>
    <w:p w14:paraId="66E2C579" w14:textId="1029A8E0" w:rsidR="00AA6CB5" w:rsidRDefault="00AA6CB5" w:rsidP="00AA6CB5">
      <w:pPr>
        <w:pStyle w:val="00Text"/>
      </w:pPr>
      <w:r>
        <w:t xml:space="preserve">Regarding the TCI state providing common QCL information for DL, besides </w:t>
      </w:r>
      <w:r>
        <w:rPr>
          <w:rFonts w:hint="eastAsia"/>
        </w:rPr>
        <w:t>UE-dedicated</w:t>
      </w:r>
      <w:r>
        <w:t xml:space="preserve"> PDCCH and PDSCH, the indicated common QCL information shall be applied to the following downlink signals:</w:t>
      </w:r>
    </w:p>
    <w:p w14:paraId="29404655" w14:textId="7665FAC9" w:rsidR="00AA6CB5" w:rsidRDefault="00AA6CB5" w:rsidP="00AA6CB5">
      <w:pPr>
        <w:pStyle w:val="00Text"/>
        <w:numPr>
          <w:ilvl w:val="0"/>
          <w:numId w:val="11"/>
        </w:numPr>
      </w:pPr>
      <w:r>
        <w:lastRenderedPageBreak/>
        <w:t>CSI-RS resource for CSI acquisition: the common QCL information shall be applied to the CSI-RS resources used to measure CSI information so that the UE can always be requested to measure the CSI of the current ‘beam pair link’.</w:t>
      </w:r>
    </w:p>
    <w:p w14:paraId="25923725" w14:textId="77777777" w:rsidR="00AB13FB" w:rsidRDefault="00AA6CB5" w:rsidP="00AA6CB5">
      <w:pPr>
        <w:pStyle w:val="00Text"/>
        <w:numPr>
          <w:ilvl w:val="0"/>
          <w:numId w:val="11"/>
        </w:numPr>
      </w:pPr>
      <w:r>
        <w:t xml:space="preserve">CSI-RS resource for beam management: we shall support to apply the common QCL information on some CSI-RS resource for beam management. One use case for that is the common QCL information can be applied to a set of CSI-RS for beam management with repetition = ‘On’ so that the UE can </w:t>
      </w:r>
      <w:r w:rsidR="00AB13FB">
        <w:t>always refine its Rx beam with respect the ‘current’ Tx beam.</w:t>
      </w:r>
    </w:p>
    <w:p w14:paraId="4152EB3A" w14:textId="5233D73C" w:rsidR="00AA6CB5" w:rsidRDefault="00AB13FB" w:rsidP="00AB13FB">
      <w:pPr>
        <w:pStyle w:val="00Text"/>
      </w:pPr>
      <w:r>
        <w:t>Similarly, regarding the TCI state providing</w:t>
      </w:r>
      <w:r w:rsidR="00A82349">
        <w:t xml:space="preserve"> common</w:t>
      </w:r>
      <w:r>
        <w:t xml:space="preserve"> spatial setting for UL, besides </w:t>
      </w:r>
      <w:r w:rsidR="00A82349">
        <w:t xml:space="preserve">UE-dedicated PUCCH and PUSCH and SRS for codebook/non-codebook/antenna switching, the indicated common spatial setting for UL shall be applied to some SRS resource for beam management. One use case for that is the common spatial setting can be applied to a set of SRS resources for beam management so that the gNB can refine its UL Rx beam always with respect to the current UL Tx beam. </w:t>
      </w:r>
    </w:p>
    <w:p w14:paraId="29D50286" w14:textId="0844397C" w:rsidR="00A82349" w:rsidRDefault="00A82349" w:rsidP="00A82349">
      <w:pPr>
        <w:pStyle w:val="000proposal"/>
      </w:pPr>
      <w:bookmarkStart w:id="2" w:name="_Hlk53585783"/>
      <w:r>
        <w:t>Proposal 2: The common QCL information shall be applied to all the CSI-RS resource for CSI acquisition and some CSI-RS resource for beam management.</w:t>
      </w:r>
    </w:p>
    <w:p w14:paraId="3C5E0CE2" w14:textId="7BEA387D" w:rsidR="00A82349" w:rsidRDefault="00A82349" w:rsidP="00A82349">
      <w:pPr>
        <w:pStyle w:val="000proposal"/>
      </w:pPr>
      <w:r>
        <w:t xml:space="preserve">Proposal 3: The common spatial setting shall be applied to some SRS resource </w:t>
      </w:r>
      <w:r w:rsidR="006F6D28">
        <w:t xml:space="preserve">set </w:t>
      </w:r>
      <w:r>
        <w:t>for beam management.</w:t>
      </w:r>
    </w:p>
    <w:bookmarkEnd w:id="2"/>
    <w:p w14:paraId="3ADC2EEE" w14:textId="4A7A0588" w:rsidR="007E0349" w:rsidRDefault="007E0349" w:rsidP="001D2E38">
      <w:pPr>
        <w:pStyle w:val="Heading2"/>
      </w:pPr>
      <w:r w:rsidRPr="007E0349">
        <w:rPr>
          <w:sz w:val="22"/>
          <w:szCs w:val="24"/>
          <w:lang w:eastAsia="zh-CN"/>
        </w:rPr>
        <w:t>Unified TCI framework</w:t>
      </w:r>
    </w:p>
    <w:p w14:paraId="2256F99E" w14:textId="025C67A2" w:rsidR="00A82349" w:rsidRDefault="007E0349" w:rsidP="00AB13FB">
      <w:pPr>
        <w:pStyle w:val="00Text"/>
      </w:pPr>
      <w:r>
        <w:t xml:space="preserve">For the beam indication for UL and DL, we listed two alternatives </w:t>
      </w:r>
      <w:r w:rsidR="00547A6B">
        <w:t xml:space="preserve">for TCI state configuration </w:t>
      </w:r>
      <w:r>
        <w:t>in last meeting:</w:t>
      </w:r>
    </w:p>
    <w:p w14:paraId="43ACB5C8" w14:textId="098E92EE" w:rsidR="007E0349" w:rsidRDefault="007E0349" w:rsidP="007E0349">
      <w:pPr>
        <w:pStyle w:val="00Text"/>
        <w:numPr>
          <w:ilvl w:val="0"/>
          <w:numId w:val="12"/>
        </w:numPr>
      </w:pPr>
      <w:r>
        <w:t>Alt1: utilize joint TCI state to include references for both DL and UL</w:t>
      </w:r>
    </w:p>
    <w:p w14:paraId="3DA774AD" w14:textId="1EAF33AA" w:rsidR="007E0349" w:rsidRDefault="007E0349" w:rsidP="007E0349">
      <w:pPr>
        <w:pStyle w:val="00Text"/>
        <w:numPr>
          <w:ilvl w:val="0"/>
          <w:numId w:val="12"/>
        </w:numPr>
      </w:pPr>
      <w:r>
        <w:t>Alt2: utilize two separate TCI states</w:t>
      </w:r>
      <w:r w:rsidR="00747D5C">
        <w:t>. One for DL and another one for UL.</w:t>
      </w:r>
    </w:p>
    <w:p w14:paraId="587247E6" w14:textId="77777777" w:rsidR="00747D5C" w:rsidRDefault="00747D5C" w:rsidP="00747D5C">
      <w:pPr>
        <w:pStyle w:val="00Text"/>
      </w:pPr>
      <w:r>
        <w:t xml:space="preserve">From our understanding, Alt1 and Alt 2 are equivalent in essence and both can realize the same function of common TCI state to provide common QCL information and common spatial setting. </w:t>
      </w:r>
    </w:p>
    <w:p w14:paraId="425DBE20" w14:textId="46D44545" w:rsidR="00747D5C" w:rsidRDefault="00747D5C" w:rsidP="00747D5C">
      <w:pPr>
        <w:pStyle w:val="00Text"/>
      </w:pPr>
      <w:r>
        <w:t>In Alt1, we would configure a pool of TCI states and each TCI state shall include the following reference(s) providing QCL information for DL and spatial setting for UL:</w:t>
      </w:r>
    </w:p>
    <w:p w14:paraId="209766AB" w14:textId="1ED103A9" w:rsidR="00747D5C" w:rsidRDefault="00747D5C" w:rsidP="00747D5C">
      <w:pPr>
        <w:pStyle w:val="00Text"/>
        <w:numPr>
          <w:ilvl w:val="0"/>
          <w:numId w:val="13"/>
        </w:numPr>
      </w:pPr>
      <w:r>
        <w:t xml:space="preserve">One or two </w:t>
      </w:r>
      <w:r>
        <w:rPr>
          <w:rFonts w:hint="eastAsia"/>
        </w:rPr>
        <w:t>RS</w:t>
      </w:r>
      <w:r>
        <w:t xml:space="preserve"> </w:t>
      </w:r>
      <w:r>
        <w:rPr>
          <w:rFonts w:hint="eastAsia"/>
        </w:rPr>
        <w:t>resources</w:t>
      </w:r>
      <w:r>
        <w:t xml:space="preserve"> </w:t>
      </w:r>
      <w:r>
        <w:rPr>
          <w:rFonts w:hint="eastAsia"/>
        </w:rPr>
        <w:t>providing</w:t>
      </w:r>
      <w:r>
        <w:t xml:space="preserve"> </w:t>
      </w:r>
      <w:r>
        <w:rPr>
          <w:rFonts w:hint="eastAsia"/>
        </w:rPr>
        <w:t>QCL</w:t>
      </w:r>
      <w:r>
        <w:t xml:space="preserve"> </w:t>
      </w:r>
      <w:r>
        <w:rPr>
          <w:rFonts w:hint="eastAsia"/>
        </w:rPr>
        <w:t>configuration</w:t>
      </w:r>
      <w:r>
        <w:t xml:space="preserve"> </w:t>
      </w:r>
      <w:r>
        <w:rPr>
          <w:rFonts w:hint="eastAsia"/>
        </w:rPr>
        <w:t>f</w:t>
      </w:r>
      <w:r>
        <w:t>or DL channel and CSI-RS.</w:t>
      </w:r>
    </w:p>
    <w:p w14:paraId="7F867F21" w14:textId="5386310D" w:rsidR="00747D5C" w:rsidRDefault="00747D5C" w:rsidP="00747D5C">
      <w:pPr>
        <w:pStyle w:val="00Text"/>
        <w:numPr>
          <w:ilvl w:val="0"/>
          <w:numId w:val="13"/>
        </w:numPr>
      </w:pPr>
      <w:r>
        <w:rPr>
          <w:rFonts w:hint="eastAsia"/>
        </w:rPr>
        <w:t>One</w:t>
      </w:r>
      <w:r>
        <w:t xml:space="preserve"> RS resource providing spatial setting for UL channel and SRS</w:t>
      </w:r>
    </w:p>
    <w:p w14:paraId="5E14A493" w14:textId="461EC3D9" w:rsidR="00747D5C" w:rsidRDefault="00747D5C" w:rsidP="00747D5C">
      <w:pPr>
        <w:pStyle w:val="00Text"/>
        <w:numPr>
          <w:ilvl w:val="0"/>
          <w:numId w:val="13"/>
        </w:numPr>
      </w:pPr>
      <w:r>
        <w:t>One RS resource providing pathloss RS for UL channel and SRS.</w:t>
      </w:r>
    </w:p>
    <w:p w14:paraId="254C354C" w14:textId="5E436874" w:rsidR="00747D5C" w:rsidRDefault="00C97A8E" w:rsidP="00747D5C">
      <w:pPr>
        <w:pStyle w:val="00Text"/>
      </w:pPr>
      <w:r>
        <w:t xml:space="preserve">In Alt2, we could configure either one pool of </w:t>
      </w:r>
      <w:r w:rsidR="006B55C7">
        <w:t>DL or UL</w:t>
      </w:r>
      <w:r>
        <w:t xml:space="preserve">TCI states for both DL and UL or configure one pool for DL TCI states and another </w:t>
      </w:r>
      <w:r w:rsidR="006B55C7">
        <w:t>pool of UL TCI states. One DL TCI state shall include one or two RS resources prov</w:t>
      </w:r>
      <w:r w:rsidR="006B55C7">
        <w:rPr>
          <w:rFonts w:hint="eastAsia"/>
        </w:rPr>
        <w:t>iding</w:t>
      </w:r>
      <w:r w:rsidR="006B55C7">
        <w:t xml:space="preserve"> </w:t>
      </w:r>
      <w:r w:rsidR="006B55C7">
        <w:rPr>
          <w:rFonts w:hint="eastAsia"/>
        </w:rPr>
        <w:t>QCL</w:t>
      </w:r>
      <w:r w:rsidR="006B55C7">
        <w:t xml:space="preserve"> information for DL channels and CSI-RS</w:t>
      </w:r>
      <w:r w:rsidR="006B55C7">
        <w:rPr>
          <w:rFonts w:hint="eastAsia"/>
        </w:rPr>
        <w:t>,</w:t>
      </w:r>
      <w:r w:rsidR="006B55C7">
        <w:t xml:space="preserve"> and one UL TCI state shall include one RS resource providing spatial setting for UL channel and SRS and one RS resource providing pathloss RS for UL transmission.</w:t>
      </w:r>
    </w:p>
    <w:p w14:paraId="5B0B1908" w14:textId="6737DB18" w:rsidR="006B55C7" w:rsidRDefault="006B55C7" w:rsidP="00747D5C">
      <w:pPr>
        <w:pStyle w:val="00Text"/>
      </w:pPr>
      <w:r>
        <w:t>In comparison with Alt2, Alt1 has simpler and neater configuration. Therefore, Alt1 is preferred.</w:t>
      </w:r>
    </w:p>
    <w:p w14:paraId="64DD23F3" w14:textId="754CD042" w:rsidR="006B55C7" w:rsidRDefault="006B55C7" w:rsidP="006B55C7">
      <w:pPr>
        <w:pStyle w:val="000proposals"/>
      </w:pPr>
      <w:bookmarkStart w:id="3" w:name="_Hlk53585807"/>
      <w:r>
        <w:t>Proposal 4: Support joint TCI state to include references for both DL and UL, and each TCI state include the following information:</w:t>
      </w:r>
    </w:p>
    <w:p w14:paraId="1EDE6C3D" w14:textId="73CD65A2" w:rsidR="006B55C7" w:rsidRDefault="006B55C7" w:rsidP="006B55C7">
      <w:pPr>
        <w:pStyle w:val="000proposals"/>
        <w:numPr>
          <w:ilvl w:val="0"/>
          <w:numId w:val="15"/>
        </w:numPr>
      </w:pPr>
      <w:r>
        <w:t>One or two RS resources providing QCL information</w:t>
      </w:r>
    </w:p>
    <w:p w14:paraId="29C0DAD5" w14:textId="5F50076B" w:rsidR="006B55C7" w:rsidRDefault="006B55C7" w:rsidP="006B55C7">
      <w:pPr>
        <w:pStyle w:val="000proposals"/>
        <w:numPr>
          <w:ilvl w:val="0"/>
          <w:numId w:val="15"/>
        </w:numPr>
      </w:pPr>
      <w:r>
        <w:t>One RS resource providing spatial setting</w:t>
      </w:r>
    </w:p>
    <w:p w14:paraId="1C398218" w14:textId="792562D2" w:rsidR="006B55C7" w:rsidRDefault="006B55C7" w:rsidP="006B55C7">
      <w:pPr>
        <w:pStyle w:val="000proposals"/>
        <w:numPr>
          <w:ilvl w:val="0"/>
          <w:numId w:val="15"/>
        </w:numPr>
      </w:pPr>
      <w:r>
        <w:t>One RS resource providing pathloss RS.</w:t>
      </w:r>
    </w:p>
    <w:bookmarkEnd w:id="3"/>
    <w:p w14:paraId="2A4CFCB0" w14:textId="77777777" w:rsidR="006B55C7" w:rsidRPr="006B55C7" w:rsidRDefault="006B55C7" w:rsidP="006B55C7">
      <w:pPr>
        <w:pStyle w:val="00Text"/>
      </w:pPr>
    </w:p>
    <w:p w14:paraId="485E9159" w14:textId="7BD9DE4A" w:rsidR="007E0349" w:rsidRDefault="00925672" w:rsidP="007E0349">
      <w:pPr>
        <w:pStyle w:val="Heading2"/>
        <w:rPr>
          <w:sz w:val="22"/>
          <w:szCs w:val="24"/>
          <w:lang w:eastAsia="zh-CN"/>
        </w:rPr>
      </w:pPr>
      <w:r>
        <w:rPr>
          <w:sz w:val="22"/>
          <w:szCs w:val="24"/>
          <w:lang w:eastAsia="zh-CN"/>
        </w:rPr>
        <w:t>Dynamic TCI state update signaling</w:t>
      </w:r>
    </w:p>
    <w:p w14:paraId="5EE16E8C" w14:textId="363230A5" w:rsidR="00925672" w:rsidRDefault="00925672" w:rsidP="00925672">
      <w:pPr>
        <w:pStyle w:val="BodyText"/>
        <w:rPr>
          <w:lang w:eastAsia="zh-CN"/>
        </w:rPr>
      </w:pPr>
      <w:r>
        <w:rPr>
          <w:lang w:eastAsia="zh-CN"/>
        </w:rPr>
        <w:t>For dynamic TCI state update, we agreed to investigate the following two alternatives of control signaling:</w:t>
      </w:r>
    </w:p>
    <w:p w14:paraId="0C2FAC0D" w14:textId="6F4AC174" w:rsidR="00925672" w:rsidRDefault="00925672" w:rsidP="00925672">
      <w:pPr>
        <w:pStyle w:val="BodyText"/>
        <w:numPr>
          <w:ilvl w:val="0"/>
          <w:numId w:val="16"/>
        </w:numPr>
        <w:rPr>
          <w:lang w:eastAsia="zh-CN"/>
        </w:rPr>
      </w:pPr>
      <w:r>
        <w:rPr>
          <w:lang w:eastAsia="zh-CN"/>
        </w:rPr>
        <w:t>Alt1: DCI</w:t>
      </w:r>
    </w:p>
    <w:p w14:paraId="21EC8005" w14:textId="7813142A" w:rsidR="00925672" w:rsidRDefault="00925672" w:rsidP="00925672">
      <w:pPr>
        <w:pStyle w:val="BodyText"/>
        <w:numPr>
          <w:ilvl w:val="0"/>
          <w:numId w:val="16"/>
        </w:numPr>
        <w:rPr>
          <w:lang w:eastAsia="zh-CN"/>
        </w:rPr>
      </w:pPr>
      <w:r>
        <w:rPr>
          <w:lang w:eastAsia="zh-CN"/>
        </w:rPr>
        <w:t>Alt2: MAC CE.</w:t>
      </w:r>
    </w:p>
    <w:p w14:paraId="0EF97517" w14:textId="421B4C85" w:rsidR="00925672" w:rsidRPr="00925672" w:rsidRDefault="00925672" w:rsidP="00925672">
      <w:pPr>
        <w:pStyle w:val="00Text"/>
      </w:pPr>
      <w:r>
        <w:t>These two alternatives can be analyzed from the perspective of latency and overhead. The time line of DCI-based TCI state update and MAC CE based TCI state are shown in Figure</w:t>
      </w:r>
      <w:r>
        <w:rPr>
          <w:rFonts w:hint="eastAsia"/>
        </w:rPr>
        <w:t>s</w:t>
      </w:r>
      <w:r>
        <w:t xml:space="preserve"> 1</w:t>
      </w:r>
      <w:r>
        <w:rPr>
          <w:rFonts w:hint="eastAsia"/>
        </w:rPr>
        <w:t>.</w:t>
      </w:r>
    </w:p>
    <w:p w14:paraId="32497D74" w14:textId="77777777" w:rsidR="007E0349" w:rsidRDefault="007E0349" w:rsidP="00362B55">
      <w:pPr>
        <w:pStyle w:val="00Text"/>
      </w:pPr>
    </w:p>
    <w:p w14:paraId="4E9ECE0A" w14:textId="1CDA7B4D" w:rsidR="00362B55" w:rsidRDefault="00362B55" w:rsidP="00362B55">
      <w:pPr>
        <w:pStyle w:val="00Text"/>
        <w:jc w:val="center"/>
      </w:pPr>
      <w:r>
        <w:rPr>
          <w:noProof/>
        </w:rPr>
        <w:drawing>
          <wp:inline distT="0" distB="0" distL="0" distR="0" wp14:anchorId="2C558A34" wp14:editId="021A32CB">
            <wp:extent cx="5206084" cy="39578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818" cy="3968292"/>
                    </a:xfrm>
                    <a:prstGeom prst="rect">
                      <a:avLst/>
                    </a:prstGeom>
                    <a:noFill/>
                  </pic:spPr>
                </pic:pic>
              </a:graphicData>
            </a:graphic>
          </wp:inline>
        </w:drawing>
      </w:r>
    </w:p>
    <w:p w14:paraId="04B902EE" w14:textId="6C5D6B80" w:rsidR="00362B55" w:rsidRDefault="00362B55" w:rsidP="00362B55">
      <w:pPr>
        <w:pStyle w:val="00Text"/>
        <w:jc w:val="center"/>
        <w:rPr>
          <w:b/>
          <w:bCs/>
        </w:rPr>
      </w:pPr>
      <w:r w:rsidRPr="00362B55">
        <w:rPr>
          <w:rFonts w:hint="eastAsia"/>
          <w:b/>
          <w:bCs/>
        </w:rPr>
        <w:t>Figure</w:t>
      </w:r>
      <w:r w:rsidRPr="00362B55">
        <w:rPr>
          <w:b/>
          <w:bCs/>
        </w:rPr>
        <w:t xml:space="preserve"> </w:t>
      </w:r>
      <w:r w:rsidRPr="00362B55">
        <w:rPr>
          <w:rFonts w:hint="eastAsia"/>
          <w:b/>
          <w:bCs/>
        </w:rPr>
        <w:t>1</w:t>
      </w:r>
      <w:r w:rsidRPr="00362B55">
        <w:rPr>
          <w:b/>
          <w:bCs/>
        </w:rPr>
        <w:t xml:space="preserve"> </w:t>
      </w:r>
      <w:r w:rsidRPr="00362B55">
        <w:rPr>
          <w:rFonts w:hint="eastAsia"/>
          <w:b/>
          <w:bCs/>
        </w:rPr>
        <w:t>Time</w:t>
      </w:r>
      <w:r w:rsidRPr="00362B55">
        <w:rPr>
          <w:b/>
          <w:bCs/>
        </w:rPr>
        <w:t xml:space="preserve"> line of MAC CE-based and DCI-based beam switch</w:t>
      </w:r>
    </w:p>
    <w:p w14:paraId="2E42CA1E" w14:textId="6ED33D77" w:rsidR="00072170" w:rsidRDefault="00072170" w:rsidP="00925672">
      <w:pPr>
        <w:pStyle w:val="00Text"/>
      </w:pPr>
      <w:r>
        <w:t>In comparison with MAC CE based TCI state update, the DCI based TCI state update method can deliver both shorter latency and lower signaling overhead. As analyzed in our companion contribution</w:t>
      </w:r>
      <w:r w:rsidR="004359DE">
        <w:t xml:space="preserve"> [1]</w:t>
      </w:r>
      <w:r>
        <w:t>, we can observe the following</w:t>
      </w:r>
      <w:r w:rsidR="004359DE">
        <w:t>s:</w:t>
      </w:r>
    </w:p>
    <w:p w14:paraId="7A5718C8" w14:textId="2F6FD69F" w:rsidR="00072170" w:rsidRDefault="00072170" w:rsidP="00072170">
      <w:pPr>
        <w:pStyle w:val="00Text"/>
        <w:numPr>
          <w:ilvl w:val="0"/>
          <w:numId w:val="23"/>
        </w:numPr>
      </w:pPr>
      <w:r>
        <w:t>TCI state update latency: the latency of DCI-based method is 1.5ms for SCS = 60KHz while the latency of MAC-CE based method is 5.25ms;</w:t>
      </w:r>
    </w:p>
    <w:p w14:paraId="70896B39" w14:textId="2A16594A" w:rsidR="00072170" w:rsidRDefault="00072170" w:rsidP="00C20FCE">
      <w:pPr>
        <w:pStyle w:val="00Text"/>
        <w:numPr>
          <w:ilvl w:val="0"/>
          <w:numId w:val="23"/>
        </w:numPr>
      </w:pPr>
      <w:r>
        <w:t xml:space="preserve">Overhead of signaling: MAC CE -based TCI state update has higher overhead of signalling. In particularly, the signalling overhead of MAC CE based method could be 120%~260% of that of the DCI based method. </w:t>
      </w:r>
    </w:p>
    <w:p w14:paraId="65582D1F" w14:textId="76EB2C8F" w:rsidR="00662B6F" w:rsidRDefault="00662B6F" w:rsidP="00662B6F">
      <w:pPr>
        <w:pStyle w:val="00Text"/>
      </w:pPr>
      <w:r>
        <w:t>Based on the analysis, we can observe that DCI-based TCI state update can reduce both latency and signaling overhead significantly in comparison with MAC CE-based TCI state update. Thus, DCI-based method is preferred.</w:t>
      </w:r>
    </w:p>
    <w:p w14:paraId="7D967756" w14:textId="3AA417B7" w:rsidR="00662B6F" w:rsidRDefault="00662B6F" w:rsidP="00662B6F">
      <w:pPr>
        <w:pStyle w:val="000proposal"/>
      </w:pPr>
      <w:bookmarkStart w:id="4" w:name="_Hlk53585843"/>
      <w:r>
        <w:t xml:space="preserve">Proposal 5: Support DCI-based TCI state update for common QCL/spatial setting operation. </w:t>
      </w:r>
    </w:p>
    <w:bookmarkEnd w:id="4"/>
    <w:p w14:paraId="442EA451" w14:textId="6FEC939D" w:rsidR="00FA7F1C" w:rsidRDefault="00FA7F1C" w:rsidP="00FA7F1C">
      <w:pPr>
        <w:pStyle w:val="00Text"/>
      </w:pPr>
      <w:r>
        <w:t>To indicate a common TCI state, a UE-specific DCI can be used. In the DCI, the following information shall be carried:</w:t>
      </w:r>
    </w:p>
    <w:p w14:paraId="61E7CEB1" w14:textId="1AC9165D" w:rsidR="00FA7F1C" w:rsidRDefault="00FA7F1C" w:rsidP="00FA7F1C">
      <w:pPr>
        <w:pStyle w:val="00Text"/>
        <w:numPr>
          <w:ilvl w:val="0"/>
          <w:numId w:val="18"/>
        </w:numPr>
      </w:pPr>
      <w:r>
        <w:t>A TCI state indicator that indicates one TCI state from the configured pool to provide common QCL information and common spatial setting.</w:t>
      </w:r>
    </w:p>
    <w:p w14:paraId="437C4AD2" w14:textId="2549F074" w:rsidR="00FA7F1C" w:rsidRDefault="00FA7F1C" w:rsidP="00FA7F1C">
      <w:pPr>
        <w:pStyle w:val="00Text"/>
        <w:numPr>
          <w:ilvl w:val="0"/>
          <w:numId w:val="18"/>
        </w:numPr>
      </w:pPr>
      <w:r>
        <w:t>A PUCCH resource indicator that indicates one PUCCH resource for the UE to send HARQ-ACK for the DCI indicating common TCI state.</w:t>
      </w:r>
    </w:p>
    <w:p w14:paraId="209A5966" w14:textId="0977B0D8" w:rsidR="00FA7F1C" w:rsidRDefault="00FA7F1C" w:rsidP="00FA7F1C">
      <w:pPr>
        <w:pStyle w:val="00Text"/>
        <w:numPr>
          <w:ilvl w:val="0"/>
          <w:numId w:val="18"/>
        </w:numPr>
      </w:pPr>
      <w:r>
        <w:t>PDCCH-to-HARQ timing indicator that indicates the time gap between the PDCCH and the HARQ-ACK feedback for the PDCCH.</w:t>
      </w:r>
    </w:p>
    <w:p w14:paraId="4FC813A0" w14:textId="0BE0807C" w:rsidR="00FA7F1C" w:rsidRDefault="00FA7F1C" w:rsidP="00FA7F1C">
      <w:pPr>
        <w:pStyle w:val="00Text"/>
      </w:pPr>
      <w:r>
        <w:t xml:space="preserve">When the UE receives a DCI format carrying a common TCI state update and decodes it correctly, the UE shall report a HARQ-ACK for the DCI in the indicated PUCCH resource. Then starting from particular time point, the UE starts to apply the indicated common TCI state on DL reception and UL transmission. </w:t>
      </w:r>
    </w:p>
    <w:p w14:paraId="0DBEB54E" w14:textId="77777777" w:rsidR="00FA7F1C" w:rsidRDefault="00FA7F1C" w:rsidP="00FA7F1C">
      <w:pPr>
        <w:pStyle w:val="000proposal"/>
      </w:pPr>
      <w:bookmarkStart w:id="5" w:name="_Hlk53585853"/>
      <w:r>
        <w:lastRenderedPageBreak/>
        <w:t>Proposal 6: A UE-dedicated DCI is used to indicate a common TCI state:</w:t>
      </w:r>
    </w:p>
    <w:p w14:paraId="1D2BB7BA" w14:textId="502EF263" w:rsidR="00FA7F1C" w:rsidRDefault="00FA7F1C" w:rsidP="00FA7F1C">
      <w:pPr>
        <w:pStyle w:val="000proposal"/>
        <w:numPr>
          <w:ilvl w:val="0"/>
          <w:numId w:val="19"/>
        </w:numPr>
      </w:pPr>
      <w:r>
        <w:t>The UE reports HARQ-ACK when the DCI is decoded correctly.</w:t>
      </w:r>
    </w:p>
    <w:p w14:paraId="3415A3B2" w14:textId="384EE794" w:rsidR="00FA7F1C" w:rsidRDefault="00FA7F1C" w:rsidP="00FA7F1C">
      <w:pPr>
        <w:pStyle w:val="000proposal"/>
        <w:numPr>
          <w:ilvl w:val="0"/>
          <w:numId w:val="19"/>
        </w:numPr>
      </w:pPr>
      <w:r>
        <w:t xml:space="preserve">The DCI contains one TCI state indicator, PUCCH resource indicator and PDCCH-to-HARQ timing indicator. </w:t>
      </w:r>
    </w:p>
    <w:bookmarkEnd w:id="5"/>
    <w:p w14:paraId="34A01A54" w14:textId="6EACC8A6" w:rsidR="00362B55" w:rsidRDefault="007D52C2" w:rsidP="0015104C">
      <w:pPr>
        <w:pStyle w:val="Heading2"/>
        <w:rPr>
          <w:sz w:val="22"/>
          <w:szCs w:val="24"/>
          <w:lang w:eastAsia="zh-CN"/>
        </w:rPr>
      </w:pPr>
      <w:r>
        <w:rPr>
          <w:sz w:val="22"/>
          <w:szCs w:val="24"/>
          <w:lang w:eastAsia="zh-CN"/>
        </w:rPr>
        <w:t>Carrier Aggregation</w:t>
      </w:r>
    </w:p>
    <w:p w14:paraId="71A23C0E" w14:textId="0A510BAE" w:rsidR="00925672" w:rsidRDefault="00925672" w:rsidP="00925672">
      <w:pPr>
        <w:pStyle w:val="00Text"/>
      </w:pPr>
      <w:r>
        <w:t>Rel-16 supports using one MAC CE to activate the same set of TCI-state ID(s) for PDSCH and PDCCH in multiple CCs. That feature only reduces the signaling overhead for beam indication. In real-field deployment, the system usually uses the same set of Tx beams for PDSCH and PDCCH transmission in all the CCs in the same band. Therefore, we shall indicate the same QCL-TypeD RS to the PDSCH and PDCCH in the CCs in the same band. To support that, one straightforward method is through gNB implementation. The gNB can configure same QCL-typeD RS in the TCI-state with same TCI-state Id in all the CCs in the same band. That can be achieved by the gNB implementation and the UE shall expect the gNB to configure TCI-states by that way if the mode of multi-CC TCI-state activation is configured.</w:t>
      </w:r>
    </w:p>
    <w:p w14:paraId="77E6E86F" w14:textId="70C99B2B" w:rsidR="00925672" w:rsidRDefault="00925672" w:rsidP="00925672">
      <w:pPr>
        <w:pStyle w:val="000proposal"/>
      </w:pPr>
      <w:bookmarkStart w:id="6" w:name="_Hlk53585962"/>
      <w:r>
        <w:rPr>
          <w:rFonts w:hint="eastAsia"/>
        </w:rPr>
        <w:t>Proposal</w:t>
      </w:r>
      <w:r>
        <w:t xml:space="preserve"> </w:t>
      </w:r>
      <w:r w:rsidR="00635805">
        <w:t>7</w:t>
      </w:r>
      <w:r>
        <w:t xml:space="preserve">: Support common </w:t>
      </w:r>
      <w:r w:rsidR="006614CF">
        <w:t xml:space="preserve">TCI state </w:t>
      </w:r>
      <w:r w:rsidR="007F3AD5">
        <w:t>for</w:t>
      </w:r>
      <w:r>
        <w:t xml:space="preserve"> multiple CCs</w:t>
      </w:r>
      <w:r w:rsidR="007F3AD5">
        <w:t xml:space="preserve"> in intra-band CA</w:t>
      </w:r>
      <w:r>
        <w:t>.</w:t>
      </w:r>
    </w:p>
    <w:bookmarkEnd w:id="6"/>
    <w:p w14:paraId="5EB17D18" w14:textId="77777777" w:rsidR="00925672" w:rsidRPr="00925672" w:rsidRDefault="00925672" w:rsidP="00925672">
      <w:pPr>
        <w:pStyle w:val="BodyText"/>
        <w:rPr>
          <w:lang w:eastAsia="zh-CN"/>
        </w:rPr>
      </w:pPr>
    </w:p>
    <w:p w14:paraId="6B3DE21B" w14:textId="0DD3BCFE" w:rsidR="002C4DCC" w:rsidRDefault="002C4DCC" w:rsidP="002C4DCC">
      <w:pPr>
        <w:pStyle w:val="01"/>
        <w:numPr>
          <w:ilvl w:val="0"/>
          <w:numId w:val="1"/>
        </w:numPr>
        <w:ind w:left="562" w:hanging="562"/>
      </w:pPr>
      <w:r>
        <w:t>L1/L2 Inter-cell mobility</w:t>
      </w:r>
    </w:p>
    <w:p w14:paraId="0F062375" w14:textId="1B3BACD4" w:rsidR="00447EA4" w:rsidRPr="00812585" w:rsidRDefault="00447EA4" w:rsidP="00812585">
      <w:pPr>
        <w:pStyle w:val="00Text"/>
      </w:pPr>
      <w:r w:rsidRPr="00812585">
        <w:t xml:space="preserve">In NR, the inter-cell mobility is based on L3 handover procedure. </w:t>
      </w:r>
      <w:r w:rsidR="00F25A73" w:rsidRPr="00812585">
        <w:t>It requires explicit RRC signaling triggering. An inter-cell mobility procedure based on the L3 handover is illustrated in Figure 1.</w:t>
      </w:r>
    </w:p>
    <w:p w14:paraId="5B62008E" w14:textId="453F780F" w:rsidR="00F25A73" w:rsidRDefault="00450BBD" w:rsidP="00F25A73">
      <w:pPr>
        <w:pStyle w:val="00Text"/>
        <w:jc w:val="center"/>
      </w:pPr>
      <w:r>
        <w:object w:dxaOrig="7321" w:dyaOrig="7351" w14:anchorId="67E72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pt;height:305.75pt" o:ole="">
            <v:imagedata r:id="rId8" o:title=""/>
          </v:shape>
          <o:OLEObject Type="Embed" ProgID="Visio.Drawing.15" ShapeID="_x0000_i1025" DrawAspect="Content" ObjectID="_1664738676" r:id="rId9"/>
        </w:object>
      </w:r>
    </w:p>
    <w:p w14:paraId="457C88FC" w14:textId="49198AE5" w:rsidR="00F25A73" w:rsidRDefault="00F25A73" w:rsidP="00F25A73">
      <w:pPr>
        <w:pStyle w:val="00Text"/>
        <w:jc w:val="center"/>
        <w:rPr>
          <w:b/>
          <w:bCs/>
        </w:rPr>
      </w:pPr>
      <w:r w:rsidRPr="002877FA">
        <w:rPr>
          <w:b/>
          <w:bCs/>
        </w:rPr>
        <w:t xml:space="preserve">Figure </w:t>
      </w:r>
      <w:r w:rsidR="00E952D2">
        <w:rPr>
          <w:b/>
          <w:bCs/>
        </w:rPr>
        <w:t>2</w:t>
      </w:r>
      <w:r w:rsidRPr="002877FA">
        <w:rPr>
          <w:b/>
          <w:bCs/>
        </w:rPr>
        <w:t>: inter-cell mobility procedure</w:t>
      </w:r>
    </w:p>
    <w:p w14:paraId="73597B01" w14:textId="66A0D58A" w:rsidR="000F7011" w:rsidRDefault="002877FA" w:rsidP="002877FA">
      <w:pPr>
        <w:pStyle w:val="00Text"/>
      </w:pPr>
      <w:r>
        <w:t xml:space="preserve">As shown in Figure 1, the source gNB can initiate the handover procedure and send a handover request message to the target gNB. The source gNB can identify the cell which the UE shall be moved to based on the UE RRM measurement reports. Once the source gNB determines the target gNB for handover, the source gNB sends </w:t>
      </w:r>
      <w:r w:rsidR="00EB378D">
        <w:t xml:space="preserve">a Handover request message to the target gNB so trigger the handover procedure. In the Handover request message, the source gNB can include the information about the current configuration of the UE, the capabilities of UE, beam </w:t>
      </w:r>
      <w:r w:rsidR="00EB378D">
        <w:lastRenderedPageBreak/>
        <w:t xml:space="preserve">level measurements, which can be used to assist the configuration of target gNB. Then the target gNB performs admission control. If the Handover request is accepted, the target gNB sends back a Handover request ACK to the source gNB, which contains new RRC configuration. </w:t>
      </w:r>
      <w:r w:rsidR="000F7011">
        <w:t xml:space="preserve">Next, the source gNB sends a Handover command to the UE. The handover command is RRC reconfiguration signaling that forwards the </w:t>
      </w:r>
      <w:r w:rsidR="000F7011" w:rsidRPr="000F7011">
        <w:rPr>
          <w:i/>
          <w:iCs/>
        </w:rPr>
        <w:t>RRCReconfiguration</w:t>
      </w:r>
      <w:r w:rsidR="000F7011">
        <w:t xml:space="preserve"> message received in the Handover request ACK receveid from the target gNB. </w:t>
      </w:r>
      <w:r w:rsidR="00A955B0">
        <w:t xml:space="preserve"> That </w:t>
      </w:r>
      <w:r w:rsidR="00A955B0" w:rsidRPr="00A955B0">
        <w:rPr>
          <w:i/>
          <w:iCs/>
        </w:rPr>
        <w:t>RRCReconfiguration</w:t>
      </w:r>
      <w:r w:rsidR="00A955B0">
        <w:t xml:space="preserve"> message includes the ID</w:t>
      </w:r>
      <w:r w:rsidR="00E66BC4">
        <w:t xml:space="preserve"> of the target cell and </w:t>
      </w:r>
      <w:r w:rsidR="00A955B0">
        <w:t>information required to access the target cell so that the UE can access the target cell without reading system information.</w:t>
      </w:r>
      <w:r w:rsidR="00E66BC4">
        <w:t xml:space="preserve"> In some cases, the information for contention-based or contention-free random access can be included in the </w:t>
      </w:r>
      <w:r w:rsidR="00E66BC4" w:rsidRPr="00E66BC4">
        <w:rPr>
          <w:i/>
          <w:iCs/>
        </w:rPr>
        <w:t>RRCReconfiguration</w:t>
      </w:r>
      <w:r w:rsidR="00E66BC4">
        <w:t xml:space="preserve"> message too.</w:t>
      </w:r>
      <w:r w:rsidR="005F3783">
        <w:t xml:space="preserve"> Beam-specific information is included here too. At last, the UE moves RRC connection to the target gNB and replies the system with a </w:t>
      </w:r>
      <w:r w:rsidR="005F3783" w:rsidRPr="005F3783">
        <w:rPr>
          <w:i/>
          <w:iCs/>
        </w:rPr>
        <w:t>RRCReconfigurationComplete</w:t>
      </w:r>
      <w:r w:rsidR="005F3783">
        <w:t xml:space="preserve"> message. </w:t>
      </w:r>
    </w:p>
    <w:p w14:paraId="432CF14A" w14:textId="316967C9" w:rsidR="00861600" w:rsidRDefault="00861600" w:rsidP="002877FA">
      <w:pPr>
        <w:pStyle w:val="00Text"/>
      </w:pPr>
      <w:r>
        <w:t xml:space="preserve">In the above handover procedure, the UE first release the connection to the source cell and then access to the target cell. The connection to the target cell involves RRC configuration and random-access procedure. To reduce the inter-cell mobility interruption, DAPS (Dual Active Protocol Stack) handover was introduced. </w:t>
      </w:r>
    </w:p>
    <w:p w14:paraId="33BF4BE2" w14:textId="1F9560E0" w:rsidR="002825A9" w:rsidRDefault="00716AC8" w:rsidP="002877FA">
      <w:pPr>
        <w:pStyle w:val="00Text"/>
      </w:pPr>
      <w:r>
        <w:t>The l</w:t>
      </w:r>
      <w:r w:rsidR="002825A9">
        <w:t xml:space="preserve">atency and </w:t>
      </w:r>
      <w:r>
        <w:t xml:space="preserve">signaling </w:t>
      </w:r>
      <w:r w:rsidR="002825A9">
        <w:t>overhead in current RRC-based inter-cell mobility are mainly caused by the following factors:</w:t>
      </w:r>
    </w:p>
    <w:p w14:paraId="517D5685" w14:textId="198A95FE" w:rsidR="002825A9" w:rsidRDefault="002825A9" w:rsidP="00264572">
      <w:pPr>
        <w:pStyle w:val="00Text"/>
        <w:numPr>
          <w:ilvl w:val="0"/>
          <w:numId w:val="7"/>
        </w:numPr>
      </w:pPr>
      <w:r>
        <w:t>RRC reconfiguration</w:t>
      </w:r>
      <w:r w:rsidR="003A60CA">
        <w:t xml:space="preserve">: </w:t>
      </w:r>
      <w:r w:rsidR="00774356">
        <w:t xml:space="preserve">the RRC reconfiguration </w:t>
      </w:r>
      <w:r w:rsidR="004F7DA9">
        <w:t xml:space="preserve">can </w:t>
      </w:r>
      <w:r w:rsidR="00774356">
        <w:t>cause long and uncertain latency.</w:t>
      </w:r>
      <w:r w:rsidR="004F7DA9">
        <w:t xml:space="preserve"> That can be relaxed by only reconfiguring the RRC parameters that requires RRC reconfiguration, in which the reconfiguration message sent by the target gNB only contains the part of RRC parameters needing reconfiguration.</w:t>
      </w:r>
      <w:r w:rsidR="00900C94">
        <w:t xml:space="preserve"> </w:t>
      </w:r>
      <w:r w:rsidR="004F7DA9">
        <w:t xml:space="preserve">That can reduce the overhead of RRC signaling for handover and also reduce the latency. But </w:t>
      </w:r>
      <w:r w:rsidR="00900C94">
        <w:t xml:space="preserve">unfortunately, </w:t>
      </w:r>
      <w:r w:rsidR="004F7DA9">
        <w:t>the TCI state</w:t>
      </w:r>
      <w:r w:rsidR="00900C94">
        <w:t xml:space="preserve">s </w:t>
      </w:r>
      <w:r w:rsidR="004F7DA9">
        <w:t>for multi-beam operation is one of the parameters that requires</w:t>
      </w:r>
      <w:r w:rsidR="00900C94">
        <w:t xml:space="preserve"> reconfiguration in any case. Because in current framework, the TCI states only contains the SS/PBCH or CSI-RS resource of current cell for QCL source. For a UE switching to target cell, the SS/PBCH or CSI-RS resource of the target cell shall be configured as QCL source in TCI state.</w:t>
      </w:r>
      <w:r w:rsidR="004F7DA9">
        <w:t xml:space="preserve">  </w:t>
      </w:r>
      <w:r w:rsidR="00774356">
        <w:t xml:space="preserve"> </w:t>
      </w:r>
    </w:p>
    <w:p w14:paraId="727BF88B" w14:textId="31CBF548" w:rsidR="002825A9" w:rsidRDefault="002825A9" w:rsidP="00264572">
      <w:pPr>
        <w:pStyle w:val="00Text"/>
        <w:numPr>
          <w:ilvl w:val="0"/>
          <w:numId w:val="7"/>
        </w:numPr>
      </w:pPr>
      <w:r>
        <w:t>The procedure of random access to the target cell</w:t>
      </w:r>
    </w:p>
    <w:p w14:paraId="1D32034F" w14:textId="66978572" w:rsidR="002825A9" w:rsidRDefault="002825A9" w:rsidP="00264572">
      <w:pPr>
        <w:pStyle w:val="00Text"/>
        <w:numPr>
          <w:ilvl w:val="0"/>
          <w:numId w:val="7"/>
        </w:numPr>
      </w:pPr>
      <w:r>
        <w:t xml:space="preserve">Tracking the TCI state of CSI-RS or SS/PBCH of target cell: </w:t>
      </w:r>
      <w:r w:rsidR="00C90CBF">
        <w:t xml:space="preserve"> as specified in RAN4 specification, the effective time of a TCI state switch depends if the indicated TCI state is known or not. Take an example of the MAC CE based beam switch specified in rel-15/rel-16, if the target TCI state is known, </w:t>
      </w:r>
      <w:r w:rsidR="00C90CBF">
        <w:rPr>
          <w:rFonts w:eastAsia="Malgun Gothic"/>
        </w:rPr>
        <w:t>upon</w:t>
      </w:r>
      <w:r w:rsidR="00C90CBF">
        <w:t xml:space="preserve"> receiv</w:t>
      </w:r>
      <w:r w:rsidR="00C90CBF">
        <w:rPr>
          <w:rFonts w:eastAsia="Malgun Gothic"/>
        </w:rPr>
        <w:t>ing PDSCH carrying</w:t>
      </w:r>
      <w:r w:rsidR="00C90CBF">
        <w:t xml:space="preserve"> </w:t>
      </w:r>
      <w:r w:rsidR="00C90CBF">
        <w:rPr>
          <w:rFonts w:eastAsia="Malgun Gothic"/>
        </w:rPr>
        <w:t>MAC-CE activation command at slot n</w:t>
      </w:r>
      <w:r w:rsidR="00C90CBF">
        <w:t>, UE shall be able to receive PD</w:t>
      </w:r>
      <w:r w:rsidR="00C90CBF">
        <w:rPr>
          <w:rFonts w:eastAsia="Malgun Gothic"/>
        </w:rPr>
        <w:t>C</w:t>
      </w:r>
      <w:r w:rsidR="00C90CBF">
        <w:t xml:space="preserve">CH with target </w:t>
      </w:r>
      <w:r w:rsidR="00C90CBF">
        <w:rPr>
          <w:rFonts w:eastAsia="Malgun Gothic"/>
        </w:rPr>
        <w:t>TCI state</w:t>
      </w:r>
      <w:r w:rsidR="00C90CBF">
        <w:t xml:space="preserve"> </w:t>
      </w:r>
      <w:r w:rsidR="00C90CBF">
        <w:rPr>
          <w:rFonts w:eastAsia="Malgun Gothic"/>
        </w:rPr>
        <w:t>of</w:t>
      </w:r>
      <w:r w:rsidR="00C90CBF">
        <w:t xml:space="preserve"> the serving cell on which </w:t>
      </w:r>
      <w:r w:rsidR="00C90CBF">
        <w:rPr>
          <w:rFonts w:eastAsia="Malgun Gothic"/>
        </w:rPr>
        <w:t>TCI state</w:t>
      </w:r>
      <w:r w:rsidR="00C90CBF">
        <w:t xml:space="preserve"> switch occurs no later than at slot n+</w:t>
      </w:r>
      <w:r w:rsidR="00C90CBF">
        <w:rPr>
          <w:rFonts w:eastAsia="Malgun Gothic"/>
        </w:rPr>
        <w:t xml:space="preserve"> T</w:t>
      </w:r>
      <w:r w:rsidR="00C90CBF">
        <w:rPr>
          <w:rFonts w:eastAsia="Malgun Gothic"/>
          <w:vertAlign w:val="subscript"/>
        </w:rPr>
        <w:t>HARQ</w:t>
      </w:r>
      <w:r w:rsidR="00C90CBF">
        <w:rPr>
          <w:rFonts w:eastAsia="Malgun Gothic"/>
        </w:rPr>
        <w:t xml:space="preserve"> +3 ms +TO</w:t>
      </w:r>
      <w:r w:rsidR="00C90CBF">
        <w:rPr>
          <w:rFonts w:eastAsia="Malgun Gothic"/>
          <w:vertAlign w:val="subscript"/>
        </w:rPr>
        <w:t>k</w:t>
      </w:r>
      <w:r w:rsidR="00C90CBF">
        <w:rPr>
          <w:rFonts w:eastAsia="Malgun Gothic"/>
        </w:rPr>
        <w:t>*(T</w:t>
      </w:r>
      <w:r w:rsidR="00C90CBF">
        <w:rPr>
          <w:rFonts w:eastAsia="Malgun Gothic"/>
          <w:vertAlign w:val="subscript"/>
        </w:rPr>
        <w:t xml:space="preserve">first-SSB </w:t>
      </w:r>
      <w:r w:rsidR="00C90CBF">
        <w:rPr>
          <w:rFonts w:eastAsia="Malgun Gothic"/>
        </w:rPr>
        <w:t>+ T</w:t>
      </w:r>
      <w:r w:rsidR="00C90CBF">
        <w:rPr>
          <w:rFonts w:eastAsia="Malgun Gothic"/>
          <w:vertAlign w:val="subscript"/>
        </w:rPr>
        <w:t>SSB-proc</w:t>
      </w:r>
      <w:r w:rsidR="00C90CBF">
        <w:rPr>
          <w:rFonts w:eastAsia="Malgun Gothic"/>
        </w:rPr>
        <w:t>)</w:t>
      </w:r>
      <w:r w:rsidR="00C90CBF">
        <w:t xml:space="preserve">.  But if the TCI state is unknown, the TCI state will happen at slot </w:t>
      </w:r>
      <w:r w:rsidR="008F13D3">
        <w:t>no later than at slot n+</w:t>
      </w:r>
      <w:r w:rsidR="008F13D3">
        <w:rPr>
          <w:rFonts w:eastAsia="Malgun Gothic"/>
        </w:rPr>
        <w:t xml:space="preserve"> T</w:t>
      </w:r>
      <w:r w:rsidR="008F13D3">
        <w:rPr>
          <w:rFonts w:eastAsia="Malgun Gothic"/>
          <w:vertAlign w:val="subscript"/>
        </w:rPr>
        <w:t>HARQ</w:t>
      </w:r>
      <w:r w:rsidR="008F13D3">
        <w:rPr>
          <w:rFonts w:eastAsia="Malgun Gothic"/>
        </w:rPr>
        <w:t xml:space="preserve"> +3 ms + </w:t>
      </w:r>
      <w:r w:rsidR="008F13D3">
        <w:rPr>
          <w:lang w:eastAsia="en-GB"/>
        </w:rPr>
        <w:t>T</w:t>
      </w:r>
      <w:r w:rsidR="008F13D3">
        <w:rPr>
          <w:vertAlign w:val="subscript"/>
          <w:lang w:eastAsia="en-GB"/>
        </w:rPr>
        <w:t xml:space="preserve">L1-RSRP </w:t>
      </w:r>
      <w:r w:rsidR="008F13D3">
        <w:rPr>
          <w:rFonts w:eastAsia="Malgun Gothic"/>
        </w:rPr>
        <w:t>+TO</w:t>
      </w:r>
      <w:r w:rsidR="008F13D3">
        <w:rPr>
          <w:rFonts w:eastAsia="Malgun Gothic"/>
          <w:vertAlign w:val="subscript"/>
        </w:rPr>
        <w:t>uk</w:t>
      </w:r>
      <w:r w:rsidR="008F13D3">
        <w:rPr>
          <w:rFonts w:eastAsia="Malgun Gothic"/>
        </w:rPr>
        <w:t>*(T</w:t>
      </w:r>
      <w:r w:rsidR="008F13D3">
        <w:rPr>
          <w:rFonts w:eastAsia="Malgun Gothic"/>
          <w:vertAlign w:val="subscript"/>
        </w:rPr>
        <w:t>first-SSB</w:t>
      </w:r>
      <w:r w:rsidR="008F13D3">
        <w:rPr>
          <w:rFonts w:eastAsia="Malgun Gothic"/>
        </w:rPr>
        <w:t>+ T</w:t>
      </w:r>
      <w:r w:rsidR="008F13D3">
        <w:rPr>
          <w:rFonts w:eastAsia="Malgun Gothic"/>
          <w:vertAlign w:val="subscript"/>
        </w:rPr>
        <w:t>SSB-proc</w:t>
      </w:r>
      <w:r w:rsidR="008F13D3">
        <w:rPr>
          <w:rFonts w:eastAsia="Malgun Gothic"/>
        </w:rPr>
        <w:t>)</w:t>
      </w:r>
      <w:r w:rsidR="008F13D3">
        <w:rPr>
          <w:vertAlign w:val="subscript"/>
          <w:lang w:eastAsia="en-GB"/>
        </w:rPr>
        <w:t xml:space="preserve"> </w:t>
      </w:r>
      <w:r w:rsidR="008F13D3">
        <w:t>.</w:t>
      </w:r>
      <w:r w:rsidR="00146785">
        <w:t xml:space="preserve"> In FR2 system, the extra latency </w:t>
      </w:r>
      <w:r w:rsidR="00146785">
        <w:rPr>
          <w:lang w:eastAsia="en-GB"/>
        </w:rPr>
        <w:t>T</w:t>
      </w:r>
      <w:r w:rsidR="00146785">
        <w:rPr>
          <w:vertAlign w:val="subscript"/>
          <w:lang w:eastAsia="en-GB"/>
        </w:rPr>
        <w:t xml:space="preserve">L1-RSRP </w:t>
      </w:r>
      <w:r w:rsidR="00146785">
        <w:rPr>
          <w:lang w:eastAsia="en-GB"/>
        </w:rPr>
        <w:t xml:space="preserve">is </w:t>
      </w:r>
      <m:oMath>
        <m:r>
          <m:rPr>
            <m:sty m:val="p"/>
          </m:rPr>
          <w:rPr>
            <w:rFonts w:ascii="Cambria Math" w:hAnsi="Cambria Math"/>
            <w:lang w:eastAsia="en-GB"/>
          </w:rPr>
          <m:t>ceil</m:t>
        </m:r>
        <m:r>
          <w:rPr>
            <w:rFonts w:ascii="Cambria Math" w:hAnsi="Cambria Math"/>
            <w:lang w:eastAsia="en-GB"/>
          </w:rPr>
          <m:t>(M×P×N)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oMath>
      <w:r w:rsidR="00146785">
        <w:rPr>
          <w:lang w:eastAsia="en-GB"/>
        </w:rPr>
        <w:t xml:space="preserve"> or </w:t>
      </w:r>
      <m:oMath>
        <m:r>
          <m:rPr>
            <m:sty m:val="p"/>
          </m:rPr>
          <w:rPr>
            <w:rFonts w:ascii="Cambria Math" w:hAnsi="Cambria Math"/>
            <w:lang w:eastAsia="en-GB"/>
          </w:rPr>
          <m:t>ceil</m:t>
        </m:r>
        <m:r>
          <w:rPr>
            <w:rFonts w:ascii="Cambria Math" w:hAnsi="Cambria Math"/>
            <w:lang w:eastAsia="en-GB"/>
          </w:rPr>
          <m:t>(M×P×N)</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CSI-RS</m:t>
            </m:r>
          </m:sub>
        </m:sSub>
      </m:oMath>
      <w:r w:rsidR="00146785">
        <w:rPr>
          <w:lang w:eastAsia="en-GB"/>
        </w:rPr>
        <w:t>.</w:t>
      </w:r>
    </w:p>
    <w:p w14:paraId="5DE750BC" w14:textId="6AB912AE" w:rsidR="00055DAC" w:rsidRDefault="00055DAC" w:rsidP="00055DAC">
      <w:pPr>
        <w:pStyle w:val="00Text"/>
      </w:pPr>
      <w:r>
        <w:t xml:space="preserve">Therefore, we can observe on the major contributor for latency in inter-cell mobility is the </w:t>
      </w:r>
      <w:r w:rsidR="00962DD7">
        <w:t xml:space="preserve">RRC reconfiguration and </w:t>
      </w:r>
      <w:r w:rsidR="004A71E8">
        <w:t xml:space="preserve">TCI state switch operation. </w:t>
      </w:r>
    </w:p>
    <w:p w14:paraId="204EFC0B" w14:textId="1543111E" w:rsidR="00962DD7" w:rsidRDefault="004A71E8" w:rsidP="004A71E8">
      <w:pPr>
        <w:pStyle w:val="000proposal"/>
      </w:pPr>
      <w:bookmarkStart w:id="7" w:name="_Hlk53586008"/>
      <w:r>
        <w:t xml:space="preserve">Observation 1: </w:t>
      </w:r>
      <w:r w:rsidR="00962DD7">
        <w:t>RRC reconfiguration introduces large latency in inter-cell mobility.</w:t>
      </w:r>
    </w:p>
    <w:p w14:paraId="647CBAB5" w14:textId="54D12695" w:rsidR="00960EF3" w:rsidRDefault="00960EF3" w:rsidP="00960EF3">
      <w:pPr>
        <w:pStyle w:val="000proposal"/>
      </w:pPr>
      <w:r>
        <w:t>Observation 2: Switching to TCI state of target cell also introduces large latency in inter-cell mobility.</w:t>
      </w:r>
    </w:p>
    <w:bookmarkEnd w:id="7"/>
    <w:p w14:paraId="33861162" w14:textId="01BFD064" w:rsidR="00960EF3" w:rsidRDefault="00BB376B" w:rsidP="00960EF3">
      <w:pPr>
        <w:pStyle w:val="00Text"/>
      </w:pPr>
      <w:r>
        <w:t>How to handle the RRC reconfiguration during inter-cell mobility is out of the scope of RAN1. If there is RRC reconfiguration during hand-over, then the major source for inter-cell mobility would be TCI state update only. Large</w:t>
      </w:r>
      <w:r w:rsidR="00960EF3">
        <w:t xml:space="preserve"> of TCI state </w:t>
      </w:r>
      <w:r>
        <w:t>update latency can be caused by an</w:t>
      </w:r>
      <w:r w:rsidR="00960EF3">
        <w:t xml:space="preserve"> unknown TCI state</w:t>
      </w:r>
      <w:r>
        <w:t xml:space="preserve">, as discussed above. </w:t>
      </w:r>
      <w:r w:rsidR="00960EF3">
        <w:t>To reduce the latency</w:t>
      </w:r>
      <w:r>
        <w:t xml:space="preserve"> of inter-cell mobility</w:t>
      </w:r>
      <w:r w:rsidR="00960EF3">
        <w:t>, we can consider to enhance beam measurement/reporting by including target cell SS/PBCH block and enhance beam indication by including target cell SS/PBCH block</w:t>
      </w:r>
    </w:p>
    <w:p w14:paraId="39559D6A" w14:textId="3CD74E14" w:rsidR="00960EF3" w:rsidRDefault="00960EF3" w:rsidP="00960EF3">
      <w:pPr>
        <w:pStyle w:val="000proposal"/>
      </w:pPr>
      <w:bookmarkStart w:id="8" w:name="_Hlk53586017"/>
      <w:r>
        <w:t xml:space="preserve">Proposal </w:t>
      </w:r>
      <w:r w:rsidR="00BB376B">
        <w:t>8</w:t>
      </w:r>
      <w:r>
        <w:t>: Study beam measurement/reporting and/or beam indication of SS/PBCH block of target cell for inter-cell mobility.</w:t>
      </w:r>
    </w:p>
    <w:bookmarkEnd w:id="8"/>
    <w:p w14:paraId="7A44B7C4" w14:textId="69DAA9BD" w:rsidR="002C4DCC" w:rsidRDefault="002C4DCC" w:rsidP="002C4DCC">
      <w:pPr>
        <w:pStyle w:val="01"/>
        <w:numPr>
          <w:ilvl w:val="0"/>
          <w:numId w:val="1"/>
        </w:numPr>
        <w:ind w:left="562" w:hanging="562"/>
      </w:pPr>
      <w:r>
        <w:t xml:space="preserve">Multi-panel UE and MPE </w:t>
      </w:r>
      <w:r w:rsidR="00962DD7">
        <w:t>Issue</w:t>
      </w:r>
    </w:p>
    <w:p w14:paraId="69753FDB" w14:textId="5709E78C" w:rsidR="00962DD7" w:rsidRDefault="00962DD7" w:rsidP="00962DD7">
      <w:pPr>
        <w:pStyle w:val="Heading2"/>
        <w:rPr>
          <w:sz w:val="22"/>
          <w:szCs w:val="24"/>
          <w:lang w:eastAsia="zh-CN"/>
        </w:rPr>
      </w:pPr>
      <w:r>
        <w:rPr>
          <w:sz w:val="22"/>
          <w:szCs w:val="24"/>
          <w:lang w:eastAsia="zh-CN"/>
        </w:rPr>
        <w:t>MP-UE</w:t>
      </w:r>
    </w:p>
    <w:p w14:paraId="7D13F137" w14:textId="56A3C363" w:rsidR="00962DD7" w:rsidRDefault="00962DD7" w:rsidP="00962DD7">
      <w:pPr>
        <w:pStyle w:val="00Text"/>
      </w:pPr>
      <w:r>
        <w:t xml:space="preserve">The objective of enhancement of multi-beam operations includes identifying and specifying features to facilitate UL beam selection for UE equipped with multiple panels. We can first review the UL beam selection mechanisms specified in release 15 and 16.  For PUCCH and SRS resource, the UL beam indication is through spatial relation </w:t>
      </w:r>
      <w:r>
        <w:lastRenderedPageBreak/>
        <w:t>info framework. The UE is provided with a spatial relation info for a PUCCH and SRS resource, which contains a CSI-RS resource index, SS/PBCH block index or an SRS resource Id.  If a CSI-RS resource index or an SS/PBCH block index is provided, the UE choose an UL Tx beam that corresponds to the UE Rx beam used to receive the CSI-RS resource or SS/PBCH block. If a SRS resource is provided, the UE choose the UL Tx beam that is applied on the indicated SRS resource. For PUSCH transmission, the UE choose UL beam according to the SRS resource(s) indicated by the SRI DCI field.  The UL beam indication mechanisms specified so far is able to support UL beam selection for a UE with multiple Tx panels.  For a UE with beam correspondence, the UL beam indication is through indicating a DL RS ID. The UE would choose one Tx beam on one particular Tx panel according to the Rx beam(s) and Rx panel(s) used to receive the DL RS. For a UE without beam correspondence, the UE can be configured with multiple SRS resource sets for UL beam training and the UE can map those SRS resources to different Tx panels by UE implementation. When a SRS resource is indicated for UL signal transmission, the UE shall use the same Tx beam and Tx panel. On limitation of the UL beam indication method of release 15 and 16 is the UE might need turn on all the Tx panels simultaneously because the UE does not know beforehand which CSI-RS resource, SS/PBCH block or SRS resource would be indicated by the gNB through DCI or MAC CE. However, one implementation solution for the UE is the UE can turn on the Tx panel semi-statically. When one Tx panel is on, the UE use the corresponding Rx beam(s) and panel to measure downlink beams and only that the activated Tx panel to transmit SRS resource for uplink beam sweeping.</w:t>
      </w:r>
    </w:p>
    <w:p w14:paraId="0119B515" w14:textId="77777777" w:rsidR="00962DD7" w:rsidRDefault="00962DD7" w:rsidP="00962DD7">
      <w:pPr>
        <w:pStyle w:val="00Text"/>
      </w:pPr>
      <w:r>
        <w:t xml:space="preserve">To optimize the UL beam selection for UE with multiple Tx panels, one critical issue is power consumption. In mmWave band, the power efficiency of a PA is lower than those of sub-6GHz. Implementing multiple Tx panels usually means multiple PAs, which leads to more transmission power consumption. Therefore, the design work for multi-beam operation enhancement for multi-panel UE shall consider how to reduce the power consumption. In our view, the motivation for specifying panel specific transmission is to assist the power saving of multi-panel UEs.  Various approaches for improving power efficiency or saving power can be considered for multi-panel UEs. One method for saving power is the UE can deactivate some Tx panels when they are not used during a particular time period. Of course, the tradeoff between the performance (e.g., throughput, latency) and power consumption shall be carefully investigated with common evaluation assumptions. </w:t>
      </w:r>
    </w:p>
    <w:p w14:paraId="5244A1E5" w14:textId="5A875A71" w:rsidR="00962DD7" w:rsidRPr="008D3B49" w:rsidRDefault="00962DD7" w:rsidP="00962DD7">
      <w:pPr>
        <w:pStyle w:val="00Text"/>
        <w:rPr>
          <w:b/>
          <w:bCs/>
          <w:i/>
          <w:iCs/>
        </w:rPr>
      </w:pPr>
      <w:bookmarkStart w:id="9" w:name="_Hlk53586642"/>
      <w:r w:rsidRPr="008D3B49">
        <w:rPr>
          <w:b/>
          <w:bCs/>
          <w:i/>
          <w:iCs/>
        </w:rPr>
        <w:t xml:space="preserve">Proposal </w:t>
      </w:r>
      <w:r w:rsidR="000A4372">
        <w:rPr>
          <w:b/>
          <w:bCs/>
          <w:i/>
          <w:iCs/>
        </w:rPr>
        <w:t>9</w:t>
      </w:r>
      <w:r w:rsidRPr="008D3B49">
        <w:rPr>
          <w:b/>
          <w:bCs/>
          <w:i/>
          <w:iCs/>
        </w:rPr>
        <w:t xml:space="preserve">: </w:t>
      </w:r>
      <w:r>
        <w:rPr>
          <w:b/>
          <w:bCs/>
          <w:i/>
          <w:iCs/>
        </w:rPr>
        <w:t>The purpose of UL panel selection</w:t>
      </w:r>
      <w:r w:rsidR="0087797C">
        <w:rPr>
          <w:b/>
          <w:bCs/>
          <w:i/>
          <w:iCs/>
        </w:rPr>
        <w:t xml:space="preserve"> of MP-UE</w:t>
      </w:r>
      <w:r>
        <w:rPr>
          <w:b/>
          <w:bCs/>
          <w:i/>
          <w:iCs/>
        </w:rPr>
        <w:t xml:space="preserve"> </w:t>
      </w:r>
      <w:r w:rsidR="0020488B">
        <w:rPr>
          <w:b/>
          <w:bCs/>
          <w:i/>
          <w:iCs/>
        </w:rPr>
        <w:t>shall</w:t>
      </w:r>
      <w:r>
        <w:rPr>
          <w:b/>
          <w:bCs/>
          <w:i/>
          <w:iCs/>
        </w:rPr>
        <w:t xml:space="preserve"> </w:t>
      </w:r>
      <w:r w:rsidR="0020488B">
        <w:rPr>
          <w:b/>
          <w:bCs/>
          <w:i/>
          <w:iCs/>
        </w:rPr>
        <w:t>be</w:t>
      </w:r>
      <w:r>
        <w:rPr>
          <w:b/>
          <w:bCs/>
          <w:i/>
          <w:iCs/>
        </w:rPr>
        <w:t xml:space="preserve"> sav</w:t>
      </w:r>
      <w:r w:rsidR="0020488B">
        <w:rPr>
          <w:b/>
          <w:bCs/>
          <w:i/>
          <w:iCs/>
        </w:rPr>
        <w:t>ing</w:t>
      </w:r>
      <w:r>
        <w:rPr>
          <w:b/>
          <w:bCs/>
          <w:i/>
          <w:iCs/>
        </w:rPr>
        <w:t xml:space="preserve"> UE </w:t>
      </w:r>
      <w:r w:rsidR="0087797C">
        <w:rPr>
          <w:b/>
          <w:bCs/>
          <w:i/>
          <w:iCs/>
        </w:rPr>
        <w:t>Transmit</w:t>
      </w:r>
      <w:r>
        <w:rPr>
          <w:b/>
          <w:bCs/>
          <w:i/>
          <w:iCs/>
        </w:rPr>
        <w:t xml:space="preserve"> power</w:t>
      </w:r>
      <w:r w:rsidRPr="008D3B49">
        <w:rPr>
          <w:b/>
          <w:bCs/>
          <w:i/>
          <w:iCs/>
        </w:rPr>
        <w:t>.</w:t>
      </w:r>
    </w:p>
    <w:bookmarkEnd w:id="9"/>
    <w:p w14:paraId="77391DA9" w14:textId="7F12F5DA" w:rsidR="007D52C2" w:rsidRDefault="007D52C2" w:rsidP="00962DD7">
      <w:pPr>
        <w:pStyle w:val="00Text"/>
      </w:pPr>
      <w:r>
        <w:t>In RAN1#102-e meeting, we made the following agreement regarding the assumptions for MP-UE:</w:t>
      </w:r>
    </w:p>
    <w:tbl>
      <w:tblPr>
        <w:tblStyle w:val="TableGrid"/>
        <w:tblW w:w="0" w:type="auto"/>
        <w:tblLook w:val="04A0" w:firstRow="1" w:lastRow="0" w:firstColumn="1" w:lastColumn="0" w:noHBand="0" w:noVBand="1"/>
      </w:tblPr>
      <w:tblGrid>
        <w:gridCol w:w="9062"/>
      </w:tblGrid>
      <w:tr w:rsidR="007D52C2" w14:paraId="583A913F" w14:textId="77777777" w:rsidTr="007D52C2">
        <w:tc>
          <w:tcPr>
            <w:tcW w:w="9062" w:type="dxa"/>
          </w:tcPr>
          <w:p w14:paraId="68364106" w14:textId="77777777" w:rsidR="007D52C2" w:rsidRPr="007D52C2" w:rsidRDefault="007D52C2" w:rsidP="007D52C2">
            <w:pPr>
              <w:pStyle w:val="ListParagraph"/>
              <w:numPr>
                <w:ilvl w:val="0"/>
                <w:numId w:val="21"/>
              </w:numPr>
              <w:snapToGrid w:val="0"/>
              <w:ind w:leftChars="0" w:left="360"/>
              <w:contextualSpacing/>
              <w:rPr>
                <w:rFonts w:ascii="Times New Roman" w:hAnsi="Times New Roman"/>
                <w:sz w:val="18"/>
                <w:szCs w:val="16"/>
              </w:rPr>
            </w:pPr>
            <w:r w:rsidRPr="007D52C2">
              <w:rPr>
                <w:rFonts w:ascii="Times New Roman" w:hAnsi="Times New Roman"/>
                <w:sz w:val="18"/>
                <w:szCs w:val="16"/>
              </w:rPr>
              <w:t xml:space="preserve">The following assumptions are used: </w:t>
            </w:r>
          </w:p>
          <w:p w14:paraId="04696FE8" w14:textId="77777777" w:rsidR="007D52C2" w:rsidRPr="007D52C2" w:rsidRDefault="007D52C2" w:rsidP="007D52C2">
            <w:pPr>
              <w:pStyle w:val="ListParagraph"/>
              <w:numPr>
                <w:ilvl w:val="2"/>
                <w:numId w:val="8"/>
              </w:numPr>
              <w:snapToGrid w:val="0"/>
              <w:ind w:leftChars="0" w:left="1080"/>
              <w:contextualSpacing/>
              <w:rPr>
                <w:rFonts w:ascii="Times New Roman" w:hAnsi="Times New Roman"/>
                <w:sz w:val="18"/>
                <w:szCs w:val="16"/>
              </w:rPr>
            </w:pPr>
            <w:r w:rsidRPr="007D52C2">
              <w:rPr>
                <w:rFonts w:ascii="Times New Roman" w:hAnsi="Times New Roman"/>
                <w:sz w:val="18"/>
                <w:szCs w:val="16"/>
              </w:rPr>
              <w:t>In terms of RF functionality, a UE panel comprises a collection of TXRUs that is able to generate one analog beam (one beam may correspond to two antenna ports if dual-polarized array is used)</w:t>
            </w:r>
          </w:p>
          <w:p w14:paraId="5BF6B9E6" w14:textId="77777777" w:rsidR="007D52C2" w:rsidRPr="007D52C2" w:rsidRDefault="007D52C2" w:rsidP="007D52C2">
            <w:pPr>
              <w:pStyle w:val="ListParagraph"/>
              <w:numPr>
                <w:ilvl w:val="2"/>
                <w:numId w:val="8"/>
              </w:numPr>
              <w:snapToGrid w:val="0"/>
              <w:ind w:leftChars="0" w:left="1080"/>
              <w:contextualSpacing/>
              <w:rPr>
                <w:rFonts w:ascii="Times New Roman" w:hAnsi="Times New Roman"/>
                <w:sz w:val="18"/>
                <w:szCs w:val="16"/>
              </w:rPr>
            </w:pPr>
            <w:r w:rsidRPr="007D52C2">
              <w:rPr>
                <w:rFonts w:ascii="Times New Roman" w:hAnsi="Times New Roman"/>
                <w:sz w:val="18"/>
                <w:szCs w:val="16"/>
              </w:rPr>
              <w:t xml:space="preserve">UE panels can constitute the same as well as different number of antenna ports, number of beams, and EIRP </w:t>
            </w:r>
          </w:p>
          <w:p w14:paraId="23468340" w14:textId="77777777" w:rsidR="007D52C2" w:rsidRPr="007D52C2" w:rsidRDefault="007D52C2" w:rsidP="007D52C2">
            <w:pPr>
              <w:pStyle w:val="ListParagraph"/>
              <w:numPr>
                <w:ilvl w:val="2"/>
                <w:numId w:val="8"/>
              </w:numPr>
              <w:snapToGrid w:val="0"/>
              <w:ind w:leftChars="0" w:left="1080"/>
              <w:contextualSpacing/>
              <w:rPr>
                <w:rFonts w:ascii="Times New Roman" w:hAnsi="Times New Roman"/>
                <w:sz w:val="18"/>
                <w:szCs w:val="16"/>
              </w:rPr>
            </w:pPr>
            <w:r w:rsidRPr="007D52C2">
              <w:rPr>
                <w:rFonts w:ascii="Times New Roman" w:hAnsi="Times New Roman"/>
                <w:sz w:val="18"/>
                <w:szCs w:val="16"/>
              </w:rPr>
              <w:t>No beam correspondence across different UE panels</w:t>
            </w:r>
          </w:p>
          <w:p w14:paraId="6325E7CB" w14:textId="77777777" w:rsidR="007D52C2" w:rsidRPr="007D52C2" w:rsidRDefault="007D52C2" w:rsidP="007D52C2">
            <w:pPr>
              <w:pStyle w:val="ListParagraph"/>
              <w:numPr>
                <w:ilvl w:val="2"/>
                <w:numId w:val="8"/>
              </w:numPr>
              <w:snapToGrid w:val="0"/>
              <w:ind w:leftChars="0" w:left="1080"/>
              <w:contextualSpacing/>
              <w:rPr>
                <w:rFonts w:ascii="Times New Roman" w:hAnsi="Times New Roman"/>
                <w:sz w:val="18"/>
                <w:szCs w:val="16"/>
              </w:rPr>
            </w:pPr>
            <w:r w:rsidRPr="007D52C2">
              <w:rPr>
                <w:rFonts w:ascii="Times New Roman" w:hAnsi="Times New Roman"/>
                <w:sz w:val="18"/>
                <w:szCs w:val="16"/>
              </w:rPr>
              <w:t>FFS: For each UE panel, it can comprise an independent unit of PC, FFT timing window, and/or TA.</w:t>
            </w:r>
          </w:p>
          <w:p w14:paraId="40069979" w14:textId="13ACAE4F" w:rsidR="007D52C2" w:rsidRDefault="007D52C2" w:rsidP="007D52C2">
            <w:pPr>
              <w:pStyle w:val="ListParagraph"/>
              <w:numPr>
                <w:ilvl w:val="2"/>
                <w:numId w:val="8"/>
              </w:numPr>
              <w:snapToGrid w:val="0"/>
              <w:ind w:leftChars="0" w:left="1080"/>
              <w:contextualSpacing/>
            </w:pPr>
            <w:r w:rsidRPr="007D52C2">
              <w:rPr>
                <w:rFonts w:ascii="Times New Roman" w:eastAsia="Malgun Gothic" w:hAnsi="Times New Roman"/>
                <w:sz w:val="18"/>
                <w:szCs w:val="16"/>
              </w:rPr>
              <w:t>FFS: Same or different sets of UE panels can be used for DL reception and UL transmission, respectively</w:t>
            </w:r>
          </w:p>
        </w:tc>
      </w:tr>
    </w:tbl>
    <w:p w14:paraId="156E995F" w14:textId="29BE3088" w:rsidR="007D52C2" w:rsidRDefault="007D52C2" w:rsidP="00962DD7">
      <w:pPr>
        <w:pStyle w:val="00Text"/>
      </w:pPr>
      <w:r>
        <w:t xml:space="preserve">Regarding the first FFS point above, in our view, how to define one UE panel is up to UE implementation. Different UE panels might have same or different unit of power control, FFT timing window and timing advance, which varies in different UE hardware implementation.  </w:t>
      </w:r>
      <w:r w:rsidR="0090122F">
        <w:t>Thus, we cannot make the assumption that the UE panel comprises independent unit. Similarly, the relationship between UE panels used for DL reception and UL transmission are also totally up to UE hardware implementation. Some UE could have same sets of UE panels used for DL reception and UL transmission. But some UEs could have different sets of UE panels used for DL reception and UL transmission. And some UEs even could have partially overlapped sets of UE panels used for DL reception and UL transmission. Therefore, it is not proper to make any assumption on them.</w:t>
      </w:r>
    </w:p>
    <w:p w14:paraId="41D74B53" w14:textId="7DB423C7" w:rsidR="00962DD7" w:rsidRDefault="00962DD7" w:rsidP="00962DD7">
      <w:pPr>
        <w:pStyle w:val="00Text"/>
      </w:pPr>
      <w:r>
        <w:t xml:space="preserve">To facilitate UL panel selection and beam selection for uplink transmission, we </w:t>
      </w:r>
      <w:r w:rsidR="0090122F">
        <w:t>could</w:t>
      </w:r>
      <w:r>
        <w:t xml:space="preserve"> </w:t>
      </w:r>
      <w:r w:rsidR="0090122F">
        <w:t xml:space="preserve">consider </w:t>
      </w:r>
      <w:r>
        <w:t xml:space="preserve">UE panel-specific beam measurement and reporting. For UE with beam correspondence, the gNB selects UL beam based on the measurement results of downlink beam sweeping.  To assist the gNB selecting and indicating UE panel for uplink transmission, the UE can report ID associated with UL Tx panels along with reported CRI or SSBRI and the corresponding L1-RSRP measurement or L1-SINR measurement. For one gNB Tx beam, it is possible that the UE receive it with good L1-RSRP or L1-SINR at multiple Rx panels and thus it is feasible for the UE to choose any one of those Tx panel to transmit uplink signal if that gNB Tx beam is provided for uplink transmission. Therefore, in panel-specific beam reporting, the UE shall be allowed to report one more IDs of UL Tx panel along with one reported CRI or SSBRI. One benefit of that design is the overhead of downlink reference signal resource is reduced. </w:t>
      </w:r>
    </w:p>
    <w:p w14:paraId="05168A31" w14:textId="66EBD925" w:rsidR="00962DD7" w:rsidRDefault="00962DD7" w:rsidP="00962DD7">
      <w:pPr>
        <w:pStyle w:val="00Text"/>
      </w:pPr>
      <w:bookmarkStart w:id="10" w:name="_Hlk53586648"/>
      <w:r w:rsidRPr="008D3B49">
        <w:rPr>
          <w:b/>
          <w:bCs/>
          <w:i/>
          <w:iCs/>
        </w:rPr>
        <w:lastRenderedPageBreak/>
        <w:t xml:space="preserve">Proposal </w:t>
      </w:r>
      <w:r w:rsidR="000A4372">
        <w:rPr>
          <w:b/>
          <w:bCs/>
          <w:i/>
          <w:iCs/>
        </w:rPr>
        <w:t>10</w:t>
      </w:r>
      <w:r w:rsidRPr="008D3B49">
        <w:rPr>
          <w:b/>
          <w:bCs/>
          <w:i/>
          <w:iCs/>
        </w:rPr>
        <w:t xml:space="preserve">: </w:t>
      </w:r>
      <w:r w:rsidR="0090122F">
        <w:rPr>
          <w:b/>
          <w:bCs/>
          <w:i/>
          <w:iCs/>
        </w:rPr>
        <w:t xml:space="preserve">Consider </w:t>
      </w:r>
      <w:r>
        <w:rPr>
          <w:b/>
          <w:bCs/>
          <w:i/>
          <w:iCs/>
        </w:rPr>
        <w:t>panel-specific beam measurement and reporting</w:t>
      </w:r>
      <w:r w:rsidR="0090122F">
        <w:rPr>
          <w:b/>
          <w:bCs/>
          <w:i/>
          <w:iCs/>
        </w:rPr>
        <w:t xml:space="preserve"> for MP-UE</w:t>
      </w:r>
      <w:r>
        <w:rPr>
          <w:b/>
          <w:bCs/>
          <w:i/>
          <w:iCs/>
        </w:rPr>
        <w:t>.</w:t>
      </w:r>
    </w:p>
    <w:bookmarkEnd w:id="10"/>
    <w:p w14:paraId="620AB777" w14:textId="50767BE3" w:rsidR="00962DD7" w:rsidRDefault="00962DD7" w:rsidP="00962DD7">
      <w:pPr>
        <w:pStyle w:val="Heading2"/>
        <w:rPr>
          <w:sz w:val="22"/>
          <w:szCs w:val="24"/>
          <w:lang w:eastAsia="zh-CN"/>
        </w:rPr>
      </w:pPr>
      <w:r>
        <w:rPr>
          <w:sz w:val="22"/>
          <w:szCs w:val="24"/>
          <w:lang w:eastAsia="zh-CN"/>
        </w:rPr>
        <w:t>MPE Issue</w:t>
      </w:r>
    </w:p>
    <w:p w14:paraId="331831DA" w14:textId="77777777" w:rsidR="00962DD7" w:rsidRDefault="00962DD7" w:rsidP="00962DD7">
      <w:pPr>
        <w:pStyle w:val="00Text"/>
      </w:pPr>
      <w:r>
        <w:t xml:space="preserve">When MPE issue occurs, the UE shall reduce the transmit power for directions pointing to human body due to the RF exposure compliance reason. From perspective of RAN1, </w:t>
      </w:r>
      <w:r>
        <w:rPr>
          <w:rFonts w:hint="eastAsia"/>
        </w:rPr>
        <w:t>in</w:t>
      </w:r>
      <w:r>
        <w:t xml:space="preserve"> </w:t>
      </w:r>
      <w:r>
        <w:rPr>
          <w:rFonts w:hint="eastAsia"/>
        </w:rPr>
        <w:t xml:space="preserve">FR2 </w:t>
      </w:r>
      <w:r>
        <w:t>system, the UE shall reduce the maximal transmit power for those Tx beams pointing to human body.  If the UE is smart enough to sense the location of human body accurately, the UE can apply reduced maximal transmit power on each refined Tx beam direction. However, if the UE cannot estimate the location of human body accurately, the UE would have to apply power back-off over a wider beam direction. To address the MPE issue in RAN1, the first question we shall study is at which level the UE is able to apply power back-off due to MPE problem, per Tx beam or Tx panel.</w:t>
      </w:r>
    </w:p>
    <w:p w14:paraId="423D4FA3" w14:textId="44A5B251" w:rsidR="00962DD7" w:rsidRDefault="00962DD7" w:rsidP="00962DD7">
      <w:pPr>
        <w:pStyle w:val="000proposals"/>
      </w:pPr>
      <w:bookmarkStart w:id="11" w:name="_Hlk53586655"/>
      <w:r w:rsidRPr="005A5406">
        <w:t>Proposal</w:t>
      </w:r>
      <w:r>
        <w:t xml:space="preserve"> </w:t>
      </w:r>
      <w:r w:rsidR="000A4372">
        <w:t>11</w:t>
      </w:r>
      <w:r w:rsidRPr="00206B0D">
        <w:t xml:space="preserve">: </w:t>
      </w:r>
      <w:r>
        <w:t>First study the feasibility of per-beam or per-panel human detection and send LS to RAN4 to ask about the feasibility.</w:t>
      </w:r>
    </w:p>
    <w:bookmarkEnd w:id="11"/>
    <w:p w14:paraId="5002EA46" w14:textId="5347FD17" w:rsidR="00646B40" w:rsidRDefault="00962DD7" w:rsidP="00336739">
      <w:pPr>
        <w:jc w:val="both"/>
        <w:rPr>
          <w:rStyle w:val="00TextChar"/>
          <w:lang w:eastAsia="zh-CN"/>
        </w:rPr>
      </w:pPr>
      <w:r>
        <w:t xml:space="preserve">To ensure compliance with applicable </w:t>
      </w:r>
      <w:r w:rsidRPr="001C0CC4">
        <w:t>electromagnetic energy absorption requirements</w:t>
      </w:r>
      <w:r>
        <w:t xml:space="preserve">, the UE  shall use a P-MPR in determining its configured maximum output power. As specified in RAN4, </w:t>
      </w:r>
      <w:r w:rsidR="00336739">
        <w:rPr>
          <w:rStyle w:val="00TextChar"/>
          <w:rFonts w:hint="eastAsia"/>
          <w:lang w:eastAsia="zh-CN"/>
        </w:rPr>
        <w:t>t</w:t>
      </w:r>
      <w:r w:rsidR="00646B40" w:rsidRPr="00336739">
        <w:rPr>
          <w:rStyle w:val="00TextChar"/>
        </w:rPr>
        <w:t>he configured UE maximum output power PCMAX,f,c for carrier f of a serving cell c shall be set such that the corresponding measured peak EIRP PUMAX,f,c is within the following bounds</w:t>
      </w:r>
      <w:r w:rsidR="004C5A8F">
        <w:rPr>
          <w:rStyle w:val="00TextChar"/>
          <w:rFonts w:hint="eastAsia"/>
          <w:lang w:eastAsia="zh-CN"/>
        </w:rPr>
        <w:t>:</w:t>
      </w:r>
    </w:p>
    <w:p w14:paraId="0BC53CEA" w14:textId="77777777" w:rsidR="004C5A8F" w:rsidRPr="00336739" w:rsidRDefault="004C5A8F" w:rsidP="00336739">
      <w:pPr>
        <w:jc w:val="both"/>
        <w:rPr>
          <w:rStyle w:val="00TextChar"/>
        </w:rPr>
      </w:pPr>
    </w:p>
    <w:p w14:paraId="1AE267E2" w14:textId="77777777" w:rsidR="00646B40" w:rsidRDefault="00646B40" w:rsidP="00C20FCE">
      <w:pPr>
        <w:pStyle w:val="EQ"/>
        <w:spacing w:line="300" w:lineRule="auto"/>
        <w:jc w:val="center"/>
      </w:pPr>
      <w:r>
        <w:t>P</w:t>
      </w:r>
      <w:r>
        <w:rPr>
          <w:vertAlign w:val="subscript"/>
        </w:rPr>
        <w:t>Powerclass</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7AB80484" w14:textId="77777777" w:rsidR="00646B40" w:rsidRDefault="00646B40" w:rsidP="00646B40">
      <w:r>
        <w:t>while the corresponding measured total radiated power P</w:t>
      </w:r>
      <w:r>
        <w:rPr>
          <w:vertAlign w:val="subscript"/>
        </w:rPr>
        <w:t>TMAX,f,c</w:t>
      </w:r>
      <w:r>
        <w:t xml:space="preserve"> is bounded by</w:t>
      </w:r>
    </w:p>
    <w:p w14:paraId="00923DBC" w14:textId="77777777" w:rsidR="00646B40" w:rsidRDefault="00646B40" w:rsidP="00646B40">
      <w:pPr>
        <w:pStyle w:val="EQ"/>
        <w:jc w:val="center"/>
      </w:pPr>
      <w:r>
        <w:t>P</w:t>
      </w:r>
      <w:r>
        <w:rPr>
          <w:vertAlign w:val="subscript"/>
        </w:rPr>
        <w:t>TMAX,f,c</w:t>
      </w:r>
      <w:r>
        <w:t xml:space="preserve"> ≤ TRP</w:t>
      </w:r>
      <w:r>
        <w:rPr>
          <w:vertAlign w:val="subscript"/>
        </w:rPr>
        <w:t>max</w:t>
      </w:r>
    </w:p>
    <w:p w14:paraId="48D3119B" w14:textId="75521A1A" w:rsidR="00962DD7" w:rsidRDefault="00962DD7" w:rsidP="00962DD7">
      <w:pPr>
        <w:pStyle w:val="00Text"/>
      </w:pPr>
      <w:r>
        <w:rPr>
          <w:lang w:val="en-GB"/>
        </w:rPr>
        <w:t xml:space="preserve">For each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69C03F4B" w14:textId="18333C26" w:rsidR="006B0921" w:rsidRPr="00F70BD0" w:rsidRDefault="006B0921" w:rsidP="006B0921">
      <w:pPr>
        <w:pStyle w:val="000proposal"/>
        <w:rPr>
          <w:lang w:val="en-GB"/>
        </w:rPr>
      </w:pPr>
      <w:bookmarkStart w:id="12" w:name="_Hlk53586810"/>
      <w:r>
        <w:t xml:space="preserve">Observation 3: The actual power back value in MPE issue is variable value, which is determined by the P-MPR and uplink transmission duty. </w:t>
      </w:r>
    </w:p>
    <w:bookmarkEnd w:id="12"/>
    <w:p w14:paraId="5389A1A2" w14:textId="13726B3A" w:rsidR="00962DD7" w:rsidRDefault="00312C9F" w:rsidP="00962DD7">
      <w:pPr>
        <w:pStyle w:val="00Text"/>
      </w:pPr>
      <w:r>
        <w:t>In RAN1#102-e meeting, we agreed to study the following categories:</w:t>
      </w:r>
    </w:p>
    <w:tbl>
      <w:tblPr>
        <w:tblStyle w:val="TableGrid"/>
        <w:tblW w:w="0" w:type="auto"/>
        <w:tblLook w:val="04A0" w:firstRow="1" w:lastRow="0" w:firstColumn="1" w:lastColumn="0" w:noHBand="0" w:noVBand="1"/>
      </w:tblPr>
      <w:tblGrid>
        <w:gridCol w:w="9062"/>
      </w:tblGrid>
      <w:tr w:rsidR="00312C9F" w14:paraId="5888AED7" w14:textId="77777777" w:rsidTr="00312C9F">
        <w:tc>
          <w:tcPr>
            <w:tcW w:w="9062" w:type="dxa"/>
          </w:tcPr>
          <w:p w14:paraId="0EA84C4B" w14:textId="77777777" w:rsidR="00312C9F" w:rsidRPr="00312C9F" w:rsidRDefault="00312C9F" w:rsidP="00312C9F">
            <w:pPr>
              <w:pStyle w:val="ListParagraph"/>
              <w:numPr>
                <w:ilvl w:val="0"/>
                <w:numId w:val="20"/>
              </w:numPr>
              <w:snapToGrid w:val="0"/>
              <w:ind w:leftChars="0" w:left="878" w:hanging="540"/>
              <w:contextualSpacing/>
              <w:rPr>
                <w:rFonts w:ascii="Times New Roman" w:hAnsi="Times New Roman"/>
                <w:sz w:val="18"/>
                <w:szCs w:val="16"/>
              </w:rPr>
            </w:pPr>
            <w:r w:rsidRPr="00312C9F">
              <w:rPr>
                <w:rFonts w:ascii="Times New Roman" w:hAnsi="Times New Roman"/>
                <w:sz w:val="18"/>
                <w:szCs w:val="16"/>
              </w:rPr>
              <w:t>If needed, identify candidate solutions to be down-selected in future meeting(s). The following sub-categories can be used:</w:t>
            </w:r>
          </w:p>
          <w:p w14:paraId="69839915" w14:textId="77777777" w:rsidR="00312C9F" w:rsidRPr="00312C9F" w:rsidRDefault="00312C9F" w:rsidP="00312C9F">
            <w:pPr>
              <w:pStyle w:val="ListParagraph"/>
              <w:numPr>
                <w:ilvl w:val="2"/>
                <w:numId w:val="8"/>
              </w:numPr>
              <w:snapToGrid w:val="0"/>
              <w:ind w:leftChars="0" w:left="878" w:hanging="450"/>
              <w:contextualSpacing/>
              <w:rPr>
                <w:rFonts w:ascii="Times New Roman" w:hAnsi="Times New Roman"/>
                <w:sz w:val="18"/>
                <w:szCs w:val="16"/>
              </w:rPr>
            </w:pPr>
            <w:r w:rsidRPr="00312C9F">
              <w:rPr>
                <w:rFonts w:ascii="Times New Roman" w:hAnsi="Times New Roman"/>
                <w:sz w:val="18"/>
                <w:szCs w:val="16"/>
              </w:rPr>
              <w:t>CAT0. The need for specification support for MPE event detection and, if needed, candidate solutions</w:t>
            </w:r>
          </w:p>
          <w:p w14:paraId="43A9306F" w14:textId="77777777" w:rsidR="00312C9F" w:rsidRPr="00312C9F" w:rsidRDefault="00312C9F" w:rsidP="00312C9F">
            <w:pPr>
              <w:pStyle w:val="ListParagraph"/>
              <w:numPr>
                <w:ilvl w:val="2"/>
                <w:numId w:val="8"/>
              </w:numPr>
              <w:snapToGrid w:val="0"/>
              <w:ind w:leftChars="0" w:left="878" w:hanging="450"/>
              <w:contextualSpacing/>
              <w:rPr>
                <w:rFonts w:ascii="Times New Roman" w:hAnsi="Times New Roman"/>
                <w:sz w:val="18"/>
                <w:szCs w:val="16"/>
              </w:rPr>
            </w:pPr>
            <w:r w:rsidRPr="00312C9F">
              <w:rPr>
                <w:rFonts w:ascii="Times New Roman" w:hAnsi="Times New Roman"/>
                <w:sz w:val="18"/>
                <w:szCs w:val="16"/>
              </w:rPr>
              <w:t>CAT1. The need for UE reporting associated with an MPE and/or a potential/anticipated MPE event if the UE selects a certain UL spatial resource, e.g., corresponding to DL or UL RS</w:t>
            </w:r>
          </w:p>
          <w:p w14:paraId="63C004E5" w14:textId="2A733743" w:rsidR="00312C9F" w:rsidRDefault="00312C9F" w:rsidP="00312C9F">
            <w:pPr>
              <w:pStyle w:val="ListParagraph"/>
              <w:numPr>
                <w:ilvl w:val="2"/>
                <w:numId w:val="8"/>
              </w:numPr>
              <w:snapToGrid w:val="0"/>
              <w:ind w:leftChars="0" w:left="878" w:hanging="450"/>
              <w:contextualSpacing/>
            </w:pPr>
            <w:r w:rsidRPr="00312C9F">
              <w:rPr>
                <w:rFonts w:ascii="Times New Roman" w:hAnsi="Times New Roman"/>
                <w:sz w:val="18"/>
                <w:szCs w:val="16"/>
              </w:rPr>
              <w:t>CAT2. The need for NW signaling in response to the reported MPE event (taking into account issue 1) and UE behavior after receiving the NW signaling</w:t>
            </w:r>
          </w:p>
        </w:tc>
      </w:tr>
    </w:tbl>
    <w:p w14:paraId="61DA8046" w14:textId="46C5DEC1" w:rsidR="00312C9F" w:rsidRDefault="00312C9F" w:rsidP="00962DD7">
      <w:pPr>
        <w:pStyle w:val="00Text"/>
      </w:pPr>
      <w:r>
        <w:t>For CAT0</w:t>
      </w:r>
      <w:r>
        <w:rPr>
          <w:rFonts w:hint="eastAsia"/>
        </w:rPr>
        <w:t>：</w:t>
      </w:r>
      <w:r>
        <w:t>In our view, the MPE event detection is a UE implementation issue. The UE detects</w:t>
      </w:r>
      <w:r w:rsidR="006B0921">
        <w:t>/measures</w:t>
      </w:r>
      <w:r>
        <w:t xml:space="preserve"> the environment surrounding </w:t>
      </w:r>
      <w:r w:rsidR="006B0921">
        <w:t>him</w:t>
      </w:r>
      <w:r>
        <w:t xml:space="preserve"> and then </w:t>
      </w:r>
      <w:r w:rsidR="005372EB">
        <w:t xml:space="preserve">the UE </w:t>
      </w:r>
      <w:r>
        <w:t xml:space="preserve">can </w:t>
      </w:r>
      <w:r w:rsidR="005372EB">
        <w:t>determine</w:t>
      </w:r>
      <w:r>
        <w:t xml:space="preserve"> </w:t>
      </w:r>
      <w:r w:rsidR="005372EB">
        <w:t>a</w:t>
      </w:r>
      <w:r>
        <w:t xml:space="preserve"> </w:t>
      </w:r>
      <w:r w:rsidR="00B33BF4">
        <w:t>P-</w:t>
      </w:r>
      <w:r>
        <w:t xml:space="preserve">MPR value considering the regulation on emission requirement. </w:t>
      </w:r>
      <w:r w:rsidR="005372EB">
        <w:t>As descried above, the maximal transmit power for each UL transmission is selected between a</w:t>
      </w:r>
      <w:r w:rsidR="00B9181D">
        <w:t>n</w:t>
      </w:r>
      <w:r w:rsidR="005372EB">
        <w:t xml:space="preserve"> upper bound and lower bound that is calculated based on the P-MPR value. Therefore, t</w:t>
      </w:r>
      <w:r>
        <w:t xml:space="preserve">here is no need for specification supporting </w:t>
      </w:r>
      <w:r w:rsidR="005372EB">
        <w:t>the UE detecting MPE event</w:t>
      </w:r>
      <w:r>
        <w:t xml:space="preserve">. </w:t>
      </w:r>
      <w:r w:rsidR="005372EB">
        <w:t xml:space="preserve"> </w:t>
      </w:r>
    </w:p>
    <w:p w14:paraId="7467669D" w14:textId="1B915EBC" w:rsidR="00B9181D" w:rsidRDefault="00312C9F" w:rsidP="00B9181D">
      <w:pPr>
        <w:pStyle w:val="00Text"/>
      </w:pPr>
      <w:r>
        <w:t xml:space="preserve">For CAT1: The mechanism of MPR reporting specified in RAN4 can be used as the starting point to handle the MPE issue. As discussed earlier in this paper, the UE determines a </w:t>
      </w:r>
      <w:r w:rsidR="00B33BF4">
        <w:t>P-</w:t>
      </w:r>
      <w:r>
        <w:t xml:space="preserve">MPR value which is actually the maximal power reduction value considering the requirement on emission. For each particular UL transmission, the actual maximal transmission power is determined based on both MPR value and the transmission duty cycle. Thus, one candidate solution is for the UE to report </w:t>
      </w:r>
      <w:r w:rsidR="00B33BF4">
        <w:t>P-</w:t>
      </w:r>
      <w:r>
        <w:t xml:space="preserve">MPR value. Another candidate solution is the UE reports a power headroom that is calculated based on the determined </w:t>
      </w:r>
      <w:r w:rsidR="00B33BF4">
        <w:t>P-</w:t>
      </w:r>
      <w:r>
        <w:t xml:space="preserve">MPR value. </w:t>
      </w:r>
      <w:r w:rsidR="00B9181D" w:rsidRPr="008346A6">
        <w:t xml:space="preserve">To resolve the MPE issue, the rel16 design in RAN4 is the UE can report a P-MPR through MAC CE to the system. For rel17 work in RAN1, that mechanism can be starting point for further enhancement. </w:t>
      </w:r>
      <w:r w:rsidR="00B9181D">
        <w:t xml:space="preserve"> For further optimization to resolve the MPE issue, we can consider enhancing the P-MPR reporting mechanism. The UE can report panel-specific P-MPR or uplink Tx beam-specific P-MPR value to the gNB to assist the gNB on uplink Tx beam selection.</w:t>
      </w:r>
    </w:p>
    <w:p w14:paraId="698A1C08" w14:textId="3881F4F6" w:rsidR="00B33BF4" w:rsidRDefault="00B33BF4" w:rsidP="00962DD7">
      <w:pPr>
        <w:pStyle w:val="00Text"/>
      </w:pPr>
      <w:r>
        <w:lastRenderedPageBreak/>
        <w:t xml:space="preserve">For CAT2: we do not see the need for NW to signal a response to the reported P-MPR value. After receiving the P-MPR value, the NW can determine to update the UL spatial setting accordingly, for example switching the TCI state to a new TCI state with different spatial setting.  </w:t>
      </w:r>
    </w:p>
    <w:p w14:paraId="062F7B6E" w14:textId="77777777" w:rsidR="00663F2F" w:rsidRDefault="006B0921" w:rsidP="006B0921">
      <w:pPr>
        <w:pStyle w:val="000proposals"/>
      </w:pPr>
      <w:bookmarkStart w:id="13" w:name="_Hlk53586664"/>
      <w:r w:rsidRPr="005A5406">
        <w:t xml:space="preserve">Proposal </w:t>
      </w:r>
      <w:r>
        <w:t>12</w:t>
      </w:r>
      <w:r w:rsidRPr="00206B0D">
        <w:t>:</w:t>
      </w:r>
      <w:r w:rsidR="00663F2F">
        <w:t xml:space="preserve"> For the MPE issue:</w:t>
      </w:r>
    </w:p>
    <w:p w14:paraId="6228A498" w14:textId="7CDCA2CA" w:rsidR="00663F2F" w:rsidRDefault="00663F2F" w:rsidP="00663F2F">
      <w:pPr>
        <w:pStyle w:val="000proposals"/>
        <w:numPr>
          <w:ilvl w:val="0"/>
          <w:numId w:val="22"/>
        </w:numPr>
      </w:pPr>
      <w:r>
        <w:t>There is no need for specification support for MPE event detection</w:t>
      </w:r>
    </w:p>
    <w:p w14:paraId="4A40E614" w14:textId="7E8B4E99" w:rsidR="006B0921" w:rsidRDefault="006B0921" w:rsidP="00663F2F">
      <w:pPr>
        <w:pStyle w:val="000proposals"/>
        <w:numPr>
          <w:ilvl w:val="0"/>
          <w:numId w:val="22"/>
        </w:numPr>
      </w:pPr>
      <w:r>
        <w:t>Consider the mechanism of P-MPR reporting specified in RAN4 as starting point for further enhancement.</w:t>
      </w:r>
    </w:p>
    <w:p w14:paraId="41535013" w14:textId="23E0D3AA" w:rsidR="00663F2F" w:rsidRDefault="00663F2F" w:rsidP="00663F2F">
      <w:pPr>
        <w:pStyle w:val="000proposals"/>
        <w:numPr>
          <w:ilvl w:val="0"/>
          <w:numId w:val="22"/>
        </w:numPr>
      </w:pPr>
      <w:r>
        <w:t>There is no need for NW response to the reported MPE event.</w:t>
      </w:r>
    </w:p>
    <w:bookmarkEnd w:id="13"/>
    <w:p w14:paraId="6C9F410E" w14:textId="77777777" w:rsidR="006B0921" w:rsidRPr="00962DD7" w:rsidRDefault="006B0921" w:rsidP="00962DD7">
      <w:pPr>
        <w:pStyle w:val="00Text"/>
      </w:pPr>
    </w:p>
    <w:p w14:paraId="69A8645B" w14:textId="7731E88F" w:rsidR="00F65FEA" w:rsidRDefault="00F65FEA" w:rsidP="00F65FEA">
      <w:pPr>
        <w:pStyle w:val="01"/>
        <w:numPr>
          <w:ilvl w:val="0"/>
          <w:numId w:val="1"/>
        </w:numPr>
        <w:ind w:left="562" w:hanging="562"/>
      </w:pPr>
      <w:r>
        <w:t>Conclusion</w:t>
      </w:r>
    </w:p>
    <w:p w14:paraId="104C3E8B" w14:textId="053054A4" w:rsidR="002328B0" w:rsidRDefault="002328B0" w:rsidP="002328B0">
      <w:pPr>
        <w:pStyle w:val="00Text"/>
      </w:pPr>
      <w:r w:rsidRPr="001B2F18">
        <w:t xml:space="preserve">In this contribution, we presented our views on </w:t>
      </w:r>
      <w:r w:rsidR="00294100">
        <w:t>enhancement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3D74D6A4" w14:textId="77777777" w:rsidR="00BC3FED" w:rsidRDefault="00BC3FED" w:rsidP="00BC3FED">
      <w:pPr>
        <w:pStyle w:val="000proposals"/>
      </w:pPr>
      <w:r>
        <w:t xml:space="preserve">Proposal 1: Support to indicate M = 1 TCI state to provide common QCL information for UE-dedicated PDSCH and PDCCH and indicate N = 1 TCI state to provide common spatial setting for UE-dedicated PUCCH and PUSCH. </w:t>
      </w:r>
    </w:p>
    <w:p w14:paraId="465B1889" w14:textId="77777777" w:rsidR="00BC3FED" w:rsidRDefault="00BC3FED" w:rsidP="00BC3FED">
      <w:pPr>
        <w:pStyle w:val="000proposal"/>
      </w:pPr>
      <w:r>
        <w:t>Proposal 2: The common QCL information shall be applied to all the CSI-RS resource for CSI acquisition and some CSI-RS resource for beam management.</w:t>
      </w:r>
    </w:p>
    <w:p w14:paraId="2FC91A22" w14:textId="77777777" w:rsidR="00BC3FED" w:rsidRDefault="00BC3FED" w:rsidP="00BC3FED">
      <w:pPr>
        <w:pStyle w:val="000proposal"/>
      </w:pPr>
      <w:r>
        <w:t>Proposal 3: The common spatial setting shall be applied to some SRS resource set for beam management.</w:t>
      </w:r>
    </w:p>
    <w:p w14:paraId="50FC6670" w14:textId="77777777" w:rsidR="00BC3FED" w:rsidRDefault="00BC3FED" w:rsidP="00BC3FED">
      <w:pPr>
        <w:pStyle w:val="000proposals"/>
      </w:pPr>
      <w:r>
        <w:t>Proposal 4: Support joint TCI state to include references for both DL and UL, and each TCI state include the following information:</w:t>
      </w:r>
    </w:p>
    <w:p w14:paraId="7DF2B997" w14:textId="77777777" w:rsidR="00BC3FED" w:rsidRDefault="00BC3FED" w:rsidP="00BC3FED">
      <w:pPr>
        <w:pStyle w:val="000proposals"/>
        <w:numPr>
          <w:ilvl w:val="0"/>
          <w:numId w:val="15"/>
        </w:numPr>
      </w:pPr>
      <w:r>
        <w:t>One or two RS resources providing QCL information</w:t>
      </w:r>
    </w:p>
    <w:p w14:paraId="63C6CD11" w14:textId="77777777" w:rsidR="00BC3FED" w:rsidRDefault="00BC3FED" w:rsidP="00BC3FED">
      <w:pPr>
        <w:pStyle w:val="000proposals"/>
        <w:numPr>
          <w:ilvl w:val="0"/>
          <w:numId w:val="15"/>
        </w:numPr>
      </w:pPr>
      <w:r>
        <w:t>One RS resource providing spatial setting</w:t>
      </w:r>
    </w:p>
    <w:p w14:paraId="5CB5DEB7" w14:textId="77777777" w:rsidR="00BC3FED" w:rsidRDefault="00BC3FED" w:rsidP="00BC3FED">
      <w:pPr>
        <w:pStyle w:val="000proposals"/>
        <w:numPr>
          <w:ilvl w:val="0"/>
          <w:numId w:val="15"/>
        </w:numPr>
      </w:pPr>
      <w:r>
        <w:t>One RS resource providing pathloss RS.</w:t>
      </w:r>
    </w:p>
    <w:p w14:paraId="482DEEA4" w14:textId="77777777" w:rsidR="00BC3FED" w:rsidRDefault="00BC3FED" w:rsidP="00BC3FED">
      <w:pPr>
        <w:pStyle w:val="000proposal"/>
      </w:pPr>
      <w:r>
        <w:t xml:space="preserve">Proposal 5: Support DCI-based TCI state update for common QCL/spatial setting operation. </w:t>
      </w:r>
    </w:p>
    <w:p w14:paraId="2528F374" w14:textId="77777777" w:rsidR="00BC3FED" w:rsidRDefault="00BC3FED" w:rsidP="00BC3FED">
      <w:pPr>
        <w:pStyle w:val="000proposal"/>
      </w:pPr>
      <w:r>
        <w:t>Proposal 6: A UE-dedicated DCI is used to indicate a common TCI state:</w:t>
      </w:r>
    </w:p>
    <w:p w14:paraId="2F1075DE" w14:textId="77777777" w:rsidR="00BC3FED" w:rsidRDefault="00BC3FED" w:rsidP="00BC3FED">
      <w:pPr>
        <w:pStyle w:val="000proposal"/>
        <w:numPr>
          <w:ilvl w:val="0"/>
          <w:numId w:val="19"/>
        </w:numPr>
      </w:pPr>
      <w:r>
        <w:t>The UE reports HARQ-ACK when the DCI is decoded correctly.</w:t>
      </w:r>
    </w:p>
    <w:p w14:paraId="25869F7D" w14:textId="77777777" w:rsidR="00BC3FED" w:rsidRDefault="00BC3FED" w:rsidP="00BC3FED">
      <w:pPr>
        <w:pStyle w:val="000proposal"/>
        <w:numPr>
          <w:ilvl w:val="0"/>
          <w:numId w:val="19"/>
        </w:numPr>
      </w:pPr>
      <w:r>
        <w:t xml:space="preserve">The DCI contains one TCI state indicator, PUCCH resource indicator and PDCCH-to-HARQ timing indicator. </w:t>
      </w:r>
    </w:p>
    <w:p w14:paraId="38A15015" w14:textId="77777777" w:rsidR="00BC3FED" w:rsidRDefault="00BC3FED" w:rsidP="00BC3FED">
      <w:pPr>
        <w:pStyle w:val="000proposal"/>
      </w:pPr>
      <w:r>
        <w:rPr>
          <w:rFonts w:hint="eastAsia"/>
        </w:rPr>
        <w:t>Proposal</w:t>
      </w:r>
      <w:r>
        <w:t xml:space="preserve"> 7: Support common TCI state for multiple CCs in intra-band CA.</w:t>
      </w:r>
    </w:p>
    <w:p w14:paraId="1F8A0F05" w14:textId="77777777" w:rsidR="00BC3FED" w:rsidRDefault="00BC3FED" w:rsidP="00BC3FED">
      <w:pPr>
        <w:pStyle w:val="000proposal"/>
      </w:pPr>
      <w:r>
        <w:t>Observation 1: RRC reconfiguration introduces large latency in inter-cell mobility.</w:t>
      </w:r>
    </w:p>
    <w:p w14:paraId="0E6F010B" w14:textId="77777777" w:rsidR="00BC3FED" w:rsidRDefault="00BC3FED" w:rsidP="00BC3FED">
      <w:pPr>
        <w:pStyle w:val="000proposal"/>
      </w:pPr>
      <w:r>
        <w:t>Observation 2: Switching to TCI state of target cell also introduces large latency in inter-cell mobility.</w:t>
      </w:r>
    </w:p>
    <w:p w14:paraId="5387CEBF" w14:textId="77777777" w:rsidR="00BC3FED" w:rsidRDefault="00BC3FED" w:rsidP="00BC3FED">
      <w:pPr>
        <w:pStyle w:val="000proposal"/>
      </w:pPr>
      <w:r>
        <w:t>Proposal 8: Study beam measurement/reporting and/or beam indication of SS/PBCH block of target cell for inter-cell mobility.</w:t>
      </w:r>
    </w:p>
    <w:p w14:paraId="1C1367BB" w14:textId="77777777" w:rsidR="00BC3FED" w:rsidRPr="008D3B49" w:rsidRDefault="00BC3FED" w:rsidP="00BC3FED">
      <w:pPr>
        <w:pStyle w:val="00Text"/>
        <w:rPr>
          <w:b/>
          <w:bCs/>
          <w:i/>
          <w:iCs/>
        </w:rPr>
      </w:pPr>
      <w:r w:rsidRPr="008D3B49">
        <w:rPr>
          <w:b/>
          <w:bCs/>
          <w:i/>
          <w:iCs/>
        </w:rPr>
        <w:t xml:space="preserve">Proposal </w:t>
      </w:r>
      <w:r>
        <w:rPr>
          <w:b/>
          <w:bCs/>
          <w:i/>
          <w:iCs/>
        </w:rPr>
        <w:t>9</w:t>
      </w:r>
      <w:r w:rsidRPr="008D3B49">
        <w:rPr>
          <w:b/>
          <w:bCs/>
          <w:i/>
          <w:iCs/>
        </w:rPr>
        <w:t xml:space="preserve">: </w:t>
      </w:r>
      <w:r>
        <w:rPr>
          <w:b/>
          <w:bCs/>
          <w:i/>
          <w:iCs/>
        </w:rPr>
        <w:t>The purpose of UL panel selection of MP-UE shall be saving UE Transmit power</w:t>
      </w:r>
      <w:r w:rsidRPr="008D3B49">
        <w:rPr>
          <w:b/>
          <w:bCs/>
          <w:i/>
          <w:iCs/>
        </w:rPr>
        <w:t>.</w:t>
      </w:r>
    </w:p>
    <w:p w14:paraId="2F7F2B74" w14:textId="77777777" w:rsidR="00BC3FED" w:rsidRDefault="00BC3FED" w:rsidP="00BC3FED">
      <w:pPr>
        <w:pStyle w:val="00Text"/>
      </w:pPr>
      <w:r w:rsidRPr="008D3B49">
        <w:rPr>
          <w:b/>
          <w:bCs/>
          <w:i/>
          <w:iCs/>
        </w:rPr>
        <w:t xml:space="preserve">Proposal </w:t>
      </w:r>
      <w:r>
        <w:rPr>
          <w:b/>
          <w:bCs/>
          <w:i/>
          <w:iCs/>
        </w:rPr>
        <w:t>10</w:t>
      </w:r>
      <w:r w:rsidRPr="008D3B49">
        <w:rPr>
          <w:b/>
          <w:bCs/>
          <w:i/>
          <w:iCs/>
        </w:rPr>
        <w:t xml:space="preserve">: </w:t>
      </w:r>
      <w:r>
        <w:rPr>
          <w:b/>
          <w:bCs/>
          <w:i/>
          <w:iCs/>
        </w:rPr>
        <w:t>Consider panel-specific beam measurement and reporting for MP-UE.</w:t>
      </w:r>
    </w:p>
    <w:p w14:paraId="3CB2D5A9" w14:textId="77777777" w:rsidR="00BC3FED" w:rsidRDefault="00BC3FED" w:rsidP="00BC3FED">
      <w:pPr>
        <w:pStyle w:val="000proposals"/>
      </w:pPr>
      <w:r w:rsidRPr="005A5406">
        <w:t>Proposal</w:t>
      </w:r>
      <w:r>
        <w:t xml:space="preserve"> 11</w:t>
      </w:r>
      <w:r w:rsidRPr="00206B0D">
        <w:t xml:space="preserve">: </w:t>
      </w:r>
      <w:r>
        <w:t>First study the feasibility of per-beam or per-panel human detection and send LS to RAN4 to ask about the feasibility.</w:t>
      </w:r>
    </w:p>
    <w:p w14:paraId="33BB8A0A" w14:textId="77777777" w:rsidR="00BC3FED" w:rsidRPr="00F70BD0" w:rsidRDefault="00BC3FED" w:rsidP="00BC3FED">
      <w:pPr>
        <w:pStyle w:val="000proposal"/>
        <w:rPr>
          <w:lang w:val="en-GB"/>
        </w:rPr>
      </w:pPr>
      <w:r>
        <w:t xml:space="preserve">Observation 3: The actual power back value in MPE issue is variable value, which is determined by the P-MPR and uplink transmission duty. </w:t>
      </w:r>
    </w:p>
    <w:p w14:paraId="3CAB6CB6" w14:textId="77777777" w:rsidR="00BC3FED" w:rsidRDefault="00BC3FED" w:rsidP="00BC3FED">
      <w:pPr>
        <w:pStyle w:val="000proposals"/>
      </w:pPr>
      <w:r w:rsidRPr="005A5406">
        <w:t xml:space="preserve">Proposal </w:t>
      </w:r>
      <w:r>
        <w:t>12</w:t>
      </w:r>
      <w:r w:rsidRPr="00206B0D">
        <w:t>:</w:t>
      </w:r>
      <w:r>
        <w:t xml:space="preserve"> For the MPE issue:</w:t>
      </w:r>
    </w:p>
    <w:p w14:paraId="17765C1C" w14:textId="77777777" w:rsidR="00BC3FED" w:rsidRDefault="00BC3FED" w:rsidP="00BC3FED">
      <w:pPr>
        <w:pStyle w:val="000proposals"/>
        <w:numPr>
          <w:ilvl w:val="0"/>
          <w:numId w:val="22"/>
        </w:numPr>
      </w:pPr>
      <w:r>
        <w:t>There is no need for specification support for MPE event detection</w:t>
      </w:r>
    </w:p>
    <w:p w14:paraId="32B8576B" w14:textId="77777777" w:rsidR="00BC3FED" w:rsidRDefault="00BC3FED" w:rsidP="00BC3FED">
      <w:pPr>
        <w:pStyle w:val="000proposals"/>
        <w:numPr>
          <w:ilvl w:val="0"/>
          <w:numId w:val="22"/>
        </w:numPr>
      </w:pPr>
      <w:r>
        <w:lastRenderedPageBreak/>
        <w:t>Consider the mechanism of P-MPR reporting specified in RAN4 as starting point for further enhancement.</w:t>
      </w:r>
    </w:p>
    <w:p w14:paraId="64FE7504" w14:textId="77777777" w:rsidR="00BC3FED" w:rsidRDefault="00BC3FED" w:rsidP="00BC3FED">
      <w:pPr>
        <w:pStyle w:val="000proposals"/>
        <w:numPr>
          <w:ilvl w:val="0"/>
          <w:numId w:val="22"/>
        </w:numPr>
      </w:pPr>
      <w:r>
        <w:t>There is no need for NW response to the reported MPE event.</w:t>
      </w:r>
    </w:p>
    <w:p w14:paraId="10DC0FCB" w14:textId="77777777" w:rsidR="00BC3FED" w:rsidRDefault="00BC3FED" w:rsidP="00BC3FED"/>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74232998" w:rsidR="00CE01DB" w:rsidRDefault="006F6D28" w:rsidP="00CE01DB">
      <w:pPr>
        <w:pStyle w:val="05reference"/>
        <w:rPr>
          <w:szCs w:val="20"/>
          <w:lang w:val="it-IT"/>
        </w:rPr>
      </w:pPr>
      <w:r>
        <w:rPr>
          <w:szCs w:val="20"/>
          <w:lang w:val="it-IT"/>
        </w:rPr>
        <w:t>Chairman’s Notes RAN1#102-e</w:t>
      </w:r>
    </w:p>
    <w:p w14:paraId="03FFA8FA" w14:textId="04661BCF" w:rsidR="00CE01DB" w:rsidRPr="00CE01DB" w:rsidRDefault="00CE01DB" w:rsidP="00CE01DB">
      <w:pPr>
        <w:pStyle w:val="05reference"/>
        <w:rPr>
          <w:szCs w:val="20"/>
          <w:lang w:val="it-IT"/>
        </w:rPr>
      </w:pPr>
      <w:r>
        <w:rPr>
          <w:szCs w:val="20"/>
          <w:lang w:val="it-IT"/>
        </w:rPr>
        <w:t xml:space="preserve">R1-2008755 </w:t>
      </w:r>
      <w:r w:rsidRPr="00CE01DB">
        <w:rPr>
          <w:szCs w:val="20"/>
          <w:lang w:val="it-IT"/>
        </w:rPr>
        <w:t>Analysis of Control Signaling for multi-beam operation</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D3DB6" w14:textId="77777777" w:rsidR="00DB7A6C" w:rsidRDefault="00DB7A6C">
      <w:r>
        <w:separator/>
      </w:r>
    </w:p>
  </w:endnote>
  <w:endnote w:type="continuationSeparator" w:id="0">
    <w:p w14:paraId="21086845" w14:textId="77777777" w:rsidR="00DB7A6C" w:rsidRDefault="00DB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CC372" w14:textId="77777777" w:rsidR="00DB7A6C" w:rsidRDefault="00DB7A6C">
      <w:r>
        <w:separator/>
      </w:r>
    </w:p>
  </w:footnote>
  <w:footnote w:type="continuationSeparator" w:id="0">
    <w:p w14:paraId="4FE44359" w14:textId="77777777" w:rsidR="00DB7A6C" w:rsidRDefault="00DB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6484"/>
    <w:multiLevelType w:val="hybridMultilevel"/>
    <w:tmpl w:val="BB4A8E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903D7B"/>
    <w:multiLevelType w:val="hybridMultilevel"/>
    <w:tmpl w:val="B6BA82B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C50F6"/>
    <w:multiLevelType w:val="hybridMultilevel"/>
    <w:tmpl w:val="6784B0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221B9"/>
    <w:multiLevelType w:val="hybridMultilevel"/>
    <w:tmpl w:val="E0E43FE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D473AF6"/>
    <w:multiLevelType w:val="hybridMultilevel"/>
    <w:tmpl w:val="43F47C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87981"/>
    <w:multiLevelType w:val="hybridMultilevel"/>
    <w:tmpl w:val="F0601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807532"/>
    <w:multiLevelType w:val="hybridMultilevel"/>
    <w:tmpl w:val="1FDCB0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4A7D4A"/>
    <w:multiLevelType w:val="hybridMultilevel"/>
    <w:tmpl w:val="B22CD42A"/>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524572BC"/>
    <w:multiLevelType w:val="hybridMultilevel"/>
    <w:tmpl w:val="D3528D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C6D78"/>
    <w:multiLevelType w:val="hybridMultilevel"/>
    <w:tmpl w:val="D2E416C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0348E"/>
    <w:multiLevelType w:val="hybridMultilevel"/>
    <w:tmpl w:val="EB6651C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E79E6"/>
    <w:multiLevelType w:val="hybridMultilevel"/>
    <w:tmpl w:val="B47C65B0"/>
    <w:lvl w:ilvl="0" w:tplc="4E768008">
      <w:start w:val="1"/>
      <w:numFmt w:val="bullet"/>
      <w:lvlText w:val="-"/>
      <w:lvlJc w:val="left"/>
      <w:pPr>
        <w:ind w:left="767" w:hanging="360"/>
      </w:pPr>
      <w:rPr>
        <w:rFonts w:ascii="Arial" w:eastAsia="Times New Roman"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6899768A"/>
    <w:multiLevelType w:val="hybridMultilevel"/>
    <w:tmpl w:val="96A0EBE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E25311"/>
    <w:multiLevelType w:val="hybridMultilevel"/>
    <w:tmpl w:val="E9725FD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75E054DA"/>
    <w:multiLevelType w:val="hybridMultilevel"/>
    <w:tmpl w:val="F36AD33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F2054A1"/>
    <w:multiLevelType w:val="hybridMultilevel"/>
    <w:tmpl w:val="DD7681B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4"/>
  </w:num>
  <w:num w:numId="4">
    <w:abstractNumId w:val="9"/>
  </w:num>
  <w:num w:numId="5">
    <w:abstractNumId w:val="10"/>
  </w:num>
  <w:num w:numId="6">
    <w:abstractNumId w:val="18"/>
  </w:num>
  <w:num w:numId="7">
    <w:abstractNumId w:val="12"/>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7"/>
  </w:num>
  <w:num w:numId="10">
    <w:abstractNumId w:val="5"/>
  </w:num>
  <w:num w:numId="11">
    <w:abstractNumId w:val="17"/>
  </w:num>
  <w:num w:numId="12">
    <w:abstractNumId w:val="21"/>
  </w:num>
  <w:num w:numId="13">
    <w:abstractNumId w:val="2"/>
  </w:num>
  <w:num w:numId="14">
    <w:abstractNumId w:val="15"/>
  </w:num>
  <w:num w:numId="15">
    <w:abstractNumId w:val="19"/>
  </w:num>
  <w:num w:numId="16">
    <w:abstractNumId w:val="8"/>
  </w:num>
  <w:num w:numId="17">
    <w:abstractNumId w:val="1"/>
  </w:num>
  <w:num w:numId="18">
    <w:abstractNumId w:val="13"/>
  </w:num>
  <w:num w:numId="19">
    <w:abstractNumId w:val="11"/>
  </w:num>
  <w:num w:numId="20">
    <w:abstractNumId w:val="0"/>
  </w:num>
  <w:num w:numId="21">
    <w:abstractNumId w:val="6"/>
  </w:num>
  <w:num w:numId="22">
    <w:abstractNumId w:val="16"/>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14144"/>
    <w:rsid w:val="000146F7"/>
    <w:rsid w:val="00031B46"/>
    <w:rsid w:val="00036C04"/>
    <w:rsid w:val="00044738"/>
    <w:rsid w:val="00052A3E"/>
    <w:rsid w:val="00055DAC"/>
    <w:rsid w:val="00072170"/>
    <w:rsid w:val="0007593E"/>
    <w:rsid w:val="00075E10"/>
    <w:rsid w:val="00085AAA"/>
    <w:rsid w:val="000939D7"/>
    <w:rsid w:val="000958D5"/>
    <w:rsid w:val="000A4372"/>
    <w:rsid w:val="000B5E34"/>
    <w:rsid w:val="000C1ECC"/>
    <w:rsid w:val="000D5CFD"/>
    <w:rsid w:val="000D66CD"/>
    <w:rsid w:val="000D6C00"/>
    <w:rsid w:val="000E608E"/>
    <w:rsid w:val="000E6672"/>
    <w:rsid w:val="000F4980"/>
    <w:rsid w:val="000F4BE3"/>
    <w:rsid w:val="000F5BBA"/>
    <w:rsid w:val="000F6109"/>
    <w:rsid w:val="000F7011"/>
    <w:rsid w:val="000F7493"/>
    <w:rsid w:val="0011387A"/>
    <w:rsid w:val="00115C6C"/>
    <w:rsid w:val="001243EA"/>
    <w:rsid w:val="00136B37"/>
    <w:rsid w:val="00140F62"/>
    <w:rsid w:val="001422E9"/>
    <w:rsid w:val="00145778"/>
    <w:rsid w:val="00146785"/>
    <w:rsid w:val="0015020D"/>
    <w:rsid w:val="00153FD2"/>
    <w:rsid w:val="00155D90"/>
    <w:rsid w:val="00162411"/>
    <w:rsid w:val="00171FCE"/>
    <w:rsid w:val="00174EF0"/>
    <w:rsid w:val="0017679D"/>
    <w:rsid w:val="001821C0"/>
    <w:rsid w:val="00187000"/>
    <w:rsid w:val="00193464"/>
    <w:rsid w:val="00194DDE"/>
    <w:rsid w:val="00197FFE"/>
    <w:rsid w:val="001B07EA"/>
    <w:rsid w:val="001B0B07"/>
    <w:rsid w:val="001C4F3E"/>
    <w:rsid w:val="001C5B0A"/>
    <w:rsid w:val="001D229C"/>
    <w:rsid w:val="001E34E2"/>
    <w:rsid w:val="001E59C5"/>
    <w:rsid w:val="001E70FE"/>
    <w:rsid w:val="001F3DF9"/>
    <w:rsid w:val="001F4B67"/>
    <w:rsid w:val="002021F5"/>
    <w:rsid w:val="0020488B"/>
    <w:rsid w:val="00216CDC"/>
    <w:rsid w:val="00217532"/>
    <w:rsid w:val="00224ADF"/>
    <w:rsid w:val="002328B0"/>
    <w:rsid w:val="00235B6C"/>
    <w:rsid w:val="00253D4B"/>
    <w:rsid w:val="00256423"/>
    <w:rsid w:val="00264572"/>
    <w:rsid w:val="0027047C"/>
    <w:rsid w:val="00271EBE"/>
    <w:rsid w:val="00274CE7"/>
    <w:rsid w:val="00276093"/>
    <w:rsid w:val="002825A9"/>
    <w:rsid w:val="00282C00"/>
    <w:rsid w:val="002854A6"/>
    <w:rsid w:val="002877FA"/>
    <w:rsid w:val="00294100"/>
    <w:rsid w:val="002A6566"/>
    <w:rsid w:val="002C4DCC"/>
    <w:rsid w:val="002D2AC8"/>
    <w:rsid w:val="002E0083"/>
    <w:rsid w:val="002E0E2D"/>
    <w:rsid w:val="002E1185"/>
    <w:rsid w:val="002F5E03"/>
    <w:rsid w:val="003070DC"/>
    <w:rsid w:val="00312C9F"/>
    <w:rsid w:val="003218CE"/>
    <w:rsid w:val="00327ABE"/>
    <w:rsid w:val="00336739"/>
    <w:rsid w:val="003370C7"/>
    <w:rsid w:val="003417EF"/>
    <w:rsid w:val="00344E0F"/>
    <w:rsid w:val="00345366"/>
    <w:rsid w:val="003560C0"/>
    <w:rsid w:val="003606FD"/>
    <w:rsid w:val="00362B55"/>
    <w:rsid w:val="003676B8"/>
    <w:rsid w:val="0037083B"/>
    <w:rsid w:val="003845A5"/>
    <w:rsid w:val="00395AFD"/>
    <w:rsid w:val="003A33FE"/>
    <w:rsid w:val="003A60CA"/>
    <w:rsid w:val="003B1605"/>
    <w:rsid w:val="003C22BE"/>
    <w:rsid w:val="003C2E5C"/>
    <w:rsid w:val="003C5D56"/>
    <w:rsid w:val="003C6F44"/>
    <w:rsid w:val="003D78A0"/>
    <w:rsid w:val="003E11C2"/>
    <w:rsid w:val="003E7CC5"/>
    <w:rsid w:val="003F36B1"/>
    <w:rsid w:val="004167B4"/>
    <w:rsid w:val="00416940"/>
    <w:rsid w:val="004359AF"/>
    <w:rsid w:val="004359DE"/>
    <w:rsid w:val="004373B1"/>
    <w:rsid w:val="0044067E"/>
    <w:rsid w:val="0044100E"/>
    <w:rsid w:val="00441EC1"/>
    <w:rsid w:val="00441EF9"/>
    <w:rsid w:val="00445B84"/>
    <w:rsid w:val="00447EA4"/>
    <w:rsid w:val="00450BBD"/>
    <w:rsid w:val="00450CEA"/>
    <w:rsid w:val="00452E65"/>
    <w:rsid w:val="004613B9"/>
    <w:rsid w:val="00461818"/>
    <w:rsid w:val="00482190"/>
    <w:rsid w:val="0049601E"/>
    <w:rsid w:val="00497AFF"/>
    <w:rsid w:val="004A71E8"/>
    <w:rsid w:val="004B78F8"/>
    <w:rsid w:val="004C02D2"/>
    <w:rsid w:val="004C5A8F"/>
    <w:rsid w:val="004D0D0E"/>
    <w:rsid w:val="004E5035"/>
    <w:rsid w:val="004F7DA9"/>
    <w:rsid w:val="005105AE"/>
    <w:rsid w:val="00527D26"/>
    <w:rsid w:val="005350B8"/>
    <w:rsid w:val="005372EB"/>
    <w:rsid w:val="0054041F"/>
    <w:rsid w:val="00540D9B"/>
    <w:rsid w:val="005429A1"/>
    <w:rsid w:val="0054622D"/>
    <w:rsid w:val="00547137"/>
    <w:rsid w:val="00547A6B"/>
    <w:rsid w:val="00556079"/>
    <w:rsid w:val="00556940"/>
    <w:rsid w:val="00557AAC"/>
    <w:rsid w:val="00576532"/>
    <w:rsid w:val="0059274C"/>
    <w:rsid w:val="005A09CE"/>
    <w:rsid w:val="005A2A02"/>
    <w:rsid w:val="005A2B2B"/>
    <w:rsid w:val="005B6F08"/>
    <w:rsid w:val="005C3C00"/>
    <w:rsid w:val="005C4934"/>
    <w:rsid w:val="005D2437"/>
    <w:rsid w:val="005D3B1F"/>
    <w:rsid w:val="005D5DDE"/>
    <w:rsid w:val="005F3783"/>
    <w:rsid w:val="005F4A5A"/>
    <w:rsid w:val="005F649D"/>
    <w:rsid w:val="00612DF0"/>
    <w:rsid w:val="0061366B"/>
    <w:rsid w:val="006139B3"/>
    <w:rsid w:val="006157FC"/>
    <w:rsid w:val="00630FE7"/>
    <w:rsid w:val="00635687"/>
    <w:rsid w:val="00635805"/>
    <w:rsid w:val="00640DF0"/>
    <w:rsid w:val="00646B40"/>
    <w:rsid w:val="00654F2B"/>
    <w:rsid w:val="006614CF"/>
    <w:rsid w:val="00662B6F"/>
    <w:rsid w:val="00663F2F"/>
    <w:rsid w:val="00674191"/>
    <w:rsid w:val="0067427A"/>
    <w:rsid w:val="0069644B"/>
    <w:rsid w:val="006A5C1B"/>
    <w:rsid w:val="006B0921"/>
    <w:rsid w:val="006B0E04"/>
    <w:rsid w:val="006B55C7"/>
    <w:rsid w:val="006B6981"/>
    <w:rsid w:val="006C15F8"/>
    <w:rsid w:val="006D5AEF"/>
    <w:rsid w:val="006F05A0"/>
    <w:rsid w:val="006F2513"/>
    <w:rsid w:val="006F28B6"/>
    <w:rsid w:val="006F6D28"/>
    <w:rsid w:val="007102CF"/>
    <w:rsid w:val="00712835"/>
    <w:rsid w:val="00716AC8"/>
    <w:rsid w:val="007265DC"/>
    <w:rsid w:val="00747D5C"/>
    <w:rsid w:val="00752231"/>
    <w:rsid w:val="00754921"/>
    <w:rsid w:val="007704E0"/>
    <w:rsid w:val="00774356"/>
    <w:rsid w:val="0078463D"/>
    <w:rsid w:val="007A2AD5"/>
    <w:rsid w:val="007A4CB7"/>
    <w:rsid w:val="007B70A7"/>
    <w:rsid w:val="007C1686"/>
    <w:rsid w:val="007C7102"/>
    <w:rsid w:val="007D52C2"/>
    <w:rsid w:val="007D7CF3"/>
    <w:rsid w:val="007E0349"/>
    <w:rsid w:val="007E47EE"/>
    <w:rsid w:val="007E5D1D"/>
    <w:rsid w:val="007E7A18"/>
    <w:rsid w:val="007F024B"/>
    <w:rsid w:val="007F3AD5"/>
    <w:rsid w:val="00801370"/>
    <w:rsid w:val="00812585"/>
    <w:rsid w:val="00820AEF"/>
    <w:rsid w:val="008220EC"/>
    <w:rsid w:val="00824D23"/>
    <w:rsid w:val="00833D9E"/>
    <w:rsid w:val="008346A6"/>
    <w:rsid w:val="00843CF2"/>
    <w:rsid w:val="00861600"/>
    <w:rsid w:val="0087797C"/>
    <w:rsid w:val="00882742"/>
    <w:rsid w:val="008831B4"/>
    <w:rsid w:val="00894320"/>
    <w:rsid w:val="008A2EB2"/>
    <w:rsid w:val="008B661C"/>
    <w:rsid w:val="008D5B9C"/>
    <w:rsid w:val="008E1419"/>
    <w:rsid w:val="008E5BE8"/>
    <w:rsid w:val="008F13D3"/>
    <w:rsid w:val="008F2C86"/>
    <w:rsid w:val="00900C94"/>
    <w:rsid w:val="0090122F"/>
    <w:rsid w:val="00901622"/>
    <w:rsid w:val="00904C54"/>
    <w:rsid w:val="00913B68"/>
    <w:rsid w:val="0092127B"/>
    <w:rsid w:val="00925672"/>
    <w:rsid w:val="009355ED"/>
    <w:rsid w:val="0094294A"/>
    <w:rsid w:val="00953386"/>
    <w:rsid w:val="00960EF3"/>
    <w:rsid w:val="00961F39"/>
    <w:rsid w:val="00962DD7"/>
    <w:rsid w:val="009678A0"/>
    <w:rsid w:val="009719B6"/>
    <w:rsid w:val="00973293"/>
    <w:rsid w:val="009861B8"/>
    <w:rsid w:val="009940A0"/>
    <w:rsid w:val="00994211"/>
    <w:rsid w:val="009A5B4B"/>
    <w:rsid w:val="009B2043"/>
    <w:rsid w:val="009B3C49"/>
    <w:rsid w:val="009C0237"/>
    <w:rsid w:val="009E240D"/>
    <w:rsid w:val="009E5BDD"/>
    <w:rsid w:val="009E7068"/>
    <w:rsid w:val="009F3E9B"/>
    <w:rsid w:val="00A11E17"/>
    <w:rsid w:val="00A11FC0"/>
    <w:rsid w:val="00A16EB4"/>
    <w:rsid w:val="00A249BF"/>
    <w:rsid w:val="00A401F0"/>
    <w:rsid w:val="00A47341"/>
    <w:rsid w:val="00A50090"/>
    <w:rsid w:val="00A55BFD"/>
    <w:rsid w:val="00A56481"/>
    <w:rsid w:val="00A64700"/>
    <w:rsid w:val="00A72987"/>
    <w:rsid w:val="00A72B75"/>
    <w:rsid w:val="00A77025"/>
    <w:rsid w:val="00A81411"/>
    <w:rsid w:val="00A82349"/>
    <w:rsid w:val="00A92E59"/>
    <w:rsid w:val="00A955B0"/>
    <w:rsid w:val="00A96017"/>
    <w:rsid w:val="00A979F1"/>
    <w:rsid w:val="00AA53EF"/>
    <w:rsid w:val="00AA6CB5"/>
    <w:rsid w:val="00AB13FB"/>
    <w:rsid w:val="00AB6FDF"/>
    <w:rsid w:val="00AC6794"/>
    <w:rsid w:val="00AD516E"/>
    <w:rsid w:val="00AD7A83"/>
    <w:rsid w:val="00AE2DA0"/>
    <w:rsid w:val="00AE300B"/>
    <w:rsid w:val="00AF545D"/>
    <w:rsid w:val="00AF61BE"/>
    <w:rsid w:val="00B00B5B"/>
    <w:rsid w:val="00B02981"/>
    <w:rsid w:val="00B1003A"/>
    <w:rsid w:val="00B1447C"/>
    <w:rsid w:val="00B2685F"/>
    <w:rsid w:val="00B33BF4"/>
    <w:rsid w:val="00B3617B"/>
    <w:rsid w:val="00B369F1"/>
    <w:rsid w:val="00B50BD8"/>
    <w:rsid w:val="00B52602"/>
    <w:rsid w:val="00B60F85"/>
    <w:rsid w:val="00B645FD"/>
    <w:rsid w:val="00B71542"/>
    <w:rsid w:val="00B774DC"/>
    <w:rsid w:val="00B77761"/>
    <w:rsid w:val="00B820EF"/>
    <w:rsid w:val="00B8297C"/>
    <w:rsid w:val="00B84A75"/>
    <w:rsid w:val="00B9067F"/>
    <w:rsid w:val="00B9181D"/>
    <w:rsid w:val="00BB376B"/>
    <w:rsid w:val="00BC3FED"/>
    <w:rsid w:val="00BF3168"/>
    <w:rsid w:val="00C02C30"/>
    <w:rsid w:val="00C02E04"/>
    <w:rsid w:val="00C20FCE"/>
    <w:rsid w:val="00C214DE"/>
    <w:rsid w:val="00C40635"/>
    <w:rsid w:val="00C47E0E"/>
    <w:rsid w:val="00C5235A"/>
    <w:rsid w:val="00C55B7E"/>
    <w:rsid w:val="00C5701A"/>
    <w:rsid w:val="00C73573"/>
    <w:rsid w:val="00C77B31"/>
    <w:rsid w:val="00C82759"/>
    <w:rsid w:val="00C8505E"/>
    <w:rsid w:val="00C858B7"/>
    <w:rsid w:val="00C878A6"/>
    <w:rsid w:val="00C90CBF"/>
    <w:rsid w:val="00C9409C"/>
    <w:rsid w:val="00C97A8E"/>
    <w:rsid w:val="00CA4000"/>
    <w:rsid w:val="00CA56FB"/>
    <w:rsid w:val="00CA5A43"/>
    <w:rsid w:val="00CB7679"/>
    <w:rsid w:val="00CC6044"/>
    <w:rsid w:val="00CD3381"/>
    <w:rsid w:val="00CE01DB"/>
    <w:rsid w:val="00CE12AB"/>
    <w:rsid w:val="00CE1CBA"/>
    <w:rsid w:val="00CF0607"/>
    <w:rsid w:val="00CF1473"/>
    <w:rsid w:val="00CF3C99"/>
    <w:rsid w:val="00D02709"/>
    <w:rsid w:val="00D1006B"/>
    <w:rsid w:val="00D336A3"/>
    <w:rsid w:val="00D42AEA"/>
    <w:rsid w:val="00D43A1F"/>
    <w:rsid w:val="00D501F0"/>
    <w:rsid w:val="00D519A8"/>
    <w:rsid w:val="00D547FB"/>
    <w:rsid w:val="00D603BE"/>
    <w:rsid w:val="00D61B20"/>
    <w:rsid w:val="00D61D3A"/>
    <w:rsid w:val="00D6518E"/>
    <w:rsid w:val="00D676A2"/>
    <w:rsid w:val="00D72C80"/>
    <w:rsid w:val="00D758FB"/>
    <w:rsid w:val="00D821CF"/>
    <w:rsid w:val="00D85D12"/>
    <w:rsid w:val="00D8674A"/>
    <w:rsid w:val="00D9632B"/>
    <w:rsid w:val="00DB3826"/>
    <w:rsid w:val="00DB7A6C"/>
    <w:rsid w:val="00DC5485"/>
    <w:rsid w:val="00DD3E2E"/>
    <w:rsid w:val="00DD5F89"/>
    <w:rsid w:val="00DE09A4"/>
    <w:rsid w:val="00DF1CCA"/>
    <w:rsid w:val="00DF4DA3"/>
    <w:rsid w:val="00DF4F8F"/>
    <w:rsid w:val="00E01A4F"/>
    <w:rsid w:val="00E02BFE"/>
    <w:rsid w:val="00E17EB8"/>
    <w:rsid w:val="00E200FA"/>
    <w:rsid w:val="00E237B2"/>
    <w:rsid w:val="00E26758"/>
    <w:rsid w:val="00E42FE8"/>
    <w:rsid w:val="00E61BDD"/>
    <w:rsid w:val="00E66BC4"/>
    <w:rsid w:val="00E81D14"/>
    <w:rsid w:val="00E828DE"/>
    <w:rsid w:val="00E9008E"/>
    <w:rsid w:val="00E92A0D"/>
    <w:rsid w:val="00E94059"/>
    <w:rsid w:val="00E952D2"/>
    <w:rsid w:val="00EA50D3"/>
    <w:rsid w:val="00EB378D"/>
    <w:rsid w:val="00EB3FD4"/>
    <w:rsid w:val="00EB5DD1"/>
    <w:rsid w:val="00EB7EAB"/>
    <w:rsid w:val="00EC3EA4"/>
    <w:rsid w:val="00ED2D09"/>
    <w:rsid w:val="00ED542F"/>
    <w:rsid w:val="00ED553D"/>
    <w:rsid w:val="00EE55B6"/>
    <w:rsid w:val="00EE6A34"/>
    <w:rsid w:val="00EF3BEF"/>
    <w:rsid w:val="00F00586"/>
    <w:rsid w:val="00F01C02"/>
    <w:rsid w:val="00F107E2"/>
    <w:rsid w:val="00F10E43"/>
    <w:rsid w:val="00F12921"/>
    <w:rsid w:val="00F12AA3"/>
    <w:rsid w:val="00F172D7"/>
    <w:rsid w:val="00F21B33"/>
    <w:rsid w:val="00F25A73"/>
    <w:rsid w:val="00F316D9"/>
    <w:rsid w:val="00F31B7A"/>
    <w:rsid w:val="00F42E04"/>
    <w:rsid w:val="00F63E54"/>
    <w:rsid w:val="00F65FEA"/>
    <w:rsid w:val="00F70BD0"/>
    <w:rsid w:val="00F75389"/>
    <w:rsid w:val="00F755A4"/>
    <w:rsid w:val="00F818B3"/>
    <w:rsid w:val="00FA3B9B"/>
    <w:rsid w:val="00FA7F1C"/>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646B40"/>
    <w:pPr>
      <w:spacing w:before="120" w:after="120" w:line="264" w:lineRule="auto"/>
      <w:jc w:val="both"/>
    </w:pPr>
    <w:rPr>
      <w:rFonts w:eastAsia="SimSun"/>
      <w:lang w:eastAsia="zh-CN"/>
    </w:rPr>
  </w:style>
  <w:style w:type="character" w:customStyle="1" w:styleId="00TextChar">
    <w:name w:val="00_Text Char"/>
    <w:basedOn w:val="DefaultParagraphFont"/>
    <w:link w:val="00Text"/>
    <w:rsid w:val="00646B40"/>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3A33FE"/>
    <w:pPr>
      <w:spacing w:before="0" w:line="240" w:lineRule="auto"/>
    </w:pPr>
    <w:rPr>
      <w:b/>
      <w:bCs/>
      <w:i/>
      <w:iCs/>
      <w:lang w:eastAsia="en-US"/>
    </w:rPr>
  </w:style>
  <w:style w:type="character" w:customStyle="1" w:styleId="000proposalsChar">
    <w:name w:val="000_proposals Char"/>
    <w:basedOn w:val="00TextChar"/>
    <w:link w:val="000proposals"/>
    <w:rsid w:val="003A33FE"/>
    <w:rPr>
      <w:rFonts w:ascii="Times New Roman" w:eastAsia="SimSun" w:hAnsi="Times New Roman" w:cs="Times New Roman"/>
      <w:b/>
      <w:bCs/>
      <w:i/>
      <w:iCs/>
      <w:sz w:val="20"/>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5307</Words>
  <Characters>30253</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2020-10-21T03:38:00Z</dcterms:modified>
</cp:coreProperties>
</file>