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4E5D6AF2"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7C26E3">
        <w:rPr>
          <w:rFonts w:ascii="Arial" w:hAnsi="Arial" w:cs="Arial"/>
          <w:b/>
          <w:bCs/>
          <w:sz w:val="24"/>
        </w:rPr>
        <w:t>3</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R1-20</w:t>
      </w:r>
      <w:r w:rsidR="000C13EF">
        <w:rPr>
          <w:rFonts w:ascii="Arial" w:hAnsi="Arial" w:cs="Arial"/>
          <w:b/>
          <w:bCs/>
          <w:sz w:val="24"/>
        </w:rPr>
        <w:t>08150</w:t>
      </w:r>
    </w:p>
    <w:p w14:paraId="0A1AA35D" w14:textId="6E505AD8"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7C26E3">
        <w:rPr>
          <w:rFonts w:ascii="Arial" w:eastAsia="MS Mincho" w:hAnsi="Arial" w:cs="Arial"/>
          <w:b/>
          <w:bCs/>
          <w:sz w:val="24"/>
          <w:lang w:eastAsia="ja-JP"/>
        </w:rPr>
        <w:t>October</w:t>
      </w:r>
      <w:r w:rsidRPr="008D31A3">
        <w:rPr>
          <w:rFonts w:ascii="Arial" w:eastAsia="MS Mincho" w:hAnsi="Arial" w:cs="Arial"/>
          <w:b/>
          <w:bCs/>
          <w:sz w:val="24"/>
          <w:lang w:eastAsia="ja-JP"/>
        </w:rPr>
        <w:t xml:space="preserve"> </w:t>
      </w:r>
      <w:r w:rsidR="007C26E3">
        <w:rPr>
          <w:rFonts w:ascii="Arial" w:eastAsia="MS Mincho" w:hAnsi="Arial" w:cs="Arial"/>
          <w:b/>
          <w:bCs/>
          <w:sz w:val="24"/>
          <w:lang w:eastAsia="ja-JP"/>
        </w:rPr>
        <w:t>26</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sidR="007C26E3">
        <w:rPr>
          <w:rFonts w:ascii="Arial" w:eastAsia="MS Mincho" w:hAnsi="Arial" w:cs="Arial"/>
          <w:b/>
          <w:bCs/>
          <w:sz w:val="24"/>
          <w:lang w:eastAsia="ja-JP"/>
        </w:rPr>
        <w:t>November 1</w:t>
      </w:r>
      <w:r w:rsidR="000C13EF">
        <w:rPr>
          <w:rFonts w:ascii="Arial" w:eastAsia="MS Mincho" w:hAnsi="Arial" w:cs="Arial"/>
          <w:b/>
          <w:bCs/>
          <w:sz w:val="24"/>
          <w:lang w:eastAsia="ja-JP"/>
        </w:rPr>
        <w:t>3</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2020</w:t>
      </w:r>
    </w:p>
    <w:p w14:paraId="1F1E32DE" w14:textId="77777777" w:rsidR="00671FB5" w:rsidRPr="00BF5EF5" w:rsidRDefault="00671FB5" w:rsidP="00671FB5">
      <w:pPr>
        <w:tabs>
          <w:tab w:val="center" w:pos="4536"/>
          <w:tab w:val="right" w:pos="9072"/>
        </w:tabs>
        <w:spacing w:after="0" w:line="276" w:lineRule="auto"/>
        <w:rPr>
          <w:rFonts w:ascii="Arial" w:hAnsi="Arial" w:cs="Arial"/>
          <w:b/>
          <w:bCs/>
          <w:sz w:val="24"/>
          <w:szCs w:val="24"/>
        </w:rPr>
      </w:pPr>
    </w:p>
    <w:p w14:paraId="3AF9CE59" w14:textId="232AE4A4"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C77C50">
        <w:rPr>
          <w:rFonts w:ascii="Arial" w:hAnsi="Arial"/>
          <w:sz w:val="24"/>
          <w:lang w:val="en-US" w:eastAsia="ko-KR"/>
        </w:rPr>
        <w:t>2.2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4F2AA6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9C08F6">
        <w:rPr>
          <w:rFonts w:ascii="Arial" w:hAnsi="Arial"/>
          <w:sz w:val="24"/>
          <w:lang w:val="en-US"/>
        </w:rPr>
        <w:t>Enhancements on multi-TRP inter-cell operation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Heading1"/>
        <w:spacing w:before="0" w:after="60"/>
        <w:jc w:val="both"/>
        <w:rPr>
          <w:sz w:val="28"/>
          <w:szCs w:val="28"/>
          <w:lang w:val="en-US"/>
        </w:rPr>
      </w:pPr>
      <w:r>
        <w:rPr>
          <w:sz w:val="28"/>
          <w:szCs w:val="28"/>
          <w:lang w:val="en-US"/>
        </w:rPr>
        <w:t>Introduction</w:t>
      </w:r>
    </w:p>
    <w:tbl>
      <w:tblPr>
        <w:tblStyle w:val="TableGrid"/>
        <w:tblW w:w="9810" w:type="dxa"/>
        <w:tblInd w:w="-185" w:type="dxa"/>
        <w:tblLook w:val="04A0" w:firstRow="1" w:lastRow="0" w:firstColumn="1" w:lastColumn="0" w:noHBand="0" w:noVBand="1"/>
      </w:tblPr>
      <w:tblGrid>
        <w:gridCol w:w="9810"/>
      </w:tblGrid>
      <w:tr w:rsidR="004D0FE7" w:rsidRPr="001026E8" w14:paraId="018580EE" w14:textId="77777777" w:rsidTr="00F74B9D">
        <w:tc>
          <w:tcPr>
            <w:tcW w:w="9810" w:type="dxa"/>
          </w:tcPr>
          <w:p w14:paraId="44A18CC6" w14:textId="77777777" w:rsidR="000C13EF" w:rsidRDefault="000C13EF" w:rsidP="000C13EF">
            <w:pPr>
              <w:pStyle w:val="ListParagraph"/>
              <w:spacing w:after="0"/>
              <w:ind w:leftChars="0" w:left="0"/>
              <w:jc w:val="both"/>
              <w:rPr>
                <w:b/>
                <w:sz w:val="18"/>
                <w:szCs w:val="18"/>
              </w:rPr>
            </w:pPr>
            <w:r w:rsidRPr="008D3ABD">
              <w:rPr>
                <w:b/>
                <w:sz w:val="18"/>
                <w:szCs w:val="18"/>
              </w:rPr>
              <w:t>From WID RP-193133</w:t>
            </w:r>
            <w:r>
              <w:rPr>
                <w:b/>
                <w:sz w:val="18"/>
                <w:szCs w:val="18"/>
              </w:rPr>
              <w:t xml:space="preserve"> [1]</w:t>
            </w:r>
          </w:p>
          <w:p w14:paraId="4A4B44F7" w14:textId="77777777" w:rsidR="000C13EF" w:rsidRDefault="000C13EF" w:rsidP="00F74B9D">
            <w:pPr>
              <w:pStyle w:val="ListParagraph"/>
              <w:spacing w:after="0"/>
              <w:ind w:leftChars="0" w:left="720"/>
              <w:jc w:val="both"/>
              <w:rPr>
                <w:sz w:val="18"/>
                <w:szCs w:val="18"/>
              </w:rPr>
            </w:pPr>
          </w:p>
          <w:p w14:paraId="6E0A8169" w14:textId="4EB67FA2" w:rsidR="004D0FE7" w:rsidRPr="001026E8" w:rsidRDefault="004D0FE7" w:rsidP="00F74B9D">
            <w:pPr>
              <w:pStyle w:val="ListParagraph"/>
              <w:spacing w:after="0"/>
              <w:ind w:leftChars="0" w:left="720"/>
              <w:jc w:val="both"/>
              <w:rPr>
                <w:sz w:val="18"/>
                <w:szCs w:val="18"/>
              </w:rPr>
            </w:pPr>
            <w:r w:rsidRPr="001026E8">
              <w:rPr>
                <w:sz w:val="18"/>
                <w:szCs w:val="18"/>
              </w:rPr>
              <w:t xml:space="preserve">Enhancement on the support for multi-TRP deployment, </w:t>
            </w:r>
            <w:r w:rsidRPr="004D0FE7">
              <w:rPr>
                <w:sz w:val="18"/>
                <w:szCs w:val="18"/>
              </w:rPr>
              <w:t>targeting both FR1 and FR2:</w:t>
            </w:r>
          </w:p>
          <w:p w14:paraId="24139BD2" w14:textId="77777777" w:rsidR="004D0FE7" w:rsidRPr="001026E8" w:rsidRDefault="004D0FE7" w:rsidP="004D0FE7">
            <w:pPr>
              <w:pStyle w:val="ListParagraph"/>
              <w:numPr>
                <w:ilvl w:val="1"/>
                <w:numId w:val="10"/>
              </w:numPr>
              <w:spacing w:after="0"/>
              <w:ind w:leftChars="0" w:left="1440"/>
              <w:jc w:val="both"/>
              <w:rPr>
                <w:sz w:val="18"/>
                <w:szCs w:val="18"/>
              </w:rPr>
            </w:pPr>
            <w:r w:rsidRPr="001026E8">
              <w:rPr>
                <w:sz w:val="18"/>
                <w:szCs w:val="18"/>
              </w:rPr>
              <w:t xml:space="preserve">Identify and specify features to improve reliability and robustness for channels other than PDSCH (that is, PDCCH, PUSCH, and PUCCH) using multi-TRP and/or multi-panel, with Rel.16 reliability features as the baseline </w:t>
            </w:r>
          </w:p>
          <w:p w14:paraId="1F4D98BD" w14:textId="77777777" w:rsidR="004D0FE7" w:rsidRPr="004D0FE7" w:rsidRDefault="004D0FE7" w:rsidP="004D0FE7">
            <w:pPr>
              <w:pStyle w:val="ListParagraph"/>
              <w:numPr>
                <w:ilvl w:val="1"/>
                <w:numId w:val="10"/>
              </w:numPr>
              <w:spacing w:after="0"/>
              <w:ind w:leftChars="0" w:left="1440"/>
              <w:jc w:val="both"/>
              <w:rPr>
                <w:sz w:val="18"/>
                <w:szCs w:val="18"/>
                <w:highlight w:val="yellow"/>
              </w:rPr>
            </w:pPr>
            <w:r w:rsidRPr="004D0FE7">
              <w:rPr>
                <w:sz w:val="18"/>
                <w:szCs w:val="18"/>
                <w:highlight w:val="yellow"/>
              </w:rPr>
              <w:t>Identify and specify QCL/TCI-related enhancements to enable inter-cell multi-TRP operations, assuming multi-DCI based multi-PDSCH reception</w:t>
            </w:r>
          </w:p>
          <w:p w14:paraId="7EE94F24" w14:textId="77777777" w:rsidR="004D0FE7" w:rsidRPr="001026E8" w:rsidRDefault="004D0FE7" w:rsidP="004D0FE7">
            <w:pPr>
              <w:pStyle w:val="ListParagraph"/>
              <w:numPr>
                <w:ilvl w:val="1"/>
                <w:numId w:val="10"/>
              </w:numPr>
              <w:spacing w:after="0"/>
              <w:ind w:leftChars="0" w:left="1440"/>
              <w:jc w:val="both"/>
              <w:rPr>
                <w:sz w:val="18"/>
                <w:szCs w:val="18"/>
              </w:rPr>
            </w:pPr>
            <w:r w:rsidRPr="001026E8">
              <w:rPr>
                <w:sz w:val="18"/>
                <w:szCs w:val="18"/>
              </w:rPr>
              <w:t>Evaluate and, if needed, specify beam-management-related enhancements for simultaneous multi-TRP transmission with multi-panel reception</w:t>
            </w:r>
          </w:p>
          <w:p w14:paraId="578E1907" w14:textId="77777777" w:rsidR="004D0FE7" w:rsidRPr="004D0FE7" w:rsidRDefault="004D0FE7" w:rsidP="004D0FE7">
            <w:pPr>
              <w:pStyle w:val="ListParagraph"/>
              <w:numPr>
                <w:ilvl w:val="1"/>
                <w:numId w:val="10"/>
              </w:numPr>
              <w:spacing w:after="0"/>
              <w:ind w:leftChars="0" w:left="1440"/>
              <w:jc w:val="both"/>
              <w:rPr>
                <w:sz w:val="18"/>
                <w:szCs w:val="18"/>
              </w:rPr>
            </w:pPr>
            <w:r w:rsidRPr="004D0FE7">
              <w:rPr>
                <w:sz w:val="18"/>
                <w:szCs w:val="18"/>
              </w:rPr>
              <w:t>Enhancement to support HST-SFN deployment scenario:</w:t>
            </w:r>
          </w:p>
          <w:p w14:paraId="0163129D" w14:textId="77777777" w:rsidR="004D0FE7" w:rsidRPr="004D0FE7" w:rsidRDefault="004D0FE7" w:rsidP="004D0FE7">
            <w:pPr>
              <w:pStyle w:val="ListParagraph"/>
              <w:numPr>
                <w:ilvl w:val="2"/>
                <w:numId w:val="10"/>
              </w:numPr>
              <w:spacing w:after="0"/>
              <w:ind w:leftChars="0" w:left="2160"/>
              <w:jc w:val="both"/>
              <w:rPr>
                <w:sz w:val="18"/>
                <w:szCs w:val="18"/>
              </w:rPr>
            </w:pPr>
            <w:r w:rsidRPr="004D0FE7">
              <w:rPr>
                <w:sz w:val="18"/>
                <w:szCs w:val="18"/>
              </w:rPr>
              <w:t>Identify and specify solution(s) on QCL assumption for DMRS, e.g. multiple QCL assumptions for the same DMRS port(s), targeting DL-only transmission</w:t>
            </w:r>
          </w:p>
          <w:p w14:paraId="657C2981" w14:textId="77777777" w:rsidR="004D0FE7" w:rsidRDefault="004D0FE7" w:rsidP="004D0FE7">
            <w:pPr>
              <w:pStyle w:val="ListParagraph"/>
              <w:numPr>
                <w:ilvl w:val="2"/>
                <w:numId w:val="10"/>
              </w:numPr>
              <w:spacing w:after="0"/>
              <w:ind w:leftChars="0" w:left="2160"/>
              <w:jc w:val="both"/>
              <w:rPr>
                <w:sz w:val="18"/>
                <w:szCs w:val="18"/>
              </w:rPr>
            </w:pPr>
            <w:r w:rsidRPr="004D0FE7">
              <w:rPr>
                <w:sz w:val="18"/>
                <w:szCs w:val="18"/>
              </w:rPr>
              <w:t>Evaluate and, if the benefit over Rel.16 HST enhancement baseline is demonstrated, specify QCL/QCL-like relation (including applicable type(s) and the associated requirement) between DL and UL signal by reusing the unified TCI framework</w:t>
            </w:r>
          </w:p>
          <w:p w14:paraId="633BA587" w14:textId="77777777" w:rsidR="000C13EF" w:rsidRDefault="000C13EF" w:rsidP="000C13EF">
            <w:pPr>
              <w:spacing w:after="0"/>
              <w:jc w:val="both"/>
              <w:rPr>
                <w:sz w:val="18"/>
                <w:szCs w:val="18"/>
              </w:rPr>
            </w:pPr>
          </w:p>
          <w:p w14:paraId="6F4EA40F" w14:textId="61F96B06" w:rsidR="000C13EF" w:rsidRDefault="000C13EF" w:rsidP="000C13EF">
            <w:pPr>
              <w:spacing w:after="0"/>
              <w:jc w:val="both"/>
              <w:rPr>
                <w:b/>
                <w:sz w:val="18"/>
                <w:szCs w:val="18"/>
              </w:rPr>
            </w:pPr>
            <w:r w:rsidRPr="008D3ABD">
              <w:rPr>
                <w:b/>
                <w:sz w:val="18"/>
                <w:szCs w:val="18"/>
              </w:rPr>
              <w:t>From RAN1 #102-e agreements</w:t>
            </w:r>
            <w:r>
              <w:rPr>
                <w:b/>
                <w:sz w:val="18"/>
                <w:szCs w:val="18"/>
              </w:rPr>
              <w:t xml:space="preserve"> R1-2007</w:t>
            </w:r>
            <w:r w:rsidR="00F439CC">
              <w:rPr>
                <w:b/>
                <w:sz w:val="18"/>
                <w:szCs w:val="18"/>
              </w:rPr>
              <w:t>313</w:t>
            </w:r>
            <w:r>
              <w:rPr>
                <w:b/>
                <w:sz w:val="18"/>
                <w:szCs w:val="18"/>
              </w:rPr>
              <w:t xml:space="preserve"> [2]</w:t>
            </w:r>
          </w:p>
          <w:p w14:paraId="28F02A83" w14:textId="77777777" w:rsidR="000C13EF" w:rsidRDefault="000C13EF" w:rsidP="000C13EF">
            <w:pPr>
              <w:spacing w:after="0"/>
              <w:jc w:val="both"/>
              <w:rPr>
                <w:sz w:val="18"/>
                <w:szCs w:val="18"/>
              </w:rPr>
            </w:pPr>
          </w:p>
          <w:p w14:paraId="209BB2CB" w14:textId="77777777" w:rsidR="00F439CC" w:rsidRPr="008D3ABD" w:rsidRDefault="00F439CC" w:rsidP="00F439CC">
            <w:pPr>
              <w:spacing w:after="0"/>
              <w:jc w:val="both"/>
              <w:rPr>
                <w:b/>
                <w:sz w:val="18"/>
                <w:szCs w:val="18"/>
                <w:u w:val="single"/>
              </w:rPr>
            </w:pPr>
            <w:r w:rsidRPr="008D3ABD">
              <w:rPr>
                <w:b/>
                <w:sz w:val="18"/>
                <w:szCs w:val="18"/>
                <w:u w:val="single"/>
              </w:rPr>
              <w:t>Agreement</w:t>
            </w:r>
          </w:p>
          <w:p w14:paraId="1026C900" w14:textId="73168C7A" w:rsidR="00F439CC" w:rsidRDefault="00F439CC" w:rsidP="00F439CC">
            <w:pPr>
              <w:spacing w:after="0"/>
              <w:ind w:left="800"/>
              <w:jc w:val="both"/>
              <w:rPr>
                <w:sz w:val="18"/>
                <w:szCs w:val="18"/>
              </w:rPr>
            </w:pPr>
            <w:r>
              <w:rPr>
                <w:sz w:val="18"/>
                <w:szCs w:val="18"/>
              </w:rPr>
              <w:t>Study the following aspects of QCL/TCI-related enhancement to enable inter-cell multi-DCI based multi-TRP operation</w:t>
            </w:r>
          </w:p>
          <w:p w14:paraId="4879BE6C" w14:textId="228FB302" w:rsidR="00F439CC" w:rsidRDefault="00F439CC" w:rsidP="00F439CC">
            <w:pPr>
              <w:pStyle w:val="ListParagraph"/>
              <w:numPr>
                <w:ilvl w:val="1"/>
                <w:numId w:val="15"/>
              </w:numPr>
              <w:spacing w:after="0"/>
              <w:ind w:leftChars="0"/>
              <w:jc w:val="both"/>
              <w:rPr>
                <w:sz w:val="18"/>
                <w:szCs w:val="18"/>
              </w:rPr>
            </w:pPr>
            <w:r>
              <w:rPr>
                <w:sz w:val="18"/>
                <w:szCs w:val="18"/>
              </w:rPr>
              <w:t>Details on configuration of non-serving cell RS;</w:t>
            </w:r>
          </w:p>
          <w:p w14:paraId="7DD31A15" w14:textId="16289BF7" w:rsidR="00F439CC" w:rsidRDefault="00F439CC" w:rsidP="00F439CC">
            <w:pPr>
              <w:pStyle w:val="ListParagraph"/>
              <w:numPr>
                <w:ilvl w:val="1"/>
                <w:numId w:val="15"/>
              </w:numPr>
              <w:spacing w:after="0"/>
              <w:ind w:leftChars="0"/>
              <w:jc w:val="both"/>
              <w:rPr>
                <w:sz w:val="18"/>
                <w:szCs w:val="18"/>
              </w:rPr>
            </w:pPr>
            <w:r>
              <w:rPr>
                <w:sz w:val="18"/>
                <w:szCs w:val="18"/>
              </w:rPr>
              <w:t>Allowed source and target RS types for RS transmitted from the non-serving cell TRP;</w:t>
            </w:r>
          </w:p>
          <w:p w14:paraId="2EF40ED3" w14:textId="77B3A890" w:rsidR="00F439CC" w:rsidRDefault="00F439CC" w:rsidP="00F439CC">
            <w:pPr>
              <w:pStyle w:val="ListParagraph"/>
              <w:numPr>
                <w:ilvl w:val="1"/>
                <w:numId w:val="15"/>
              </w:numPr>
              <w:spacing w:after="0"/>
              <w:ind w:leftChars="0"/>
              <w:jc w:val="both"/>
              <w:rPr>
                <w:sz w:val="18"/>
                <w:szCs w:val="18"/>
              </w:rPr>
            </w:pPr>
            <w:r>
              <w:rPr>
                <w:sz w:val="18"/>
                <w:szCs w:val="18"/>
              </w:rPr>
              <w:t>Allowed QCL types for RS transmitted from the non-serving cell TRP;</w:t>
            </w:r>
          </w:p>
          <w:p w14:paraId="425685F6" w14:textId="29C6250B" w:rsidR="00F439CC" w:rsidRDefault="00F439CC" w:rsidP="00F439CC">
            <w:pPr>
              <w:pStyle w:val="ListParagraph"/>
              <w:numPr>
                <w:ilvl w:val="1"/>
                <w:numId w:val="15"/>
              </w:numPr>
              <w:spacing w:after="0"/>
              <w:ind w:leftChars="0"/>
              <w:jc w:val="both"/>
              <w:rPr>
                <w:sz w:val="18"/>
                <w:szCs w:val="18"/>
              </w:rPr>
            </w:pPr>
            <w:r>
              <w:rPr>
                <w:sz w:val="18"/>
                <w:szCs w:val="18"/>
              </w:rPr>
              <w:t>Measurement and reporting related to QCL/TCI enhancement except for that in 8.1.1, if any;</w:t>
            </w:r>
          </w:p>
          <w:p w14:paraId="3187F2DC" w14:textId="07DEEC8D" w:rsidR="00F439CC" w:rsidRDefault="00F439CC" w:rsidP="00F439CC">
            <w:pPr>
              <w:pStyle w:val="ListParagraph"/>
              <w:numPr>
                <w:ilvl w:val="1"/>
                <w:numId w:val="15"/>
              </w:numPr>
              <w:spacing w:after="0"/>
              <w:ind w:leftChars="0"/>
              <w:jc w:val="both"/>
              <w:rPr>
                <w:sz w:val="18"/>
                <w:szCs w:val="18"/>
              </w:rPr>
            </w:pPr>
            <w:r>
              <w:rPr>
                <w:sz w:val="18"/>
                <w:szCs w:val="18"/>
              </w:rPr>
              <w:t>Clarification on potential UE behaviour for associating/multiplexing non-serving cell RS with other RS/channels;</w:t>
            </w:r>
          </w:p>
          <w:p w14:paraId="0E258C81" w14:textId="200FAB4F" w:rsidR="00F439CC" w:rsidRPr="00AD4C30" w:rsidRDefault="00F439CC" w:rsidP="00F439CC">
            <w:pPr>
              <w:pStyle w:val="ListParagraph"/>
              <w:numPr>
                <w:ilvl w:val="1"/>
                <w:numId w:val="15"/>
              </w:numPr>
              <w:spacing w:after="0"/>
              <w:ind w:leftChars="0"/>
              <w:jc w:val="both"/>
              <w:rPr>
                <w:sz w:val="18"/>
                <w:szCs w:val="18"/>
              </w:rPr>
            </w:pPr>
            <w:r>
              <w:rPr>
                <w:sz w:val="18"/>
                <w:szCs w:val="18"/>
              </w:rPr>
              <w:t>Other details not precluded</w:t>
            </w:r>
          </w:p>
          <w:p w14:paraId="50CDC82F" w14:textId="29F4A1CE" w:rsidR="00F439CC" w:rsidRPr="000C13EF" w:rsidRDefault="00F439CC" w:rsidP="000C13EF">
            <w:pPr>
              <w:spacing w:after="0"/>
              <w:jc w:val="both"/>
              <w:rPr>
                <w:sz w:val="18"/>
                <w:szCs w:val="18"/>
              </w:rPr>
            </w:pPr>
          </w:p>
        </w:tc>
      </w:tr>
    </w:tbl>
    <w:p w14:paraId="79AFDED5" w14:textId="77777777" w:rsidR="004D0FE7" w:rsidRDefault="004D0FE7" w:rsidP="004D0FE7">
      <w:pPr>
        <w:pStyle w:val="0Maintext"/>
        <w:spacing w:after="60" w:afterAutospacing="0"/>
        <w:ind w:firstLine="0"/>
        <w:rPr>
          <w:lang w:val="en-US"/>
        </w:rPr>
      </w:pPr>
    </w:p>
    <w:p w14:paraId="70FC72D1" w14:textId="50378EAB" w:rsidR="0098769F" w:rsidRDefault="0098769F" w:rsidP="0098769F">
      <w:pPr>
        <w:pStyle w:val="0Maintext"/>
        <w:spacing w:after="60" w:afterAutospacing="0"/>
        <w:rPr>
          <w:lang w:val="en-US"/>
        </w:rPr>
      </w:pPr>
      <w:r>
        <w:rPr>
          <w:lang w:val="en-US"/>
        </w:rPr>
        <w:t>In this contribution, we provide our views on the highlighted topic in the WID [1] and the agreed items from RAN1 #102-e on inter-cell operation for multi-TRP [2].</w:t>
      </w:r>
    </w:p>
    <w:p w14:paraId="76C10DDF" w14:textId="77777777" w:rsidR="006C67AC" w:rsidRPr="004D0FE7" w:rsidRDefault="006C67AC" w:rsidP="007C35B4">
      <w:pPr>
        <w:pStyle w:val="0Maintext"/>
        <w:spacing w:after="60" w:afterAutospacing="0"/>
        <w:rPr>
          <w:rFonts w:eastAsiaTheme="minorEastAsia" w:cs="Times New Roman"/>
          <w:color w:val="000000" w:themeColor="text1"/>
          <w:kern w:val="24"/>
          <w:lang w:val="en-US"/>
        </w:rPr>
      </w:pPr>
    </w:p>
    <w:p w14:paraId="204F3709" w14:textId="750FB8DF" w:rsidR="00DA4751" w:rsidRPr="0097197C" w:rsidRDefault="004D0FE7" w:rsidP="0097197C">
      <w:pPr>
        <w:pStyle w:val="Heading1"/>
        <w:spacing w:before="0" w:after="60"/>
        <w:jc w:val="both"/>
        <w:rPr>
          <w:sz w:val="28"/>
          <w:szCs w:val="28"/>
          <w:lang w:val="en-US"/>
        </w:rPr>
      </w:pPr>
      <w:r>
        <w:rPr>
          <w:sz w:val="28"/>
          <w:lang w:val="en-US"/>
        </w:rPr>
        <w:t>QCL enhancements for inter-cell multi-TRP</w:t>
      </w:r>
    </w:p>
    <w:p w14:paraId="12D350C1" w14:textId="77777777" w:rsidR="00EE4026" w:rsidRPr="00F27612" w:rsidRDefault="00EE4026" w:rsidP="00F37A33">
      <w:pPr>
        <w:pStyle w:val="ListParagraph"/>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889ED27" w14:textId="337A9F81" w:rsidR="00C77C50" w:rsidRPr="00C77C50" w:rsidRDefault="00BF5EF5" w:rsidP="00C77C50">
      <w:pPr>
        <w:pStyle w:val="0Maintext"/>
        <w:spacing w:after="60" w:afterAutospacing="0"/>
        <w:rPr>
          <w:lang w:val="en-US" w:eastAsia="ko-KR"/>
        </w:rPr>
      </w:pPr>
      <w:r>
        <w:rPr>
          <w:lang w:val="en-US" w:eastAsia="ko-KR"/>
        </w:rPr>
        <w:t>Perhaps the most important enhancement over</w:t>
      </w:r>
      <w:r w:rsidR="00C77C50" w:rsidRPr="00C77C50">
        <w:rPr>
          <w:lang w:val="en-US" w:eastAsia="ko-KR"/>
        </w:rPr>
        <w:t xml:space="preserve"> the Rel. 16 QCL/TCI framework for the inter-cell multi-TRP transmission </w:t>
      </w:r>
      <w:r>
        <w:rPr>
          <w:lang w:val="en-US" w:eastAsia="ko-KR"/>
        </w:rPr>
        <w:t>pertains to</w:t>
      </w:r>
      <w:r w:rsidRPr="00C77C50">
        <w:rPr>
          <w:lang w:val="en-US" w:eastAsia="ko-KR"/>
        </w:rPr>
        <w:t xml:space="preserve"> </w:t>
      </w:r>
      <w:r>
        <w:rPr>
          <w:lang w:val="en-US" w:eastAsia="ko-KR"/>
        </w:rPr>
        <w:t xml:space="preserve">the scenario </w:t>
      </w:r>
      <w:r w:rsidR="00C77C50" w:rsidRPr="00C77C50">
        <w:rPr>
          <w:lang w:val="en-US" w:eastAsia="ko-KR"/>
        </w:rPr>
        <w:t xml:space="preserve">when </w:t>
      </w:r>
      <w:r>
        <w:rPr>
          <w:lang w:val="en-US" w:eastAsia="ko-KR"/>
        </w:rPr>
        <w:t xml:space="preserve">at least </w:t>
      </w:r>
      <w:r w:rsidR="00C77C50" w:rsidRPr="00C77C50">
        <w:rPr>
          <w:lang w:val="en-US" w:eastAsia="ko-KR"/>
        </w:rPr>
        <w:t>one coordinating TRP is not presented with a valid serving cell ID (SCI). Without a valid SCI, the SSBs from the non-serving-cell TRP cannot be used as the QCL source/reference as they cannot be inferred from the TCI-State/QCL-Info in the current TCI framework. Further</w:t>
      </w:r>
      <w:r w:rsidR="00AD6452">
        <w:rPr>
          <w:lang w:val="en-US" w:eastAsia="ko-KR"/>
        </w:rPr>
        <w:t>more</w:t>
      </w:r>
      <w:r w:rsidR="00C77C50" w:rsidRPr="00C77C50">
        <w:rPr>
          <w:lang w:val="en-US" w:eastAsia="ko-KR"/>
        </w:rPr>
        <w:t xml:space="preserve">, how to efficiently measure/monitor the SSBs from the non-serving-cell TRP and make their information available to the UE may also need to be specified. Reusing the Rel. 16 TCI framework to indicate the SSBs from the serving-cell TRP as the QCL source for the TRS from the non-serving-cell TRP could be problematic because the two TRPs are </w:t>
      </w:r>
      <w:r>
        <w:rPr>
          <w:lang w:val="en-US" w:eastAsia="ko-KR"/>
        </w:rPr>
        <w:t xml:space="preserve">not </w:t>
      </w:r>
      <w:r w:rsidR="00C77C50" w:rsidRPr="00C77C50">
        <w:rPr>
          <w:lang w:val="en-US" w:eastAsia="ko-KR"/>
        </w:rPr>
        <w:t>geographically</w:t>
      </w:r>
      <w:r>
        <w:rPr>
          <w:lang w:val="en-US" w:eastAsia="ko-KR"/>
        </w:rPr>
        <w:t xml:space="preserve"> co-located – not to mention that </w:t>
      </w:r>
      <w:r w:rsidR="00C77C50" w:rsidRPr="00C77C50">
        <w:rPr>
          <w:lang w:val="en-US" w:eastAsia="ko-KR"/>
        </w:rPr>
        <w:t>they could be loosely synchronized in both time and frequency. In Figure 1, examples of the inter-cell multi-TRP transmission under the non-CA framework are provided assuming two coordinating TRPs (serving-cell TRP-1 and non-serving-cell TRP-2).</w:t>
      </w:r>
    </w:p>
    <w:p w14:paraId="4E5BB92C" w14:textId="77777777" w:rsidR="00C77C50" w:rsidRDefault="00C77C50" w:rsidP="00C77C50">
      <w:pPr>
        <w:pStyle w:val="maintext"/>
        <w:ind w:firstLineChars="0" w:firstLine="0"/>
        <w:jc w:val="center"/>
      </w:pPr>
      <w:r>
        <w:object w:dxaOrig="16100" w:dyaOrig="4027" w14:anchorId="44078A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25pt;height:118.45pt" o:ole="">
            <v:imagedata r:id="rId8" o:title=""/>
          </v:shape>
          <o:OLEObject Type="Embed" ProgID="PowerPoint.Show.12" ShapeID="_x0000_i1025" DrawAspect="Content" ObjectID="_1664559174" r:id="rId9"/>
        </w:object>
      </w:r>
    </w:p>
    <w:p w14:paraId="2FDBBC2E" w14:textId="77777777" w:rsidR="00C77C50" w:rsidRPr="00C77C50" w:rsidRDefault="00C77C50" w:rsidP="00C77C50">
      <w:pPr>
        <w:pStyle w:val="0Maintext"/>
        <w:spacing w:after="60" w:afterAutospacing="0"/>
        <w:jc w:val="center"/>
        <w:rPr>
          <w:lang w:val="en-US" w:eastAsia="ko-KR"/>
        </w:rPr>
      </w:pPr>
      <w:r w:rsidRPr="00C77C50">
        <w:rPr>
          <w:lang w:val="en-US" w:eastAsia="ko-KR"/>
        </w:rPr>
        <w:t>Figure 1. Illustrative examples of inter-cell multi-TRP transmission</w:t>
      </w:r>
    </w:p>
    <w:p w14:paraId="1BCEF978" w14:textId="546AE3D5" w:rsidR="00C77C50" w:rsidRPr="00C77C50" w:rsidRDefault="00C77C50" w:rsidP="00C77C50">
      <w:pPr>
        <w:pStyle w:val="0Maintext"/>
        <w:spacing w:after="60" w:afterAutospacing="0"/>
        <w:rPr>
          <w:lang w:val="en-US" w:eastAsia="ko-KR"/>
        </w:rPr>
      </w:pPr>
      <w:r w:rsidRPr="00C77C50">
        <w:rPr>
          <w:lang w:val="en-US" w:eastAsia="ko-KR"/>
        </w:rPr>
        <w:t xml:space="preserve">As illustrated on the LHS in Figure 1, the receive timing difference between the two TRPs could be larger than the CP especially </w:t>
      </w:r>
      <w:r w:rsidR="009C2A1C">
        <w:rPr>
          <w:lang w:val="en-US" w:eastAsia="ko-KR"/>
        </w:rPr>
        <w:t>in</w:t>
      </w:r>
      <w:r w:rsidRPr="00C77C50">
        <w:rPr>
          <w:lang w:val="en-US" w:eastAsia="ko-KR"/>
        </w:rPr>
        <w:t xml:space="preserve"> FR2 with short symbol duration and sharp </w:t>
      </w:r>
      <w:r w:rsidR="001B27AB">
        <w:rPr>
          <w:lang w:val="en-US" w:eastAsia="ko-KR"/>
        </w:rPr>
        <w:t xml:space="preserve">TX </w:t>
      </w:r>
      <w:r w:rsidRPr="00C77C50">
        <w:rPr>
          <w:lang w:val="en-US" w:eastAsia="ko-KR"/>
        </w:rPr>
        <w:t>beams. In this case, using the RSs from the serving-cell TRP-1 as the QCL source to determine the corresponding time-frequency related parameters such as those defined in QCL-</w:t>
      </w:r>
      <w:proofErr w:type="spellStart"/>
      <w:r w:rsidRPr="00C77C50">
        <w:rPr>
          <w:lang w:val="en-US" w:eastAsia="ko-KR"/>
        </w:rPr>
        <w:t>TypeC</w:t>
      </w:r>
      <w:proofErr w:type="spellEnd"/>
      <w:r w:rsidRPr="00C77C50">
        <w:rPr>
          <w:lang w:val="en-US" w:eastAsia="ko-KR"/>
        </w:rPr>
        <w:t xml:space="preserve"> to receive the downlink transmissions from the non-serving-cell TRP-2 would cause the RX timing offset larger than CP, resulting in significant inter-symbol interference. Note that, however, some level of time-frequency synchronization between the two coordinating TRPs, e.g., the receive timing difference between them is smaller than the CP, can be achieved via tight coordination between the TRPs. In this case, one or more SSBs from TRP-1 could still be used as the QCL source, e.g., QCL-</w:t>
      </w:r>
      <w:proofErr w:type="spellStart"/>
      <w:r w:rsidRPr="00C77C50">
        <w:rPr>
          <w:lang w:val="en-US" w:eastAsia="ko-KR"/>
        </w:rPr>
        <w:t>TypeC</w:t>
      </w:r>
      <w:proofErr w:type="spellEnd"/>
      <w:r w:rsidRPr="00C77C50">
        <w:rPr>
          <w:lang w:val="en-US" w:eastAsia="ko-KR"/>
        </w:rPr>
        <w:t xml:space="preserve">, for the downlink transmissions from TRP-2. Tight/dynamic coordination across TRPs, however, would be challenging </w:t>
      </w:r>
      <w:r w:rsidR="001B27AB">
        <w:rPr>
          <w:lang w:val="en-US" w:eastAsia="ko-KR"/>
        </w:rPr>
        <w:t xml:space="preserve">especially </w:t>
      </w:r>
      <w:r w:rsidRPr="00C77C50">
        <w:rPr>
          <w:lang w:val="en-US" w:eastAsia="ko-KR"/>
        </w:rPr>
        <w:t>for non-ideal backhaul. The problem of reusing the Rel. 16 TCI framework for the inter-cell multi-TRP may be more significant for QCL-</w:t>
      </w:r>
      <w:proofErr w:type="spellStart"/>
      <w:r w:rsidRPr="00C77C50">
        <w:rPr>
          <w:lang w:val="en-US" w:eastAsia="ko-KR"/>
        </w:rPr>
        <w:t>TypeD</w:t>
      </w:r>
      <w:proofErr w:type="spellEnd"/>
      <w:r w:rsidRPr="00C77C50">
        <w:rPr>
          <w:lang w:val="en-US" w:eastAsia="ko-KR"/>
        </w:rPr>
        <w:t xml:space="preserve"> at FR2 as illustrated on the RHS in Figure 1. It is </w:t>
      </w:r>
      <w:r w:rsidR="001B27AB">
        <w:rPr>
          <w:lang w:val="en-US" w:eastAsia="ko-KR"/>
        </w:rPr>
        <w:t>evident</w:t>
      </w:r>
      <w:r w:rsidR="001B27AB" w:rsidRPr="00C77C50">
        <w:rPr>
          <w:lang w:val="en-US" w:eastAsia="ko-KR"/>
        </w:rPr>
        <w:t xml:space="preserve"> </w:t>
      </w:r>
      <w:r w:rsidRPr="00C77C50">
        <w:rPr>
          <w:lang w:val="en-US" w:eastAsia="ko-KR"/>
        </w:rPr>
        <w:t xml:space="preserve">from Figure 1 that the SSBs from TRP-1 could not be used as the spatial QCL source for the TRS from TRP-2 for most of the cases because the two TRPs are </w:t>
      </w:r>
      <w:r w:rsidR="00C2015D">
        <w:rPr>
          <w:lang w:val="en-US" w:eastAsia="ko-KR"/>
        </w:rPr>
        <w:t>typically not geographically co-located</w:t>
      </w:r>
      <w:r w:rsidRPr="00C77C50">
        <w:rPr>
          <w:lang w:val="en-US" w:eastAsia="ko-KR"/>
        </w:rPr>
        <w:t>.</w:t>
      </w:r>
    </w:p>
    <w:p w14:paraId="6E453261" w14:textId="7E10FCB0" w:rsidR="00C77C50" w:rsidRPr="00C77C50" w:rsidRDefault="00C77C50" w:rsidP="00C77C50">
      <w:pPr>
        <w:pStyle w:val="0Maintext"/>
        <w:spacing w:after="60" w:afterAutospacing="0"/>
        <w:rPr>
          <w:lang w:val="en-US" w:eastAsia="ko-KR"/>
        </w:rPr>
      </w:pPr>
      <w:r w:rsidRPr="00C77C50">
        <w:rPr>
          <w:lang w:val="en-US" w:eastAsia="ko-KR"/>
        </w:rPr>
        <w:t>To alleviate the problems stated above, QCL framework needs to be enhanced to allow</w:t>
      </w:r>
      <w:r w:rsidR="0030119E">
        <w:rPr>
          <w:lang w:val="en-US" w:eastAsia="ko-KR"/>
        </w:rPr>
        <w:t xml:space="preserve"> using</w:t>
      </w:r>
      <w:r w:rsidRPr="00C77C50">
        <w:rPr>
          <w:lang w:val="en-US" w:eastAsia="ko-KR"/>
        </w:rPr>
        <w:t xml:space="preserve"> SSBs from non-serving-cell TRP </w:t>
      </w:r>
      <w:r w:rsidR="0030119E">
        <w:rPr>
          <w:lang w:val="en-US" w:eastAsia="ko-KR"/>
        </w:rPr>
        <w:t>as</w:t>
      </w:r>
      <w:r w:rsidRPr="00C77C50">
        <w:rPr>
          <w:lang w:val="en-US" w:eastAsia="ko-KR"/>
        </w:rPr>
        <w:t xml:space="preserve"> both time/frequency and spatial</w:t>
      </w:r>
      <w:r w:rsidR="0030119E">
        <w:rPr>
          <w:lang w:val="en-US" w:eastAsia="ko-KR"/>
        </w:rPr>
        <w:t xml:space="preserve"> QCL</w:t>
      </w:r>
      <w:r w:rsidRPr="00C77C50">
        <w:rPr>
          <w:lang w:val="en-US" w:eastAsia="ko-KR"/>
        </w:rPr>
        <w:t xml:space="preserve"> source</w:t>
      </w:r>
      <w:r w:rsidR="0030119E">
        <w:rPr>
          <w:lang w:val="en-US" w:eastAsia="ko-KR"/>
        </w:rPr>
        <w:t>s</w:t>
      </w:r>
      <w:r w:rsidRPr="00C77C50">
        <w:rPr>
          <w:lang w:val="en-US" w:eastAsia="ko-KR"/>
        </w:rPr>
        <w:t>. Since those SSBs should be monitored/measured at UE side in prior to be utilized as QCL references, the details on monito</w:t>
      </w:r>
      <w:r w:rsidR="0030119E">
        <w:rPr>
          <w:lang w:val="en-US" w:eastAsia="ko-KR"/>
        </w:rPr>
        <w:t>ring/measurement procedure need</w:t>
      </w:r>
      <w:r w:rsidRPr="00C77C50">
        <w:rPr>
          <w:lang w:val="en-US" w:eastAsia="ko-KR"/>
        </w:rPr>
        <w:t xml:space="preserve"> to be specified.</w:t>
      </w:r>
    </w:p>
    <w:p w14:paraId="074A5E9F" w14:textId="061EF107" w:rsidR="00834856" w:rsidRDefault="00C77C50" w:rsidP="00C77C50">
      <w:pPr>
        <w:pStyle w:val="0Maintext"/>
        <w:spacing w:after="60" w:afterAutospacing="0"/>
        <w:ind w:leftChars="129" w:left="284" w:firstLine="0"/>
        <w:rPr>
          <w:i/>
          <w:lang w:val="en-US" w:eastAsia="ko-KR"/>
        </w:rPr>
      </w:pPr>
      <w:r w:rsidRPr="00C77C50">
        <w:rPr>
          <w:b/>
          <w:lang w:val="en-US" w:eastAsia="ko-KR"/>
        </w:rPr>
        <w:t xml:space="preserve">Proposal 1: </w:t>
      </w:r>
      <w:r w:rsidR="00D102D1">
        <w:rPr>
          <w:i/>
          <w:lang w:val="en-US" w:eastAsia="ko-KR"/>
        </w:rPr>
        <w:t>Support t</w:t>
      </w:r>
      <w:r w:rsidRPr="00C77C50">
        <w:rPr>
          <w:i/>
          <w:lang w:val="en-US" w:eastAsia="ko-KR"/>
        </w:rPr>
        <w:t xml:space="preserve">he </w:t>
      </w:r>
      <w:r w:rsidR="00D102D1">
        <w:rPr>
          <w:i/>
          <w:lang w:val="en-US" w:eastAsia="ko-KR"/>
        </w:rPr>
        <w:t xml:space="preserve">use of </w:t>
      </w:r>
      <w:r w:rsidRPr="00C77C50">
        <w:rPr>
          <w:i/>
          <w:lang w:val="en-US" w:eastAsia="ko-KR"/>
        </w:rPr>
        <w:t xml:space="preserve">SSBs from the </w:t>
      </w:r>
      <w:r w:rsidR="00AA4014">
        <w:rPr>
          <w:i/>
          <w:lang w:val="en-US" w:eastAsia="ko-KR"/>
        </w:rPr>
        <w:t>non-</w:t>
      </w:r>
      <w:r w:rsidRPr="00C77C50">
        <w:rPr>
          <w:i/>
          <w:lang w:val="en-US" w:eastAsia="ko-KR"/>
        </w:rPr>
        <w:t>serving-cell TRP as the QCL source/reference for the downlink transmissions from the non-serving-cell TRP depending on the QCL type</w:t>
      </w:r>
    </w:p>
    <w:p w14:paraId="6FAA9F82" w14:textId="6E46102D" w:rsidR="00C77C50" w:rsidRDefault="00834856" w:rsidP="00501CA2">
      <w:pPr>
        <w:pStyle w:val="0Maintext"/>
        <w:numPr>
          <w:ilvl w:val="0"/>
          <w:numId w:val="14"/>
        </w:numPr>
        <w:spacing w:after="60" w:afterAutospacing="0"/>
        <w:rPr>
          <w:i/>
          <w:lang w:val="en-US" w:eastAsia="ko-KR"/>
        </w:rPr>
      </w:pPr>
      <w:r>
        <w:rPr>
          <w:i/>
          <w:lang w:val="en-US" w:eastAsia="ko-KR"/>
        </w:rPr>
        <w:t>T</w:t>
      </w:r>
      <w:r w:rsidR="00C77C50" w:rsidRPr="00C77C50">
        <w:rPr>
          <w:i/>
          <w:lang w:val="en-US" w:eastAsia="ko-KR"/>
        </w:rPr>
        <w:t>he information of the SSBs from the non-serving-cell TRP need to be available at the UE, and their monitoring/measurement procedure also need to be specified.</w:t>
      </w:r>
    </w:p>
    <w:p w14:paraId="7C13DC51" w14:textId="2F429DD7" w:rsidR="005D1050" w:rsidRPr="005D1050" w:rsidRDefault="00670D06" w:rsidP="005D1050">
      <w:pPr>
        <w:pStyle w:val="0Maintext"/>
        <w:numPr>
          <w:ilvl w:val="0"/>
          <w:numId w:val="14"/>
        </w:numPr>
        <w:spacing w:after="60" w:afterAutospacing="0"/>
        <w:rPr>
          <w:i/>
          <w:lang w:val="en-US" w:eastAsia="ko-KR"/>
        </w:rPr>
      </w:pPr>
      <w:r>
        <w:rPr>
          <w:i/>
          <w:lang w:val="en-US" w:eastAsia="ko-KR"/>
        </w:rPr>
        <w:t>For QCL-</w:t>
      </w:r>
      <w:proofErr w:type="spellStart"/>
      <w:r>
        <w:rPr>
          <w:i/>
          <w:lang w:val="en-US" w:eastAsia="ko-KR"/>
        </w:rPr>
        <w:t>typeD</w:t>
      </w:r>
      <w:proofErr w:type="spellEnd"/>
      <w:r>
        <w:rPr>
          <w:i/>
          <w:lang w:val="en-US" w:eastAsia="ko-KR"/>
        </w:rPr>
        <w:t xml:space="preserve">, </w:t>
      </w:r>
      <w:r w:rsidR="002E0CEE">
        <w:rPr>
          <w:i/>
          <w:lang w:val="en-US" w:eastAsia="ko-KR"/>
        </w:rPr>
        <w:t xml:space="preserve">the SSBs from the non-serving-cell TRP should be the only QCL source for the DL transmission, e.g., a TRS, from the non-serving-cell TRP.  </w:t>
      </w:r>
    </w:p>
    <w:p w14:paraId="685F6DB4" w14:textId="114D9102" w:rsidR="00670D06" w:rsidRPr="00C77C50" w:rsidRDefault="005D1050" w:rsidP="00501CA2">
      <w:pPr>
        <w:pStyle w:val="0Maintext"/>
        <w:numPr>
          <w:ilvl w:val="0"/>
          <w:numId w:val="14"/>
        </w:numPr>
        <w:spacing w:after="60" w:afterAutospacing="0"/>
        <w:rPr>
          <w:i/>
          <w:lang w:val="en-US" w:eastAsia="ko-KR"/>
        </w:rPr>
      </w:pPr>
      <w:r>
        <w:rPr>
          <w:i/>
          <w:lang w:val="en-US" w:eastAsia="ko-KR"/>
        </w:rPr>
        <w:t>For other QCL types than QCL-</w:t>
      </w:r>
      <w:proofErr w:type="spellStart"/>
      <w:r>
        <w:rPr>
          <w:i/>
          <w:lang w:val="en-US" w:eastAsia="ko-KR"/>
        </w:rPr>
        <w:t>typeD</w:t>
      </w:r>
      <w:proofErr w:type="spellEnd"/>
      <w:r>
        <w:rPr>
          <w:i/>
          <w:lang w:val="en-US" w:eastAsia="ko-KR"/>
        </w:rPr>
        <w:t>,</w:t>
      </w:r>
      <w:r w:rsidR="002E0CEE">
        <w:rPr>
          <w:i/>
          <w:lang w:val="en-US" w:eastAsia="ko-KR"/>
        </w:rPr>
        <w:t xml:space="preserve"> the SSBs from the serving-cell TRP could be used as the QCL source for the DL transmission, e.g., a TRS, from the non-serving-cell TRP.</w:t>
      </w:r>
      <w:r>
        <w:rPr>
          <w:i/>
          <w:lang w:val="en-US" w:eastAsia="ko-KR"/>
        </w:rPr>
        <w:t xml:space="preserve"> </w:t>
      </w:r>
    </w:p>
    <w:p w14:paraId="7E00D912" w14:textId="77777777" w:rsidR="00077922" w:rsidRDefault="00077922" w:rsidP="00077922">
      <w:pPr>
        <w:pStyle w:val="0Maintext"/>
        <w:spacing w:after="60" w:afterAutospacing="0"/>
        <w:rPr>
          <w:lang w:val="en-US" w:eastAsia="ko-KR"/>
        </w:rPr>
      </w:pPr>
      <w:r>
        <w:rPr>
          <w:lang w:val="en-US" w:eastAsia="ko-KR"/>
        </w:rPr>
        <w:object w:dxaOrig="11608" w:dyaOrig="2518" w14:anchorId="299CC366">
          <v:shape id="_x0000_i1033" type="#_x0000_t75" style="width:457.55pt;height:98.95pt" o:ole="">
            <v:imagedata r:id="rId10" o:title=""/>
          </v:shape>
          <o:OLEObject Type="Embed" ProgID="PowerPoint.Show.12" ShapeID="_x0000_i1033" DrawAspect="Content" ObjectID="_1664559175" r:id="rId11"/>
        </w:object>
      </w:r>
    </w:p>
    <w:p w14:paraId="1F2355BC" w14:textId="624DB173" w:rsidR="00077922" w:rsidRPr="00077922" w:rsidRDefault="00077922" w:rsidP="00077922">
      <w:pPr>
        <w:pStyle w:val="0Maintext"/>
        <w:spacing w:after="60" w:afterAutospacing="0"/>
        <w:ind w:left="1004" w:firstLine="0"/>
        <w:jc w:val="center"/>
        <w:rPr>
          <w:lang w:val="en-US" w:eastAsia="ko-KR"/>
        </w:rPr>
      </w:pPr>
      <w:r>
        <w:rPr>
          <w:lang w:val="en-US" w:eastAsia="ko-KR"/>
        </w:rPr>
        <w:t>Figure 2. Illustrative example of (non-serving-cell) SSBs re-indexing</w:t>
      </w:r>
    </w:p>
    <w:p w14:paraId="1C85FFF2" w14:textId="7F87813A" w:rsidR="00AA4014" w:rsidRDefault="00077922" w:rsidP="00EC0BE5">
      <w:pPr>
        <w:pStyle w:val="0Maintext"/>
        <w:spacing w:after="60" w:afterAutospacing="0"/>
        <w:rPr>
          <w:lang w:val="en-US" w:eastAsia="ko-KR"/>
        </w:rPr>
      </w:pPr>
      <w:r>
        <w:rPr>
          <w:lang w:val="en-US" w:eastAsia="ko-KR"/>
        </w:rPr>
        <w:t>In this contribution</w:t>
      </w:r>
      <w:r w:rsidR="00EC0BE5">
        <w:rPr>
          <w:lang w:val="en-US" w:eastAsia="ko-KR"/>
        </w:rPr>
        <w:t xml:space="preserve">, </w:t>
      </w:r>
      <w:r>
        <w:rPr>
          <w:lang w:val="en-US" w:eastAsia="ko-KR"/>
        </w:rPr>
        <w:t xml:space="preserve">we propose </w:t>
      </w:r>
      <w:r w:rsidR="00EC0BE5">
        <w:rPr>
          <w:lang w:val="en-US" w:eastAsia="ko-KR"/>
        </w:rPr>
        <w:t xml:space="preserve">a simple yet effective SSB </w:t>
      </w:r>
      <w:r>
        <w:rPr>
          <w:lang w:val="en-US" w:eastAsia="ko-KR"/>
        </w:rPr>
        <w:t>re-indexing method t</w:t>
      </w:r>
      <w:r w:rsidRPr="00C77C50">
        <w:rPr>
          <w:lang w:val="en-US" w:eastAsia="ko-KR"/>
        </w:rPr>
        <w:t>o</w:t>
      </w:r>
      <w:r>
        <w:rPr>
          <w:lang w:val="en-US" w:eastAsia="ko-KR"/>
        </w:rPr>
        <w:t xml:space="preserve"> better</w:t>
      </w:r>
      <w:r w:rsidRPr="00C77C50">
        <w:rPr>
          <w:lang w:val="en-US" w:eastAsia="ko-KR"/>
        </w:rPr>
        <w:t xml:space="preserve"> enable the use of SSBs from the non-serv</w:t>
      </w:r>
      <w:r>
        <w:rPr>
          <w:lang w:val="en-US" w:eastAsia="ko-KR"/>
        </w:rPr>
        <w:t>ing-cell TRP as the QCL source</w:t>
      </w:r>
      <w:r w:rsidR="00C77C50" w:rsidRPr="00C77C50">
        <w:rPr>
          <w:lang w:val="en-US" w:eastAsia="ko-KR"/>
        </w:rPr>
        <w:t>.</w:t>
      </w:r>
      <w:r>
        <w:rPr>
          <w:lang w:val="en-US" w:eastAsia="ko-KR"/>
        </w:rPr>
        <w:t xml:space="preserve"> In the proposed method,</w:t>
      </w:r>
      <w:r w:rsidR="0020212E">
        <w:rPr>
          <w:lang w:val="en-US" w:eastAsia="ko-KR"/>
        </w:rPr>
        <w:t xml:space="preserve"> the SSBs from the non-serving-cell TRP are re-indexed based on the SSB information of the serving-cell TRP</w:t>
      </w:r>
      <w:r w:rsidR="00AA4014">
        <w:rPr>
          <w:lang w:val="en-US" w:eastAsia="ko-KR"/>
        </w:rPr>
        <w:t xml:space="preserve"> (e.g., the number of available SSBs from the serving-cell TRP)</w:t>
      </w:r>
      <w:r w:rsidR="00DE0476">
        <w:rPr>
          <w:lang w:val="en-US" w:eastAsia="ko-KR"/>
        </w:rPr>
        <w:t xml:space="preserve">. </w:t>
      </w:r>
      <w:r w:rsidR="00CA6673">
        <w:rPr>
          <w:lang w:val="en-US" w:eastAsia="ko-KR"/>
        </w:rPr>
        <w:t>T</w:t>
      </w:r>
      <w:r w:rsidR="00DE0476">
        <w:rPr>
          <w:lang w:val="en-US" w:eastAsia="ko-KR"/>
        </w:rPr>
        <w:t xml:space="preserve">o indicate a SSB from the non-serving-cell TRP, the new SSB index (i.e., after applying the SSB re-indexing) is referred in the </w:t>
      </w:r>
      <w:r w:rsidR="00AA4014">
        <w:rPr>
          <w:lang w:val="en-US" w:eastAsia="ko-KR"/>
        </w:rPr>
        <w:t>TCI-State/QCL-Info</w:t>
      </w:r>
      <w:r w:rsidR="00DE0476">
        <w:rPr>
          <w:lang w:val="en-US" w:eastAsia="ko-KR"/>
        </w:rPr>
        <w:t>, instead of the original SSB index.</w:t>
      </w:r>
      <w:r w:rsidR="00CA6673">
        <w:rPr>
          <w:lang w:val="en-US" w:eastAsia="ko-KR"/>
        </w:rPr>
        <w:t xml:space="preserve"> In Figure 2, one illustrative example of the proposed SSB re-indexing strategy is </w:t>
      </w:r>
      <w:r w:rsidR="00AA4014">
        <w:rPr>
          <w:lang w:val="en-US" w:eastAsia="ko-KR"/>
        </w:rPr>
        <w:t>provided</w:t>
      </w:r>
      <w:r w:rsidR="00CA6673">
        <w:rPr>
          <w:lang w:val="en-US" w:eastAsia="ko-KR"/>
        </w:rPr>
        <w:t>. As can be seen from Figure 2, the serving-cell TRP-1 has SSBs {SSB-1 #0, SSB-1 #1, …, SSB-1 #</w:t>
      </w:r>
      <w:r w:rsidR="00CA6673" w:rsidRPr="00CA6673">
        <w:rPr>
          <w:i/>
          <w:lang w:val="en-US" w:eastAsia="ko-KR"/>
        </w:rPr>
        <w:t>N</w:t>
      </w:r>
      <w:r w:rsidR="00CA6673">
        <w:rPr>
          <w:lang w:val="en-US" w:eastAsia="ko-KR"/>
        </w:rPr>
        <w:t>-1}, while the non-serving-cell TRP-2 has SSBs {SSB-2 #0, SSB-2 #1, …, SSB-2 #</w:t>
      </w:r>
      <w:r w:rsidR="00CA6673" w:rsidRPr="00CA6673">
        <w:rPr>
          <w:i/>
          <w:lang w:val="en-US" w:eastAsia="ko-KR"/>
        </w:rPr>
        <w:t>M</w:t>
      </w:r>
      <w:r w:rsidR="00CA6673">
        <w:rPr>
          <w:lang w:val="en-US" w:eastAsia="ko-KR"/>
        </w:rPr>
        <w:t>-1}. After applying the SSB re-indexing, a single SSBs pool is obtained, containing {SSB #0, SSB #1, …, SSB #</w:t>
      </w:r>
      <w:r w:rsidR="00CA6673" w:rsidRPr="00CA6673">
        <w:rPr>
          <w:i/>
          <w:lang w:val="en-US" w:eastAsia="ko-KR"/>
        </w:rPr>
        <w:t>M</w:t>
      </w:r>
      <w:r w:rsidR="00CA6673">
        <w:rPr>
          <w:lang w:val="en-US" w:eastAsia="ko-KR"/>
        </w:rPr>
        <w:t>+</w:t>
      </w:r>
      <w:r w:rsidR="00CA6673" w:rsidRPr="00CA6673">
        <w:rPr>
          <w:i/>
          <w:lang w:val="en-US" w:eastAsia="ko-KR"/>
        </w:rPr>
        <w:t>N</w:t>
      </w:r>
      <w:r w:rsidR="00CA6673">
        <w:rPr>
          <w:lang w:val="en-US" w:eastAsia="ko-KR"/>
        </w:rPr>
        <w:t>-1}</w:t>
      </w:r>
      <w:r w:rsidR="006F1168">
        <w:rPr>
          <w:lang w:val="en-US" w:eastAsia="ko-KR"/>
        </w:rPr>
        <w:t xml:space="preserve">. In </w:t>
      </w:r>
      <w:r w:rsidR="006F1168">
        <w:rPr>
          <w:lang w:val="en-US" w:eastAsia="ko-KR"/>
        </w:rPr>
        <w:lastRenderedPageBreak/>
        <w:t>the SSBs pool, {SSB #0, SSB #1, …, SSB #</w:t>
      </w:r>
      <w:r w:rsidR="006F1168" w:rsidRPr="006F1168">
        <w:rPr>
          <w:i/>
          <w:lang w:val="en-US" w:eastAsia="ko-KR"/>
        </w:rPr>
        <w:t>N</w:t>
      </w:r>
      <w:r w:rsidR="006F1168">
        <w:rPr>
          <w:lang w:val="en-US" w:eastAsia="ko-KR"/>
        </w:rPr>
        <w:t>-1} correspond to the original {SSB-1 #0, SSB-1 #1, …, SSB-1 #</w:t>
      </w:r>
      <w:r w:rsidR="006F1168" w:rsidRPr="006F1168">
        <w:rPr>
          <w:i/>
          <w:lang w:val="en-US" w:eastAsia="ko-KR"/>
        </w:rPr>
        <w:t>N</w:t>
      </w:r>
      <w:r w:rsidR="006F1168">
        <w:rPr>
          <w:lang w:val="en-US" w:eastAsia="ko-KR"/>
        </w:rPr>
        <w:t xml:space="preserve">-1} from the serving-cell TRP-1, while </w:t>
      </w:r>
      <w:r w:rsidR="006F1168">
        <w:rPr>
          <w:lang w:val="en-US" w:eastAsia="ko-KR"/>
        </w:rPr>
        <w:t>{SSB</w:t>
      </w:r>
      <w:r w:rsidR="006F1168">
        <w:rPr>
          <w:lang w:val="en-US" w:eastAsia="ko-KR"/>
        </w:rPr>
        <w:t xml:space="preserve"> </w:t>
      </w:r>
      <w:r w:rsidR="006F1168">
        <w:rPr>
          <w:lang w:val="en-US" w:eastAsia="ko-KR"/>
        </w:rPr>
        <w:t>#</w:t>
      </w:r>
      <w:r w:rsidR="006F1168" w:rsidRPr="006F1168">
        <w:rPr>
          <w:i/>
          <w:lang w:val="en-US" w:eastAsia="ko-KR"/>
        </w:rPr>
        <w:t>N</w:t>
      </w:r>
      <w:r w:rsidR="006F1168">
        <w:rPr>
          <w:lang w:val="en-US" w:eastAsia="ko-KR"/>
        </w:rPr>
        <w:t>, SSB</w:t>
      </w:r>
      <w:r w:rsidR="006F1168">
        <w:rPr>
          <w:lang w:val="en-US" w:eastAsia="ko-KR"/>
        </w:rPr>
        <w:t xml:space="preserve"> </w:t>
      </w:r>
      <w:r w:rsidR="006F1168">
        <w:rPr>
          <w:lang w:val="en-US" w:eastAsia="ko-KR"/>
        </w:rPr>
        <w:t>#</w:t>
      </w:r>
      <w:r w:rsidR="006F1168" w:rsidRPr="006F1168">
        <w:rPr>
          <w:i/>
          <w:lang w:val="en-US" w:eastAsia="ko-KR"/>
        </w:rPr>
        <w:t>N</w:t>
      </w:r>
      <w:r w:rsidR="006F1168">
        <w:rPr>
          <w:lang w:val="en-US" w:eastAsia="ko-KR"/>
        </w:rPr>
        <w:t>+</w:t>
      </w:r>
      <w:r w:rsidR="006F1168">
        <w:rPr>
          <w:lang w:val="en-US" w:eastAsia="ko-KR"/>
        </w:rPr>
        <w:t>1, …, SSB #</w:t>
      </w:r>
      <w:r w:rsidR="006F1168" w:rsidRPr="006F1168">
        <w:rPr>
          <w:i/>
          <w:lang w:val="en-US" w:eastAsia="ko-KR"/>
        </w:rPr>
        <w:t>M</w:t>
      </w:r>
      <w:r w:rsidR="006F1168">
        <w:rPr>
          <w:lang w:val="en-US" w:eastAsia="ko-KR"/>
        </w:rPr>
        <w:t>+</w:t>
      </w:r>
      <w:r w:rsidR="006F1168" w:rsidRPr="006F1168">
        <w:rPr>
          <w:i/>
          <w:lang w:val="en-US" w:eastAsia="ko-KR"/>
        </w:rPr>
        <w:t>N</w:t>
      </w:r>
      <w:r w:rsidR="006F1168">
        <w:rPr>
          <w:lang w:val="en-US" w:eastAsia="ko-KR"/>
        </w:rPr>
        <w:t>-1} correspond to the original {SSB-</w:t>
      </w:r>
      <w:r w:rsidR="006F1168">
        <w:rPr>
          <w:lang w:val="en-US" w:eastAsia="ko-KR"/>
        </w:rPr>
        <w:t>2</w:t>
      </w:r>
      <w:r w:rsidR="006F1168">
        <w:rPr>
          <w:lang w:val="en-US" w:eastAsia="ko-KR"/>
        </w:rPr>
        <w:t xml:space="preserve"> #0, SSB-</w:t>
      </w:r>
      <w:r w:rsidR="006F1168">
        <w:rPr>
          <w:lang w:val="en-US" w:eastAsia="ko-KR"/>
        </w:rPr>
        <w:t>2</w:t>
      </w:r>
      <w:r w:rsidR="006F1168">
        <w:rPr>
          <w:lang w:val="en-US" w:eastAsia="ko-KR"/>
        </w:rPr>
        <w:t xml:space="preserve"> #1, …, SSB-</w:t>
      </w:r>
      <w:r w:rsidR="006F1168">
        <w:rPr>
          <w:lang w:val="en-US" w:eastAsia="ko-KR"/>
        </w:rPr>
        <w:t>2</w:t>
      </w:r>
      <w:r w:rsidR="006F1168">
        <w:rPr>
          <w:lang w:val="en-US" w:eastAsia="ko-KR"/>
        </w:rPr>
        <w:t xml:space="preserve"> #</w:t>
      </w:r>
      <w:r w:rsidR="006F1168">
        <w:rPr>
          <w:i/>
          <w:lang w:val="en-US" w:eastAsia="ko-KR"/>
        </w:rPr>
        <w:t>M</w:t>
      </w:r>
      <w:r w:rsidR="006F1168">
        <w:rPr>
          <w:lang w:val="en-US" w:eastAsia="ko-KR"/>
        </w:rPr>
        <w:t xml:space="preserve">-1} from the </w:t>
      </w:r>
      <w:r w:rsidR="006F1168">
        <w:rPr>
          <w:lang w:val="en-US" w:eastAsia="ko-KR"/>
        </w:rPr>
        <w:t>non-</w:t>
      </w:r>
      <w:r w:rsidR="006F1168">
        <w:rPr>
          <w:lang w:val="en-US" w:eastAsia="ko-KR"/>
        </w:rPr>
        <w:t xml:space="preserve">serving-cell </w:t>
      </w:r>
      <w:r w:rsidR="006F1168">
        <w:rPr>
          <w:lang w:val="en-US" w:eastAsia="ko-KR"/>
        </w:rPr>
        <w:t>TRP-2. For instance, if SSB #</w:t>
      </w:r>
      <w:r w:rsidR="006F1168" w:rsidRPr="006F1168">
        <w:rPr>
          <w:i/>
          <w:lang w:val="en-US" w:eastAsia="ko-KR"/>
        </w:rPr>
        <w:t>N</w:t>
      </w:r>
      <w:r w:rsidR="006F1168">
        <w:rPr>
          <w:lang w:val="en-US" w:eastAsia="ko-KR"/>
        </w:rPr>
        <w:t xml:space="preserve"> is indicated in the TCI state, the UE would know that SSB-2 #0 from the non-serving-cell TRP-2 is actually indicated</w:t>
      </w:r>
      <w:r w:rsidR="00AA4014">
        <w:rPr>
          <w:lang w:val="en-US" w:eastAsia="ko-KR"/>
        </w:rPr>
        <w:t xml:space="preserve"> as the QCL source</w:t>
      </w:r>
      <w:r w:rsidR="006F1168">
        <w:rPr>
          <w:lang w:val="en-US" w:eastAsia="ko-KR"/>
        </w:rPr>
        <w:t>.</w:t>
      </w:r>
      <w:r w:rsidR="00AA4014">
        <w:rPr>
          <w:lang w:val="en-US" w:eastAsia="ko-KR"/>
        </w:rPr>
        <w:t xml:space="preserve"> It is evident from Figure 2 that by applying the proposed SSB re-indexing method, the UE could easily identify</w:t>
      </w:r>
      <w:r w:rsidR="00CF0E0E">
        <w:rPr>
          <w:lang w:val="en-US" w:eastAsia="ko-KR"/>
        </w:rPr>
        <w:t>/differentiate</w:t>
      </w:r>
      <w:r w:rsidR="00AA4014">
        <w:rPr>
          <w:lang w:val="en-US" w:eastAsia="ko-KR"/>
        </w:rPr>
        <w:t xml:space="preserve"> the SSBs from the non-serving-cell TRP from those from the serving-cell TRP without relying on any additional information in the TCI state.</w:t>
      </w:r>
    </w:p>
    <w:p w14:paraId="1703EAF5" w14:textId="178D3F29" w:rsidR="00C91A3B" w:rsidRPr="00EC0BE5" w:rsidRDefault="00C77C50" w:rsidP="006F1168">
      <w:pPr>
        <w:pStyle w:val="0Maintext"/>
        <w:spacing w:after="60" w:afterAutospacing="0"/>
        <w:ind w:leftChars="129" w:left="284" w:firstLine="0"/>
        <w:rPr>
          <w:b/>
          <w:lang w:val="en-US" w:eastAsia="ko-KR"/>
        </w:rPr>
      </w:pPr>
      <w:r w:rsidRPr="00C77C50">
        <w:rPr>
          <w:b/>
          <w:lang w:val="en-US" w:eastAsia="ko-KR"/>
        </w:rPr>
        <w:t xml:space="preserve">Proposal 2: </w:t>
      </w:r>
      <w:r w:rsidR="006F1168">
        <w:rPr>
          <w:i/>
          <w:lang w:val="en-US" w:eastAsia="ko-KR"/>
        </w:rPr>
        <w:t>Apply SSB re-indexing to the SSBs from the non-serving-cell TRP</w:t>
      </w:r>
      <w:r w:rsidR="00670D06">
        <w:rPr>
          <w:i/>
          <w:lang w:val="en-US" w:eastAsia="ko-KR"/>
        </w:rPr>
        <w:t>. If a SSB from the non-serving-cell TRP is used as the QCL source RS, its new index, i.e., after applying the SSB re-indexing</w:t>
      </w:r>
      <w:r w:rsidR="00AA4014">
        <w:rPr>
          <w:i/>
          <w:lang w:val="en-US" w:eastAsia="ko-KR"/>
        </w:rPr>
        <w:t xml:space="preserve"> over its original index</w:t>
      </w:r>
      <w:r w:rsidR="00670D06">
        <w:rPr>
          <w:i/>
          <w:lang w:val="en-US" w:eastAsia="ko-KR"/>
        </w:rPr>
        <w:t>, is indicated in the TCI state.</w:t>
      </w:r>
    </w:p>
    <w:p w14:paraId="53D6CE5D" w14:textId="4E273B03" w:rsidR="00F5164D" w:rsidRDefault="00181920" w:rsidP="00133F82">
      <w:pPr>
        <w:pStyle w:val="Heading1"/>
        <w:rPr>
          <w:sz w:val="28"/>
          <w:lang w:val="en-US"/>
        </w:rPr>
      </w:pPr>
      <w:r>
        <w:rPr>
          <w:sz w:val="28"/>
          <w:lang w:val="en-US"/>
        </w:rPr>
        <w:t>Conclusion</w:t>
      </w:r>
    </w:p>
    <w:p w14:paraId="2F3D2B37" w14:textId="1BFA3467" w:rsidR="00C031ED" w:rsidRDefault="00C031ED" w:rsidP="00C031ED">
      <w:pPr>
        <w:pStyle w:val="0Maintext"/>
        <w:spacing w:after="60" w:afterAutospacing="0"/>
        <w:rPr>
          <w:lang w:val="en-US" w:eastAsia="ko-KR"/>
        </w:rPr>
      </w:pPr>
      <w:r>
        <w:rPr>
          <w:lang w:val="en-US" w:eastAsia="ko-KR"/>
        </w:rPr>
        <w:t xml:space="preserve">In this contribution, </w:t>
      </w:r>
      <w:r w:rsidR="00C77C50">
        <w:rPr>
          <w:lang w:val="en-US" w:eastAsia="ko-KR"/>
        </w:rPr>
        <w:t>we provide the following proposals regarding Rel. 17 QCL enhancements for inter-cell multi-TRP</w:t>
      </w:r>
      <w:r>
        <w:rPr>
          <w:lang w:val="en-US" w:eastAsia="ko-KR"/>
        </w:rPr>
        <w:t xml:space="preserve">: </w:t>
      </w:r>
    </w:p>
    <w:p w14:paraId="32D36E4A" w14:textId="77777777" w:rsidR="00AA4014" w:rsidRDefault="00AA4014" w:rsidP="00AA4014">
      <w:pPr>
        <w:pStyle w:val="0Maintext"/>
        <w:spacing w:after="60" w:afterAutospacing="0"/>
        <w:ind w:leftChars="129" w:left="284" w:firstLine="0"/>
        <w:rPr>
          <w:i/>
          <w:lang w:val="en-US" w:eastAsia="ko-KR"/>
        </w:rPr>
      </w:pPr>
      <w:r w:rsidRPr="00C77C50">
        <w:rPr>
          <w:b/>
          <w:lang w:val="en-US" w:eastAsia="ko-KR"/>
        </w:rPr>
        <w:t xml:space="preserve">Proposal 1: </w:t>
      </w:r>
      <w:r>
        <w:rPr>
          <w:i/>
          <w:lang w:val="en-US" w:eastAsia="ko-KR"/>
        </w:rPr>
        <w:t>Support t</w:t>
      </w:r>
      <w:r w:rsidRPr="00C77C50">
        <w:rPr>
          <w:i/>
          <w:lang w:val="en-US" w:eastAsia="ko-KR"/>
        </w:rPr>
        <w:t xml:space="preserve">he </w:t>
      </w:r>
      <w:r>
        <w:rPr>
          <w:i/>
          <w:lang w:val="en-US" w:eastAsia="ko-KR"/>
        </w:rPr>
        <w:t xml:space="preserve">use of </w:t>
      </w:r>
      <w:r w:rsidRPr="00C77C50">
        <w:rPr>
          <w:i/>
          <w:lang w:val="en-US" w:eastAsia="ko-KR"/>
        </w:rPr>
        <w:t>SSBs from the serving-cell TRP as the QCL source/reference for the downlink transmissions from the non-serving-cell TRP depending on the QCL type</w:t>
      </w:r>
    </w:p>
    <w:p w14:paraId="743AD9FB" w14:textId="77777777" w:rsidR="00AA4014" w:rsidRDefault="00AA4014" w:rsidP="00AA4014">
      <w:pPr>
        <w:pStyle w:val="0Maintext"/>
        <w:numPr>
          <w:ilvl w:val="0"/>
          <w:numId w:val="14"/>
        </w:numPr>
        <w:spacing w:after="60" w:afterAutospacing="0"/>
        <w:rPr>
          <w:i/>
          <w:lang w:val="en-US" w:eastAsia="ko-KR"/>
        </w:rPr>
      </w:pPr>
      <w:r>
        <w:rPr>
          <w:i/>
          <w:lang w:val="en-US" w:eastAsia="ko-KR"/>
        </w:rPr>
        <w:t>T</w:t>
      </w:r>
      <w:r w:rsidRPr="00C77C50">
        <w:rPr>
          <w:i/>
          <w:lang w:val="en-US" w:eastAsia="ko-KR"/>
        </w:rPr>
        <w:t>he information of the SSBs from the non-serving-cell TRP may need to be available at the UE, and their monitoring/measurement procedure may also need to be specified.</w:t>
      </w:r>
    </w:p>
    <w:p w14:paraId="10C96EDE" w14:textId="77777777" w:rsidR="00AA4014" w:rsidRPr="005D1050" w:rsidRDefault="00AA4014" w:rsidP="00AA4014">
      <w:pPr>
        <w:pStyle w:val="0Maintext"/>
        <w:numPr>
          <w:ilvl w:val="0"/>
          <w:numId w:val="14"/>
        </w:numPr>
        <w:spacing w:after="60" w:afterAutospacing="0"/>
        <w:rPr>
          <w:i/>
          <w:lang w:val="en-US" w:eastAsia="ko-KR"/>
        </w:rPr>
      </w:pPr>
      <w:r>
        <w:rPr>
          <w:i/>
          <w:lang w:val="en-US" w:eastAsia="ko-KR"/>
        </w:rPr>
        <w:t>For QCL-</w:t>
      </w:r>
      <w:proofErr w:type="spellStart"/>
      <w:r>
        <w:rPr>
          <w:i/>
          <w:lang w:val="en-US" w:eastAsia="ko-KR"/>
        </w:rPr>
        <w:t>typeD</w:t>
      </w:r>
      <w:proofErr w:type="spellEnd"/>
      <w:r>
        <w:rPr>
          <w:i/>
          <w:lang w:val="en-US" w:eastAsia="ko-KR"/>
        </w:rPr>
        <w:t xml:space="preserve">, the SSBs from the non-serving-cell TRP should be the only QCL source for the DL transmission, e.g., a TRS, from the non-serving-cell TRP.  </w:t>
      </w:r>
    </w:p>
    <w:p w14:paraId="1AAEF7B8" w14:textId="77777777" w:rsidR="00AA4014" w:rsidRPr="00C77C50" w:rsidRDefault="00AA4014" w:rsidP="00AA4014">
      <w:pPr>
        <w:pStyle w:val="0Maintext"/>
        <w:numPr>
          <w:ilvl w:val="0"/>
          <w:numId w:val="14"/>
        </w:numPr>
        <w:spacing w:after="60" w:afterAutospacing="0"/>
        <w:rPr>
          <w:i/>
          <w:lang w:val="en-US" w:eastAsia="ko-KR"/>
        </w:rPr>
      </w:pPr>
      <w:r>
        <w:rPr>
          <w:i/>
          <w:lang w:val="en-US" w:eastAsia="ko-KR"/>
        </w:rPr>
        <w:t>For other QCL types than QCL-</w:t>
      </w:r>
      <w:proofErr w:type="spellStart"/>
      <w:r>
        <w:rPr>
          <w:i/>
          <w:lang w:val="en-US" w:eastAsia="ko-KR"/>
        </w:rPr>
        <w:t>typeD</w:t>
      </w:r>
      <w:proofErr w:type="spellEnd"/>
      <w:r>
        <w:rPr>
          <w:i/>
          <w:lang w:val="en-US" w:eastAsia="ko-KR"/>
        </w:rPr>
        <w:t xml:space="preserve">, the SSBs from the serving-cell TRP could be used as the QCL source for the DL transmission, e.g., a TRS, from the non-serving-cell TRP. </w:t>
      </w:r>
    </w:p>
    <w:p w14:paraId="29653D17" w14:textId="345E63C1" w:rsidR="00AA4014" w:rsidRPr="00EC0BE5" w:rsidRDefault="00AA4014" w:rsidP="00AA4014">
      <w:pPr>
        <w:pStyle w:val="0Maintext"/>
        <w:spacing w:after="60" w:afterAutospacing="0"/>
        <w:ind w:leftChars="129" w:left="284" w:firstLine="0"/>
        <w:rPr>
          <w:b/>
          <w:lang w:val="en-US" w:eastAsia="ko-KR"/>
        </w:rPr>
      </w:pPr>
      <w:r w:rsidRPr="00C77C50">
        <w:rPr>
          <w:b/>
          <w:lang w:val="en-US" w:eastAsia="ko-KR"/>
        </w:rPr>
        <w:t xml:space="preserve">Proposal 2: </w:t>
      </w:r>
      <w:r>
        <w:rPr>
          <w:i/>
          <w:lang w:val="en-US" w:eastAsia="ko-KR"/>
        </w:rPr>
        <w:t>Apply SSB re-indexing to the SSBs from the non-serving-cell TRP. If a SSB from the non-serving-cell TRP is used as the QCL source RS, its new index, i.e., after applying the SSB re-indexing</w:t>
      </w:r>
      <w:r w:rsidR="00CF0E0E">
        <w:rPr>
          <w:i/>
          <w:lang w:val="en-US" w:eastAsia="ko-KR"/>
        </w:rPr>
        <w:t xml:space="preserve"> over its original index</w:t>
      </w:r>
      <w:r>
        <w:rPr>
          <w:i/>
          <w:lang w:val="en-US" w:eastAsia="ko-KR"/>
        </w:rPr>
        <w:t>, is indicated in the TCI state.</w:t>
      </w:r>
    </w:p>
    <w:p w14:paraId="520FC212" w14:textId="56479464" w:rsidR="00B10B31" w:rsidRPr="00CF0E0E" w:rsidRDefault="00C77C50" w:rsidP="00CF0E0E">
      <w:pPr>
        <w:pStyle w:val="0Maintext"/>
        <w:spacing w:after="60" w:afterAutospacing="0"/>
        <w:ind w:leftChars="129" w:left="284" w:firstLine="0"/>
        <w:rPr>
          <w:b/>
          <w:lang w:val="en-US" w:eastAsia="ko-KR"/>
        </w:rPr>
      </w:pPr>
      <w:r w:rsidRPr="00C77C50">
        <w:rPr>
          <w:b/>
          <w:lang w:val="en-US" w:eastAsia="ko-KR"/>
        </w:rPr>
        <w:t xml:space="preserve">     </w:t>
      </w:r>
      <w:bookmarkStart w:id="2" w:name="_GoBack"/>
      <w:bookmarkEnd w:id="2"/>
    </w:p>
    <w:p w14:paraId="7EF669F0" w14:textId="77777777" w:rsidR="000F762B" w:rsidRPr="00824037" w:rsidRDefault="000F762B" w:rsidP="00FB6F1A">
      <w:pPr>
        <w:pStyle w:val="Heading1"/>
        <w:spacing w:before="0"/>
        <w:jc w:val="both"/>
        <w:rPr>
          <w:sz w:val="28"/>
          <w:lang w:val="en-US"/>
        </w:rPr>
      </w:pPr>
      <w:r w:rsidRPr="00824037">
        <w:rPr>
          <w:sz w:val="28"/>
          <w:lang w:val="en-US"/>
        </w:rPr>
        <w:t>References</w:t>
      </w:r>
    </w:p>
    <w:p w14:paraId="43625A1B" w14:textId="674E466B" w:rsidR="00B10B31" w:rsidRDefault="001D56C6" w:rsidP="00C77C50">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3"/>
      <w:bookmarkEnd w:id="4"/>
    </w:p>
    <w:p w14:paraId="40F060E5" w14:textId="07EF2175" w:rsidR="000C13EF" w:rsidRPr="00C77C50" w:rsidRDefault="000C13EF" w:rsidP="00C77C50">
      <w:pPr>
        <w:pStyle w:val="2222"/>
        <w:numPr>
          <w:ilvl w:val="0"/>
          <w:numId w:val="5"/>
        </w:numPr>
        <w:spacing w:after="120" w:line="288" w:lineRule="auto"/>
        <w:ind w:firstLineChars="0"/>
        <w:rPr>
          <w:sz w:val="20"/>
          <w:lang w:val="en-US" w:eastAsia="ko-KR"/>
        </w:rPr>
      </w:pPr>
      <w:r>
        <w:rPr>
          <w:sz w:val="20"/>
          <w:lang w:val="en-US" w:eastAsia="ko-KR"/>
        </w:rPr>
        <w:t>3GPP RAN1 #102-e, R1-2007313, Moderator (vivo), Feature lead summary on enhancements on multi-TRP inter-cell operation</w:t>
      </w:r>
    </w:p>
    <w:sectPr w:rsidR="000C13EF" w:rsidRPr="00C77C50" w:rsidSect="00667E9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4F2AA" w14:textId="77777777" w:rsidR="00FC3C76" w:rsidRDefault="00FC3C76">
      <w:r>
        <w:separator/>
      </w:r>
    </w:p>
  </w:endnote>
  <w:endnote w:type="continuationSeparator" w:id="0">
    <w:p w14:paraId="4DDBBAAD" w14:textId="77777777" w:rsidR="00FC3C76" w:rsidRDefault="00FC3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A4961" w14:textId="77777777" w:rsidR="00FC3C76" w:rsidRDefault="00FC3C76">
      <w:r>
        <w:separator/>
      </w:r>
    </w:p>
  </w:footnote>
  <w:footnote w:type="continuationSeparator" w:id="0">
    <w:p w14:paraId="6CEC0FA0" w14:textId="77777777" w:rsidR="00FC3C76" w:rsidRDefault="00FC3C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260B3B" w:rsidRDefault="00260B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1C2711"/>
    <w:multiLevelType w:val="hybridMultilevel"/>
    <w:tmpl w:val="1C6472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D526D98"/>
    <w:multiLevelType w:val="hybridMultilevel"/>
    <w:tmpl w:val="42C29D00"/>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5"/>
  </w:num>
  <w:num w:numId="2">
    <w:abstractNumId w:val="6"/>
  </w:num>
  <w:num w:numId="3">
    <w:abstractNumId w:val="10"/>
  </w:num>
  <w:num w:numId="4">
    <w:abstractNumId w:val="14"/>
  </w:num>
  <w:num w:numId="5">
    <w:abstractNumId w:val="2"/>
  </w:num>
  <w:num w:numId="6">
    <w:abstractNumId w:val="1"/>
  </w:num>
  <w:num w:numId="7">
    <w:abstractNumId w:val="12"/>
  </w:num>
  <w:num w:numId="8">
    <w:abstractNumId w:val="1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3"/>
  </w:num>
  <w:num w:numId="13">
    <w:abstractNumId w:val="4"/>
  </w:num>
  <w:num w:numId="14">
    <w:abstractNumId w:val="8"/>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0E"/>
    <w:rsid w:val="00004DEA"/>
    <w:rsid w:val="00005088"/>
    <w:rsid w:val="0000533A"/>
    <w:rsid w:val="000054BE"/>
    <w:rsid w:val="000055F1"/>
    <w:rsid w:val="00005774"/>
    <w:rsid w:val="0000598C"/>
    <w:rsid w:val="000059F5"/>
    <w:rsid w:val="00006008"/>
    <w:rsid w:val="000062E7"/>
    <w:rsid w:val="0000677A"/>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505"/>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9E0"/>
    <w:rsid w:val="00057CB5"/>
    <w:rsid w:val="00060151"/>
    <w:rsid w:val="00060156"/>
    <w:rsid w:val="00060242"/>
    <w:rsid w:val="000602CC"/>
    <w:rsid w:val="000603A5"/>
    <w:rsid w:val="0006060C"/>
    <w:rsid w:val="00060660"/>
    <w:rsid w:val="00060BA8"/>
    <w:rsid w:val="00061035"/>
    <w:rsid w:val="000611B9"/>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922"/>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2D5"/>
    <w:rsid w:val="000855D9"/>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A9D"/>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1725"/>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DA"/>
    <w:rsid w:val="000C13EF"/>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538"/>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98F"/>
    <w:rsid w:val="00180AD4"/>
    <w:rsid w:val="001810D7"/>
    <w:rsid w:val="001811BE"/>
    <w:rsid w:val="001811F6"/>
    <w:rsid w:val="00181489"/>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7AB"/>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17E9"/>
    <w:rsid w:val="00202049"/>
    <w:rsid w:val="0020212E"/>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DCD"/>
    <w:rsid w:val="00266E3B"/>
    <w:rsid w:val="002670A0"/>
    <w:rsid w:val="002676D3"/>
    <w:rsid w:val="0026775D"/>
    <w:rsid w:val="002679C3"/>
    <w:rsid w:val="0027044A"/>
    <w:rsid w:val="0027050B"/>
    <w:rsid w:val="00270ACA"/>
    <w:rsid w:val="00270B63"/>
    <w:rsid w:val="00271226"/>
    <w:rsid w:val="002713DA"/>
    <w:rsid w:val="002714B9"/>
    <w:rsid w:val="00271ABA"/>
    <w:rsid w:val="00271FF9"/>
    <w:rsid w:val="002724C1"/>
    <w:rsid w:val="00272B9F"/>
    <w:rsid w:val="00272C69"/>
    <w:rsid w:val="00272E51"/>
    <w:rsid w:val="00273861"/>
    <w:rsid w:val="002738B0"/>
    <w:rsid w:val="002738CD"/>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ACD"/>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B24"/>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0CEE"/>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19E"/>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8FF"/>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9CE"/>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2D0"/>
    <w:rsid w:val="00424A64"/>
    <w:rsid w:val="00424A72"/>
    <w:rsid w:val="00424D6E"/>
    <w:rsid w:val="004251C3"/>
    <w:rsid w:val="004254A1"/>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1BFC"/>
    <w:rsid w:val="004A1E0B"/>
    <w:rsid w:val="004A2162"/>
    <w:rsid w:val="004A22E4"/>
    <w:rsid w:val="004A2784"/>
    <w:rsid w:val="004A2B80"/>
    <w:rsid w:val="004A2F45"/>
    <w:rsid w:val="004A3338"/>
    <w:rsid w:val="004A340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B95"/>
    <w:rsid w:val="004C5D06"/>
    <w:rsid w:val="004C5FA3"/>
    <w:rsid w:val="004C5FE3"/>
    <w:rsid w:val="004C657C"/>
    <w:rsid w:val="004C6F31"/>
    <w:rsid w:val="004C7ECC"/>
    <w:rsid w:val="004D0173"/>
    <w:rsid w:val="004D026D"/>
    <w:rsid w:val="004D040B"/>
    <w:rsid w:val="004D061B"/>
    <w:rsid w:val="004D07C0"/>
    <w:rsid w:val="004D0B91"/>
    <w:rsid w:val="004D0FE7"/>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BBF"/>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2"/>
    <w:rsid w:val="00501CA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0DE0"/>
    <w:rsid w:val="0051122C"/>
    <w:rsid w:val="0051171F"/>
    <w:rsid w:val="005118DC"/>
    <w:rsid w:val="005119E7"/>
    <w:rsid w:val="00512229"/>
    <w:rsid w:val="00512337"/>
    <w:rsid w:val="005124A8"/>
    <w:rsid w:val="00512F3E"/>
    <w:rsid w:val="00513116"/>
    <w:rsid w:val="005137DA"/>
    <w:rsid w:val="005138F0"/>
    <w:rsid w:val="00513DF7"/>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B48"/>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050"/>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406"/>
    <w:rsid w:val="005E05B0"/>
    <w:rsid w:val="005E0651"/>
    <w:rsid w:val="005E0732"/>
    <w:rsid w:val="005E17AB"/>
    <w:rsid w:val="005E1D51"/>
    <w:rsid w:val="005E1F7E"/>
    <w:rsid w:val="005E2034"/>
    <w:rsid w:val="005E2846"/>
    <w:rsid w:val="005E2852"/>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34E"/>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3C4"/>
    <w:rsid w:val="00635587"/>
    <w:rsid w:val="006357C4"/>
    <w:rsid w:val="00635DCA"/>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573"/>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692"/>
    <w:rsid w:val="00664E5E"/>
    <w:rsid w:val="0066551F"/>
    <w:rsid w:val="006663DD"/>
    <w:rsid w:val="00666633"/>
    <w:rsid w:val="006668A7"/>
    <w:rsid w:val="006668CB"/>
    <w:rsid w:val="00666BAA"/>
    <w:rsid w:val="00666C91"/>
    <w:rsid w:val="00666CAD"/>
    <w:rsid w:val="00666E01"/>
    <w:rsid w:val="006671B9"/>
    <w:rsid w:val="006676C8"/>
    <w:rsid w:val="006678AE"/>
    <w:rsid w:val="00667E9F"/>
    <w:rsid w:val="0067017F"/>
    <w:rsid w:val="006702B8"/>
    <w:rsid w:val="006705A1"/>
    <w:rsid w:val="00670D06"/>
    <w:rsid w:val="00670F1B"/>
    <w:rsid w:val="006710B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69C"/>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3F10"/>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27C"/>
    <w:rsid w:val="006A76EA"/>
    <w:rsid w:val="006B07D4"/>
    <w:rsid w:val="006B10D8"/>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777"/>
    <w:rsid w:val="006F0969"/>
    <w:rsid w:val="006F0CB4"/>
    <w:rsid w:val="006F1168"/>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46"/>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A63"/>
    <w:rsid w:val="00770E92"/>
    <w:rsid w:val="007716AF"/>
    <w:rsid w:val="00771906"/>
    <w:rsid w:val="00771BF8"/>
    <w:rsid w:val="00771C2E"/>
    <w:rsid w:val="00771F90"/>
    <w:rsid w:val="00772158"/>
    <w:rsid w:val="00773BD6"/>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6A3"/>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813"/>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EB"/>
    <w:rsid w:val="007C26E3"/>
    <w:rsid w:val="007C2817"/>
    <w:rsid w:val="007C28FF"/>
    <w:rsid w:val="007C2DFB"/>
    <w:rsid w:val="007C2F0C"/>
    <w:rsid w:val="007C3098"/>
    <w:rsid w:val="007C32C3"/>
    <w:rsid w:val="007C33A8"/>
    <w:rsid w:val="007C3593"/>
    <w:rsid w:val="007C35B4"/>
    <w:rsid w:val="007C3791"/>
    <w:rsid w:val="007C4099"/>
    <w:rsid w:val="007C40A7"/>
    <w:rsid w:val="007C440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6DF"/>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BF8"/>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56"/>
    <w:rsid w:val="008348F8"/>
    <w:rsid w:val="008349CE"/>
    <w:rsid w:val="00834E69"/>
    <w:rsid w:val="008353DB"/>
    <w:rsid w:val="00835CD4"/>
    <w:rsid w:val="0083619F"/>
    <w:rsid w:val="0083669C"/>
    <w:rsid w:val="00836BF4"/>
    <w:rsid w:val="00836E06"/>
    <w:rsid w:val="0083716A"/>
    <w:rsid w:val="008371E6"/>
    <w:rsid w:val="008371F9"/>
    <w:rsid w:val="00837A49"/>
    <w:rsid w:val="00837E33"/>
    <w:rsid w:val="00840022"/>
    <w:rsid w:val="00840029"/>
    <w:rsid w:val="00840044"/>
    <w:rsid w:val="008403DA"/>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2A"/>
    <w:rsid w:val="008542AA"/>
    <w:rsid w:val="0085454A"/>
    <w:rsid w:val="00854619"/>
    <w:rsid w:val="0085484C"/>
    <w:rsid w:val="00854CC4"/>
    <w:rsid w:val="00854DA1"/>
    <w:rsid w:val="00854EB1"/>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87E"/>
    <w:rsid w:val="00882A58"/>
    <w:rsid w:val="008830D9"/>
    <w:rsid w:val="008835D0"/>
    <w:rsid w:val="00884284"/>
    <w:rsid w:val="008843F0"/>
    <w:rsid w:val="00884465"/>
    <w:rsid w:val="008844A3"/>
    <w:rsid w:val="00884784"/>
    <w:rsid w:val="00884AB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6C"/>
    <w:rsid w:val="00955AEA"/>
    <w:rsid w:val="00955D6A"/>
    <w:rsid w:val="009564A8"/>
    <w:rsid w:val="00956F50"/>
    <w:rsid w:val="0095778B"/>
    <w:rsid w:val="00960311"/>
    <w:rsid w:val="009603B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58A"/>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69F"/>
    <w:rsid w:val="009879D8"/>
    <w:rsid w:val="00987AB9"/>
    <w:rsid w:val="00987ADA"/>
    <w:rsid w:val="00990DD9"/>
    <w:rsid w:val="00990FFB"/>
    <w:rsid w:val="00991371"/>
    <w:rsid w:val="00991477"/>
    <w:rsid w:val="00991532"/>
    <w:rsid w:val="009921C1"/>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EE2"/>
    <w:rsid w:val="009B23D0"/>
    <w:rsid w:val="009B245D"/>
    <w:rsid w:val="009B2524"/>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8F6"/>
    <w:rsid w:val="009C09A4"/>
    <w:rsid w:val="009C0CF2"/>
    <w:rsid w:val="009C0D1A"/>
    <w:rsid w:val="009C1A4B"/>
    <w:rsid w:val="009C1C7D"/>
    <w:rsid w:val="009C27D6"/>
    <w:rsid w:val="009C29B2"/>
    <w:rsid w:val="009C2A1C"/>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5C5"/>
    <w:rsid w:val="009D4F61"/>
    <w:rsid w:val="009D5246"/>
    <w:rsid w:val="009D528C"/>
    <w:rsid w:val="009D5499"/>
    <w:rsid w:val="009D5C82"/>
    <w:rsid w:val="009D5F0E"/>
    <w:rsid w:val="009D611C"/>
    <w:rsid w:val="009D6324"/>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4EE"/>
    <w:rsid w:val="00A176E7"/>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6D57"/>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1EA3"/>
    <w:rsid w:val="00A929E0"/>
    <w:rsid w:val="00A92D1B"/>
    <w:rsid w:val="00A930E9"/>
    <w:rsid w:val="00A9312C"/>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7C4"/>
    <w:rsid w:val="00AA396D"/>
    <w:rsid w:val="00AA3C60"/>
    <w:rsid w:val="00AA4014"/>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52"/>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C2D"/>
    <w:rsid w:val="00BC3F8D"/>
    <w:rsid w:val="00BC4515"/>
    <w:rsid w:val="00BC46D4"/>
    <w:rsid w:val="00BC56F0"/>
    <w:rsid w:val="00BC59CC"/>
    <w:rsid w:val="00BC5C92"/>
    <w:rsid w:val="00BC5ECA"/>
    <w:rsid w:val="00BC6862"/>
    <w:rsid w:val="00BC6B61"/>
    <w:rsid w:val="00BC6D48"/>
    <w:rsid w:val="00BC7215"/>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3B2"/>
    <w:rsid w:val="00BD35BB"/>
    <w:rsid w:val="00BD4462"/>
    <w:rsid w:val="00BD469E"/>
    <w:rsid w:val="00BD48FC"/>
    <w:rsid w:val="00BD4DE2"/>
    <w:rsid w:val="00BD4FC1"/>
    <w:rsid w:val="00BD5583"/>
    <w:rsid w:val="00BD6006"/>
    <w:rsid w:val="00BD688F"/>
    <w:rsid w:val="00BD6D28"/>
    <w:rsid w:val="00BD7209"/>
    <w:rsid w:val="00BD7345"/>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5EF5"/>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739"/>
    <w:rsid w:val="00C0390B"/>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15D"/>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AD5"/>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77C50"/>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673"/>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E0E"/>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346"/>
    <w:rsid w:val="00D06B44"/>
    <w:rsid w:val="00D06BC8"/>
    <w:rsid w:val="00D06CB7"/>
    <w:rsid w:val="00D06E17"/>
    <w:rsid w:val="00D07214"/>
    <w:rsid w:val="00D073F9"/>
    <w:rsid w:val="00D07B6D"/>
    <w:rsid w:val="00D07B94"/>
    <w:rsid w:val="00D07EC2"/>
    <w:rsid w:val="00D10244"/>
    <w:rsid w:val="00D102D1"/>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851"/>
    <w:rsid w:val="00D13C30"/>
    <w:rsid w:val="00D13F27"/>
    <w:rsid w:val="00D147F5"/>
    <w:rsid w:val="00D14C5D"/>
    <w:rsid w:val="00D154BD"/>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2C6"/>
    <w:rsid w:val="00D52808"/>
    <w:rsid w:val="00D52D11"/>
    <w:rsid w:val="00D53155"/>
    <w:rsid w:val="00D5332F"/>
    <w:rsid w:val="00D53472"/>
    <w:rsid w:val="00D53608"/>
    <w:rsid w:val="00D5392F"/>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326"/>
    <w:rsid w:val="00D83627"/>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741"/>
    <w:rsid w:val="00DB69FC"/>
    <w:rsid w:val="00DB6FDD"/>
    <w:rsid w:val="00DB70C5"/>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77B"/>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476"/>
    <w:rsid w:val="00DE0E5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3B6"/>
    <w:rsid w:val="00E048B1"/>
    <w:rsid w:val="00E048BA"/>
    <w:rsid w:val="00E05043"/>
    <w:rsid w:val="00E051D9"/>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F62"/>
    <w:rsid w:val="00E41046"/>
    <w:rsid w:val="00E41417"/>
    <w:rsid w:val="00E41660"/>
    <w:rsid w:val="00E41835"/>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E9"/>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0BE5"/>
    <w:rsid w:val="00EC18DF"/>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676C"/>
    <w:rsid w:val="00F173FD"/>
    <w:rsid w:val="00F1759B"/>
    <w:rsid w:val="00F176E6"/>
    <w:rsid w:val="00F17794"/>
    <w:rsid w:val="00F178FA"/>
    <w:rsid w:val="00F17960"/>
    <w:rsid w:val="00F17C78"/>
    <w:rsid w:val="00F2058B"/>
    <w:rsid w:val="00F20DB4"/>
    <w:rsid w:val="00F21090"/>
    <w:rsid w:val="00F21233"/>
    <w:rsid w:val="00F212AF"/>
    <w:rsid w:val="00F212BA"/>
    <w:rsid w:val="00F2158F"/>
    <w:rsid w:val="00F21743"/>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9C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59D3"/>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12F"/>
    <w:rsid w:val="00FA3276"/>
    <w:rsid w:val="00FA37F1"/>
    <w:rsid w:val="00FA3A73"/>
    <w:rsid w:val="00FA3E3F"/>
    <w:rsid w:val="00FA3F9D"/>
    <w:rsid w:val="00FA4978"/>
    <w:rsid w:val="00FA4BA9"/>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72E"/>
    <w:rsid w:val="00FB381D"/>
    <w:rsid w:val="00FB3959"/>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3C76"/>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F9D"/>
    <w:rsid w:val="00FE11A8"/>
    <w:rsid w:val="00FE1211"/>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AEB"/>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Caption Char2"/>
    <w:basedOn w:val="Normal"/>
    <w:next w:val="Normal"/>
    <w:link w:val="CaptionChar1"/>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Normal"/>
    <w:rsid w:val="00E82A31"/>
    <w:pPr>
      <w:overflowPunct w:val="0"/>
      <w:autoSpaceDE w:val="0"/>
      <w:autoSpaceDN w:val="0"/>
      <w:adjustRightInd w:val="0"/>
      <w:textAlignment w:val="baseline"/>
    </w:pPr>
    <w:rPr>
      <w:rFonts w:ascii="Arial" w:eastAsia="SimSun" w:hAnsi="Arial"/>
      <w:b/>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Presentation1.ppt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PowerPoint_Presentation.ppt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5C7B7-DE8B-4F1E-AF07-7C205A445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3</Pages>
  <Words>1326</Words>
  <Characters>7561</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8870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朱大琳/New Communication Technology /SRA/Engineer/삼성전자</cp:lastModifiedBy>
  <cp:revision>14</cp:revision>
  <cp:lastPrinted>2017-03-24T05:34:00Z</cp:lastPrinted>
  <dcterms:created xsi:type="dcterms:W3CDTF">2020-08-07T01:41:00Z</dcterms:created>
  <dcterms:modified xsi:type="dcterms:W3CDTF">2020-10-19T01:46:00Z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