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4C24592F" w14:textId="38BABFD5" w:rsidR="009C10BC" w:rsidRPr="0052548E" w:rsidRDefault="001759C2" w:rsidP="009C10BC">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9C10BC">
        <w:rPr>
          <w:rFonts w:ascii="Arial" w:hAnsi="Arial" w:cs="Arial"/>
          <w:b/>
          <w:bCs/>
          <w:sz w:val="28"/>
        </w:rPr>
        <w:t xml:space="preserve">2-e                                          </w:t>
      </w:r>
      <w:r w:rsidR="009C10BC">
        <w:rPr>
          <w:rFonts w:ascii="Arial" w:hAnsi="Arial" w:cs="Arial"/>
          <w:b/>
          <w:bCs/>
          <w:sz w:val="28"/>
        </w:rPr>
        <w:tab/>
        <w:t xml:space="preserve">         </w:t>
      </w:r>
      <w:r w:rsidR="009C10BC" w:rsidRPr="004B3E3F">
        <w:rPr>
          <w:rFonts w:ascii="Arial" w:hAnsi="Arial" w:cs="Arial"/>
          <w:b/>
          <w:bCs/>
          <w:sz w:val="28"/>
        </w:rPr>
        <w:t>R1-</w:t>
      </w:r>
      <w:r w:rsidR="009C10BC">
        <w:rPr>
          <w:rFonts w:ascii="Arial" w:hAnsi="Arial" w:cs="Arial"/>
          <w:b/>
          <w:bCs/>
          <w:sz w:val="28"/>
        </w:rPr>
        <w:t>20</w:t>
      </w:r>
      <w:r w:rsidR="00937384">
        <w:rPr>
          <w:rFonts w:ascii="Arial" w:hAnsi="Arial" w:cs="Arial"/>
          <w:b/>
          <w:bCs/>
          <w:sz w:val="28"/>
        </w:rPr>
        <w:t>06545</w:t>
      </w:r>
    </w:p>
    <w:p w14:paraId="297E339F" w14:textId="77777777" w:rsidR="009C10BC" w:rsidRPr="009513AC" w:rsidRDefault="009C10BC" w:rsidP="009C10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177CBE0" w14:textId="77777777" w:rsidR="00055D29" w:rsidRDefault="00055D29" w:rsidP="001759C2">
      <w:pPr>
        <w:spacing w:after="60"/>
        <w:ind w:left="1555" w:hanging="1555"/>
        <w:jc w:val="left"/>
        <w:rPr>
          <w:b/>
        </w:rPr>
      </w:pPr>
    </w:p>
    <w:p w14:paraId="094B4113" w14:textId="22DB305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B75243">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8DC62B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F66DC">
        <w:rPr>
          <w:rFonts w:ascii="Arial" w:eastAsia="宋体" w:hAnsi="Arial" w:cs="Arial"/>
          <w:b/>
          <w:sz w:val="24"/>
          <w:szCs w:val="20"/>
          <w:lang w:val="en-GB"/>
        </w:rPr>
        <w:t xml:space="preserve">Enhancement on Inter-cell </w:t>
      </w:r>
      <w:r w:rsidR="0046515E">
        <w:rPr>
          <w:rFonts w:ascii="Arial" w:eastAsia="宋体" w:hAnsi="Arial" w:cs="Arial"/>
          <w:b/>
          <w:sz w:val="24"/>
          <w:szCs w:val="20"/>
          <w:lang w:val="en-GB"/>
        </w:rPr>
        <w:t>M</w:t>
      </w:r>
      <w:r w:rsidR="0046515E" w:rsidRPr="00A437C0">
        <w:rPr>
          <w:rFonts w:ascii="Arial" w:eastAsia="宋体" w:hAnsi="Arial" w:cs="Arial"/>
          <w:b/>
          <w:sz w:val="24"/>
          <w:szCs w:val="20"/>
          <w:lang w:val="en-GB"/>
        </w:rPr>
        <w:t>ulti-</w:t>
      </w:r>
      <w:r w:rsidR="0046515E">
        <w:rPr>
          <w:rFonts w:ascii="Arial" w:eastAsia="宋体" w:hAnsi="Arial" w:cs="Arial"/>
          <w:b/>
          <w:sz w:val="24"/>
          <w:szCs w:val="20"/>
          <w:lang w:val="en-GB"/>
        </w:rPr>
        <w:t xml:space="preserve">TRP </w:t>
      </w:r>
      <w:r w:rsidR="00DF2BB6">
        <w:rPr>
          <w:rFonts w:ascii="Arial" w:eastAsia="宋体" w:hAnsi="Arial" w:cs="Arial"/>
          <w:b/>
          <w:sz w:val="24"/>
          <w:szCs w:val="20"/>
          <w:lang w:val="en-GB"/>
        </w:rPr>
        <w:t>operations</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0825F806" w:rsidR="00C3608D" w:rsidRDefault="00171035" w:rsidP="00C3608D">
      <w:pPr>
        <w:spacing w:after="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6A2BFC">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5DDFA03F" w14:textId="77777777" w:rsidR="00C3608D" w:rsidRDefault="00C3608D" w:rsidP="00C3608D">
      <w:pPr>
        <w:spacing w:after="0"/>
        <w:rPr>
          <w:lang w:eastAsia="ko-KR"/>
        </w:rPr>
      </w:pPr>
    </w:p>
    <w:p w14:paraId="67137058" w14:textId="77777777" w:rsidR="00C3608D" w:rsidRDefault="00C3608D" w:rsidP="00C3608D">
      <w:pPr>
        <w:numPr>
          <w:ilvl w:val="0"/>
          <w:numId w:val="16"/>
        </w:numPr>
        <w:overflowPunct w:val="0"/>
        <w:ind w:right="-99"/>
        <w:jc w:val="left"/>
        <w:rPr>
          <w:color w:val="000000"/>
          <w:lang w:eastAsia="ko-KR"/>
        </w:rPr>
      </w:pPr>
      <w:r w:rsidRPr="00401C76">
        <w:rPr>
          <w:color w:val="000000"/>
          <w:lang w:eastAsia="ko-KR"/>
        </w:rPr>
        <w:t>Extend specification support in the following areas [RAN1]</w:t>
      </w:r>
    </w:p>
    <w:p w14:paraId="6FC9C98A" w14:textId="77777777" w:rsidR="00C3608D" w:rsidRPr="0051690F" w:rsidRDefault="00C3608D" w:rsidP="00C3608D">
      <w:pPr>
        <w:pStyle w:val="af"/>
        <w:numPr>
          <w:ilvl w:val="0"/>
          <w:numId w:val="44"/>
        </w:numPr>
        <w:autoSpaceDE/>
        <w:autoSpaceDN/>
        <w:adjustRightInd/>
        <w:snapToGrid/>
        <w:spacing w:after="0"/>
        <w:ind w:left="720" w:firstLineChars="0"/>
      </w:pPr>
      <w:r w:rsidRPr="0051690F">
        <w:t xml:space="preserve">Enhancement on multi-beam operation, mainly targeting FR2 while also applicable to FR1: </w:t>
      </w:r>
    </w:p>
    <w:p w14:paraId="2B45B0B7" w14:textId="77777777" w:rsidR="00C3608D" w:rsidRPr="0051690F" w:rsidRDefault="00C3608D" w:rsidP="00C3608D">
      <w:pPr>
        <w:pStyle w:val="af"/>
        <w:numPr>
          <w:ilvl w:val="1"/>
          <w:numId w:val="44"/>
        </w:numPr>
        <w:autoSpaceDE/>
        <w:autoSpaceDN/>
        <w:adjustRightInd/>
        <w:snapToGrid/>
        <w:spacing w:after="0"/>
        <w:ind w:left="1440" w:firstLineChars="0"/>
      </w:pPr>
      <w:r w:rsidRPr="0051690F">
        <w:t>Identify and specify features to facilitate more efficient (lower latency and overhead) DL/UL beam management to support higher intra- and L1/L2-centric inter-cell mobility and/or a larger number of configured TCI states:</w:t>
      </w:r>
    </w:p>
    <w:p w14:paraId="2B992071" w14:textId="77777777" w:rsidR="00C3608D" w:rsidRPr="0051690F" w:rsidRDefault="00C3608D" w:rsidP="00C3608D">
      <w:pPr>
        <w:pStyle w:val="af"/>
        <w:numPr>
          <w:ilvl w:val="2"/>
          <w:numId w:val="44"/>
        </w:numPr>
        <w:autoSpaceDE/>
        <w:autoSpaceDN/>
        <w:adjustRightInd/>
        <w:snapToGrid/>
        <w:spacing w:after="0"/>
        <w:ind w:left="2160" w:firstLineChars="0"/>
      </w:pPr>
      <w:r>
        <w:t>C</w:t>
      </w:r>
      <w:r w:rsidRPr="0051690F">
        <w:t>ommon beam for data and control transmission/reception for DL and UL, especially for intra-band CA</w:t>
      </w:r>
    </w:p>
    <w:p w14:paraId="2C7E5F3A" w14:textId="77777777" w:rsidR="00C3608D" w:rsidRPr="0051690F" w:rsidRDefault="00C3608D" w:rsidP="00C3608D">
      <w:pPr>
        <w:pStyle w:val="af"/>
        <w:numPr>
          <w:ilvl w:val="2"/>
          <w:numId w:val="44"/>
        </w:numPr>
        <w:autoSpaceDE/>
        <w:autoSpaceDN/>
        <w:adjustRightInd/>
        <w:snapToGrid/>
        <w:spacing w:after="0"/>
        <w:ind w:left="2160" w:firstLineChars="0"/>
      </w:pPr>
      <w:r w:rsidRPr="0051690F">
        <w:t>Unified TCI framework for DL</w:t>
      </w:r>
      <w:r>
        <w:t xml:space="preserve"> and </w:t>
      </w:r>
      <w:r w:rsidRPr="0051690F">
        <w:t>UL beam indication</w:t>
      </w:r>
    </w:p>
    <w:p w14:paraId="0717F530" w14:textId="77777777" w:rsidR="00C3608D" w:rsidRPr="0051690F" w:rsidRDefault="00C3608D" w:rsidP="00C3608D">
      <w:pPr>
        <w:pStyle w:val="af"/>
        <w:numPr>
          <w:ilvl w:val="2"/>
          <w:numId w:val="44"/>
        </w:numPr>
        <w:autoSpaceDE/>
        <w:autoSpaceDN/>
        <w:adjustRightInd/>
        <w:snapToGrid/>
        <w:spacing w:after="0"/>
        <w:ind w:left="2160" w:firstLineChars="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3D25DFFF" w14:textId="77777777" w:rsidR="00C3608D" w:rsidRPr="0051690F" w:rsidRDefault="00C3608D" w:rsidP="00C3608D">
      <w:pPr>
        <w:pStyle w:val="af"/>
        <w:numPr>
          <w:ilvl w:val="1"/>
          <w:numId w:val="44"/>
        </w:numPr>
        <w:autoSpaceDE/>
        <w:autoSpaceDN/>
        <w:adjustRightInd/>
        <w:snapToGrid/>
        <w:spacing w:after="0"/>
        <w:ind w:left="1440" w:firstLineChars="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710EFDE5" w14:textId="77777777" w:rsidR="00C3608D" w:rsidRPr="0051690F" w:rsidRDefault="00C3608D" w:rsidP="00C3608D">
      <w:pPr>
        <w:pStyle w:val="af"/>
        <w:numPr>
          <w:ilvl w:val="0"/>
          <w:numId w:val="44"/>
        </w:numPr>
        <w:autoSpaceDE/>
        <w:autoSpaceDN/>
        <w:adjustRightInd/>
        <w:snapToGrid/>
        <w:spacing w:after="0"/>
        <w:ind w:left="720" w:firstLineChars="0"/>
      </w:pPr>
      <w:r w:rsidRPr="0051690F">
        <w:t>Enhancement on the support for multi-TRP deployment, targeting both FR1 and FR2:</w:t>
      </w:r>
    </w:p>
    <w:p w14:paraId="672F263C" w14:textId="77777777" w:rsidR="00C3608D" w:rsidRPr="0051690F" w:rsidRDefault="00C3608D" w:rsidP="00C3608D">
      <w:pPr>
        <w:pStyle w:val="af"/>
        <w:numPr>
          <w:ilvl w:val="1"/>
          <w:numId w:val="44"/>
        </w:numPr>
        <w:autoSpaceDE/>
        <w:autoSpaceDN/>
        <w:adjustRightInd/>
        <w:snapToGrid/>
        <w:spacing w:after="0"/>
        <w:ind w:left="1440" w:firstLineChars="0"/>
      </w:pPr>
      <w:r w:rsidRPr="0051690F">
        <w:t xml:space="preserve">Identify and specify features to improve reliability and robustness for channels other than PDSCH (that is, PDCCH, PUSCH, and PUCCH) using multi-TRP and/or multi-panel, with Rel.16 reliability features as the baseline </w:t>
      </w:r>
    </w:p>
    <w:p w14:paraId="16DAC94E" w14:textId="77777777" w:rsidR="00C3608D" w:rsidRPr="00685E71" w:rsidRDefault="00C3608D" w:rsidP="00C3608D">
      <w:pPr>
        <w:pStyle w:val="af"/>
        <w:numPr>
          <w:ilvl w:val="1"/>
          <w:numId w:val="44"/>
        </w:numPr>
        <w:autoSpaceDE/>
        <w:autoSpaceDN/>
        <w:adjustRightInd/>
        <w:snapToGrid/>
        <w:spacing w:after="0"/>
        <w:ind w:left="1440" w:firstLineChars="0"/>
      </w:pPr>
      <w:r w:rsidRPr="0051690F">
        <w:t xml:space="preserve">Identify </w:t>
      </w:r>
      <w:r w:rsidRPr="00685E71">
        <w:t>and specify QCL/TCI-related enhancements to enable inter-cell multi-TRP operations, assuming multi-DCI based multi-PDSCH reception</w:t>
      </w:r>
    </w:p>
    <w:p w14:paraId="62697253" w14:textId="77777777" w:rsidR="00C3608D" w:rsidRDefault="00C3608D" w:rsidP="00C3608D">
      <w:pPr>
        <w:pStyle w:val="af"/>
        <w:numPr>
          <w:ilvl w:val="1"/>
          <w:numId w:val="44"/>
        </w:numPr>
        <w:autoSpaceDE/>
        <w:autoSpaceDN/>
        <w:adjustRightInd/>
        <w:snapToGrid/>
        <w:spacing w:after="0"/>
        <w:ind w:left="1440" w:firstLineChars="0"/>
      </w:pPr>
      <w:r w:rsidRPr="0051690F">
        <w:t xml:space="preserve">Evaluate and, if needed, specify </w:t>
      </w:r>
      <w:r>
        <w:t xml:space="preserve">beam-management-related </w:t>
      </w:r>
      <w:r w:rsidRPr="0051690F">
        <w:t>enhancements for simultaneous multi-TRP transmission with multi-panel reception</w:t>
      </w:r>
    </w:p>
    <w:p w14:paraId="0253D4D0" w14:textId="77777777" w:rsidR="00C3608D" w:rsidRDefault="00C3608D" w:rsidP="00C3608D">
      <w:pPr>
        <w:pStyle w:val="af"/>
        <w:numPr>
          <w:ilvl w:val="1"/>
          <w:numId w:val="44"/>
        </w:numPr>
        <w:autoSpaceDE/>
        <w:autoSpaceDN/>
        <w:adjustRightInd/>
        <w:snapToGrid/>
        <w:spacing w:after="0"/>
        <w:ind w:left="1440" w:firstLineChars="0"/>
      </w:pPr>
      <w:r>
        <w:t>E</w:t>
      </w:r>
      <w:r w:rsidRPr="00FC3465">
        <w:t>nhancement to support HST-SFN deployment scenario:</w:t>
      </w:r>
    </w:p>
    <w:p w14:paraId="6517F04C" w14:textId="77777777" w:rsidR="00C3608D" w:rsidRDefault="00C3608D" w:rsidP="00C3608D">
      <w:pPr>
        <w:pStyle w:val="af"/>
        <w:numPr>
          <w:ilvl w:val="2"/>
          <w:numId w:val="44"/>
        </w:numPr>
        <w:autoSpaceDE/>
        <w:autoSpaceDN/>
        <w:adjustRightInd/>
        <w:snapToGrid/>
        <w:spacing w:after="0"/>
        <w:ind w:left="2160" w:firstLineChars="0"/>
      </w:pPr>
      <w:r>
        <w:t xml:space="preserve">Identify and specify solution(s) on </w:t>
      </w:r>
      <w:r w:rsidRPr="00FC3465">
        <w:t>QCL assumption for DMRS, e.g. multiple QCL assumptions for the same DMRS port(s)</w:t>
      </w:r>
      <w:r>
        <w:t>, targeting DL-only transmission</w:t>
      </w:r>
    </w:p>
    <w:p w14:paraId="626A916A" w14:textId="77777777" w:rsidR="00C3608D" w:rsidRPr="00FC3465" w:rsidRDefault="00C3608D" w:rsidP="00C3608D">
      <w:pPr>
        <w:pStyle w:val="af"/>
        <w:numPr>
          <w:ilvl w:val="2"/>
          <w:numId w:val="44"/>
        </w:numPr>
        <w:autoSpaceDE/>
        <w:autoSpaceDN/>
        <w:adjustRightInd/>
        <w:snapToGrid/>
        <w:spacing w:after="0"/>
        <w:ind w:left="2160" w:firstLineChars="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2D597F61" w14:textId="77777777" w:rsidR="00C3608D" w:rsidRPr="0051690F" w:rsidRDefault="00C3608D" w:rsidP="00C3608D">
      <w:pPr>
        <w:pStyle w:val="af"/>
        <w:numPr>
          <w:ilvl w:val="0"/>
          <w:numId w:val="44"/>
        </w:numPr>
        <w:autoSpaceDE/>
        <w:autoSpaceDN/>
        <w:adjustRightInd/>
        <w:snapToGrid/>
        <w:spacing w:after="0"/>
        <w:ind w:left="720" w:firstLineChars="0"/>
      </w:pPr>
      <w:r w:rsidRPr="0051690F">
        <w:t>Enhancement on SRS, targeting both FR1 and FR2:</w:t>
      </w:r>
    </w:p>
    <w:p w14:paraId="5D7866FB" w14:textId="77777777" w:rsidR="00C3608D" w:rsidRPr="0051690F" w:rsidRDefault="00C3608D" w:rsidP="00C3608D">
      <w:pPr>
        <w:pStyle w:val="af"/>
        <w:numPr>
          <w:ilvl w:val="1"/>
          <w:numId w:val="44"/>
        </w:numPr>
        <w:autoSpaceDE/>
        <w:autoSpaceDN/>
        <w:adjustRightInd/>
        <w:snapToGrid/>
        <w:spacing w:after="0"/>
        <w:ind w:left="1440" w:firstLineChars="0"/>
      </w:pPr>
      <w:r w:rsidRPr="0051690F">
        <w:t>Identify and specify enhancements on aperiodic SRS triggering</w:t>
      </w:r>
      <w:r>
        <w:t xml:space="preserve"> to facilitate more flexible triggering and/or DCI overhead/usage reduction</w:t>
      </w:r>
    </w:p>
    <w:p w14:paraId="6F13949B" w14:textId="77777777" w:rsidR="00C3608D" w:rsidRPr="0051690F" w:rsidRDefault="00C3608D" w:rsidP="00C3608D">
      <w:pPr>
        <w:pStyle w:val="af"/>
        <w:numPr>
          <w:ilvl w:val="1"/>
          <w:numId w:val="44"/>
        </w:numPr>
        <w:autoSpaceDE/>
        <w:autoSpaceDN/>
        <w:adjustRightInd/>
        <w:snapToGrid/>
        <w:spacing w:after="0"/>
        <w:ind w:left="1440" w:firstLineChars="0"/>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5D38EDF3" w14:textId="77777777" w:rsidR="00C3608D" w:rsidRPr="0051690F" w:rsidRDefault="00C3608D" w:rsidP="00C3608D">
      <w:pPr>
        <w:pStyle w:val="af"/>
        <w:numPr>
          <w:ilvl w:val="1"/>
          <w:numId w:val="44"/>
        </w:numPr>
        <w:autoSpaceDE/>
        <w:autoSpaceDN/>
        <w:adjustRightInd/>
        <w:snapToGrid/>
        <w:spacing w:after="0"/>
        <w:ind w:left="1440" w:firstLineChars="0"/>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6C0D75FD" w14:textId="77777777" w:rsidR="00C3608D" w:rsidRPr="0051690F" w:rsidRDefault="00C3608D" w:rsidP="00C3608D">
      <w:pPr>
        <w:pStyle w:val="af"/>
        <w:numPr>
          <w:ilvl w:val="0"/>
          <w:numId w:val="44"/>
        </w:numPr>
        <w:autoSpaceDE/>
        <w:autoSpaceDN/>
        <w:adjustRightInd/>
        <w:snapToGrid/>
        <w:spacing w:after="0"/>
        <w:ind w:left="720" w:firstLineChars="0"/>
      </w:pPr>
      <w:r w:rsidRPr="0051690F">
        <w:t>Enhancement on CSI measurement and reporting:</w:t>
      </w:r>
    </w:p>
    <w:p w14:paraId="5B746EA2" w14:textId="77777777" w:rsidR="00C3608D" w:rsidRPr="0051690F" w:rsidRDefault="00C3608D" w:rsidP="00C3608D">
      <w:pPr>
        <w:pStyle w:val="af"/>
        <w:numPr>
          <w:ilvl w:val="1"/>
          <w:numId w:val="44"/>
        </w:numPr>
        <w:autoSpaceDE/>
        <w:autoSpaceDN/>
        <w:adjustRightInd/>
        <w:snapToGrid/>
        <w:spacing w:after="0"/>
        <w:ind w:left="1440" w:firstLineChars="0"/>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1CC52348" w14:textId="77777777" w:rsidR="00C3608D" w:rsidRPr="00800C3B" w:rsidRDefault="00C3608D" w:rsidP="00C3608D">
      <w:pPr>
        <w:pStyle w:val="af"/>
        <w:numPr>
          <w:ilvl w:val="1"/>
          <w:numId w:val="44"/>
        </w:numPr>
        <w:autoSpaceDE/>
        <w:autoSpaceDN/>
        <w:adjustRightInd/>
        <w:snapToGrid/>
        <w:spacing w:after="0"/>
        <w:ind w:left="1440" w:firstLineChars="0"/>
      </w:pPr>
      <w:r w:rsidRPr="0051690F">
        <w:lastRenderedPageBreak/>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51E7403F" w14:textId="77777777" w:rsidR="00C3608D" w:rsidRDefault="00C3608D" w:rsidP="00C3608D">
      <w:pPr>
        <w:ind w:right="-99"/>
        <w:rPr>
          <w:color w:val="000000"/>
          <w:lang w:eastAsia="ko-KR"/>
        </w:rPr>
      </w:pPr>
    </w:p>
    <w:p w14:paraId="2F98887B" w14:textId="77777777" w:rsidR="00C3608D" w:rsidRDefault="00C3608D" w:rsidP="00C3608D">
      <w:pPr>
        <w:numPr>
          <w:ilvl w:val="0"/>
          <w:numId w:val="16"/>
        </w:numPr>
        <w:overflowPunct w:val="0"/>
        <w:ind w:right="-99"/>
        <w:jc w:val="left"/>
        <w:rPr>
          <w:color w:val="000000"/>
          <w:lang w:eastAsia="ko-KR"/>
        </w:rPr>
      </w:pPr>
      <w:r>
        <w:rPr>
          <w:iCs/>
          <w:lang w:eastAsia="ko-KR"/>
        </w:rPr>
        <w:t>Investigate</w:t>
      </w:r>
      <w:r w:rsidRPr="00AA2125">
        <w:rPr>
          <w:iCs/>
          <w:lang w:eastAsia="ko-KR"/>
        </w:rPr>
        <w:t xml:space="preserve"> if the requirements on link recovery procedure is suitable for FR2 serving cells</w:t>
      </w:r>
      <w:r w:rsidRPr="00401C76">
        <w:rPr>
          <w:color w:val="000000"/>
          <w:lang w:eastAsia="ko-KR"/>
        </w:rPr>
        <w:t xml:space="preserve"> </w:t>
      </w:r>
      <w:r>
        <w:rPr>
          <w:color w:val="000000"/>
          <w:lang w:eastAsia="ko-KR"/>
        </w:rPr>
        <w:t>[RAN4]</w:t>
      </w:r>
    </w:p>
    <w:p w14:paraId="09B89720" w14:textId="77777777" w:rsidR="00C3608D" w:rsidRDefault="00C3608D" w:rsidP="00C3608D">
      <w:pPr>
        <w:numPr>
          <w:ilvl w:val="0"/>
          <w:numId w:val="16"/>
        </w:numPr>
        <w:overflowPunct w:val="0"/>
        <w:ind w:right="-99"/>
        <w:jc w:val="left"/>
        <w:rPr>
          <w:color w:val="000000"/>
          <w:lang w:eastAsia="ko-KR"/>
        </w:rPr>
      </w:pPr>
      <w:r w:rsidRPr="00401C76">
        <w:rPr>
          <w:color w:val="000000"/>
          <w:lang w:eastAsia="ko-KR"/>
        </w:rPr>
        <w:t>Specify higher layer support of enhancements listed above [RAN2]</w:t>
      </w:r>
    </w:p>
    <w:p w14:paraId="098A6232" w14:textId="77777777" w:rsidR="00C3608D" w:rsidRDefault="00C3608D" w:rsidP="00C3608D">
      <w:pPr>
        <w:numPr>
          <w:ilvl w:val="0"/>
          <w:numId w:val="16"/>
        </w:numPr>
        <w:overflowPunct w:val="0"/>
        <w:ind w:right="-99"/>
        <w:jc w:val="left"/>
        <w:rPr>
          <w:color w:val="000000"/>
          <w:lang w:eastAsia="ko-KR"/>
        </w:rPr>
      </w:pPr>
      <w:r w:rsidRPr="000B0882">
        <w:rPr>
          <w:color w:val="000000"/>
          <w:lang w:eastAsia="ko-KR"/>
        </w:rPr>
        <w:t xml:space="preserve">Specify </w:t>
      </w:r>
      <w:r w:rsidRPr="000B0882">
        <w:rPr>
          <w:rFonts w:eastAsia="Malgun Gothic" w:hint="eastAsia"/>
          <w:color w:val="000000"/>
          <w:lang w:eastAsia="ko-KR"/>
        </w:rPr>
        <w:t>core</w:t>
      </w:r>
      <w:r w:rsidRPr="000B0882">
        <w:rPr>
          <w:color w:val="000000"/>
          <w:lang w:eastAsia="ko-KR"/>
        </w:rPr>
        <w:t xml:space="preserve"> requirements associated with the </w:t>
      </w:r>
      <w:r w:rsidRPr="000B0882">
        <w:rPr>
          <w:rFonts w:eastAsia="Malgun Gothic" w:hint="eastAsia"/>
          <w:color w:val="000000"/>
          <w:lang w:eastAsia="ko-KR"/>
        </w:rPr>
        <w:t xml:space="preserve">items specified by </w:t>
      </w:r>
      <w:r w:rsidRPr="000B0882">
        <w:rPr>
          <w:color w:val="000000"/>
          <w:lang w:eastAsia="ko-KR"/>
        </w:rPr>
        <w:t>RAN1 [RAN4]</w:t>
      </w:r>
    </w:p>
    <w:p w14:paraId="6736638B" w14:textId="0AA4F8EA"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A420E0">
        <w:rPr>
          <w:rFonts w:eastAsia="Times New Roman"/>
        </w:rPr>
        <w:t>inter-cell</w:t>
      </w:r>
      <w:r w:rsidR="001B0CD3">
        <w:rPr>
          <w:rFonts w:eastAsia="Times New Roman"/>
        </w:rPr>
        <w:t xml:space="preserve"> Multi-TRP</w:t>
      </w:r>
      <w:r w:rsidR="00A420E0">
        <w:rPr>
          <w:rFonts w:eastAsia="Times New Roman"/>
        </w:rPr>
        <w:t xml:space="preserve"> operation</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4292045" w:rsidR="008B263C" w:rsidRDefault="009C4988" w:rsidP="00B03F70">
      <w:pPr>
        <w:pStyle w:val="1"/>
        <w:rPr>
          <w:szCs w:val="20"/>
          <w:lang w:eastAsia="zh-CN"/>
        </w:rPr>
      </w:pPr>
      <w:r>
        <w:rPr>
          <w:szCs w:val="20"/>
          <w:lang w:eastAsia="zh-CN"/>
        </w:rPr>
        <w:t xml:space="preserve">Inter-cell </w:t>
      </w:r>
      <w:r w:rsidR="0046515E" w:rsidRPr="00141EF4">
        <w:rPr>
          <w:szCs w:val="20"/>
          <w:lang w:eastAsia="zh-CN"/>
        </w:rPr>
        <w:t>Multi-TRP</w:t>
      </w:r>
      <w:r w:rsidR="0046515E">
        <w:rPr>
          <w:szCs w:val="20"/>
          <w:lang w:eastAsia="zh-CN"/>
        </w:rPr>
        <w:t xml:space="preserve"> </w:t>
      </w:r>
      <w:r w:rsidR="00E35A73">
        <w:rPr>
          <w:szCs w:val="20"/>
          <w:lang w:eastAsia="zh-CN"/>
        </w:rPr>
        <w:t>operation</w:t>
      </w:r>
    </w:p>
    <w:p w14:paraId="3B39686C" w14:textId="4CF9E76D" w:rsidR="00EA0464" w:rsidRDefault="005F3CF5" w:rsidP="009B758B">
      <w:r>
        <w:rPr>
          <w:lang w:eastAsia="zh-CN"/>
        </w:rPr>
        <w:t xml:space="preserve">PDSCH repetition by </w:t>
      </w:r>
      <w:r w:rsidR="00F13CA0">
        <w:rPr>
          <w:lang w:eastAsia="zh-CN"/>
        </w:rPr>
        <w:t xml:space="preserve">Multi-TRP </w:t>
      </w:r>
      <w:r>
        <w:rPr>
          <w:lang w:eastAsia="zh-CN"/>
        </w:rPr>
        <w:t xml:space="preserve">with intra-cell was </w:t>
      </w:r>
      <w:r w:rsidR="00F13CA0">
        <w:rPr>
          <w:lang w:eastAsia="zh-CN"/>
        </w:rPr>
        <w:t xml:space="preserve">discussed in Rel-16. </w:t>
      </w:r>
      <w:r w:rsidR="00764815">
        <w:rPr>
          <w:lang w:eastAsia="zh-CN"/>
        </w:rPr>
        <w:t xml:space="preserve">While in Rel-17, the </w:t>
      </w:r>
      <w:r w:rsidR="00764815" w:rsidRPr="0051690F">
        <w:t>improve</w:t>
      </w:r>
      <w:r w:rsidR="00764815">
        <w:t>ment</w:t>
      </w:r>
      <w:r w:rsidR="00764815" w:rsidRPr="0051690F">
        <w:t xml:space="preserve"> </w:t>
      </w:r>
      <w:r w:rsidR="00764815">
        <w:t xml:space="preserve">of </w:t>
      </w:r>
      <w:r w:rsidR="00764815" w:rsidRPr="0051690F">
        <w:t>reliability and robustness</w:t>
      </w:r>
      <w:r w:rsidR="00764815">
        <w:rPr>
          <w:lang w:eastAsia="zh-CN"/>
        </w:rPr>
        <w:t xml:space="preserve"> for PDCCH/PUSCH/PUCCH </w:t>
      </w:r>
      <w:r w:rsidR="00EA0464">
        <w:rPr>
          <w:lang w:eastAsia="zh-CN"/>
        </w:rPr>
        <w:t xml:space="preserve">by using </w:t>
      </w:r>
      <w:r w:rsidR="00EA0464" w:rsidRPr="0051690F">
        <w:t>multi-TRP and/or multi-panel</w:t>
      </w:r>
      <w:r w:rsidR="00EA0464">
        <w:rPr>
          <w:lang w:eastAsia="zh-CN"/>
        </w:rPr>
        <w:t xml:space="preserve"> </w:t>
      </w:r>
      <w:r w:rsidR="00764815">
        <w:rPr>
          <w:lang w:eastAsia="zh-CN"/>
        </w:rPr>
        <w:t xml:space="preserve">will be discussed, as well as the inter-cell </w:t>
      </w:r>
      <w:r w:rsidR="007118C5" w:rsidRPr="00685E71">
        <w:t>multi-TRP operations</w:t>
      </w:r>
      <w:r w:rsidR="007118C5">
        <w:rPr>
          <w:lang w:eastAsia="zh-CN"/>
        </w:rPr>
        <w:t xml:space="preserve"> with </w:t>
      </w:r>
      <w:r w:rsidR="00EA0464" w:rsidRPr="00685E71">
        <w:t>multi-DCI based multi-PDSCH reception</w:t>
      </w:r>
      <w:r w:rsidR="00EA0464">
        <w:t>.</w:t>
      </w:r>
    </w:p>
    <w:p w14:paraId="190BBF3B" w14:textId="6DDB6682" w:rsidR="00794E78" w:rsidRDefault="00021875" w:rsidP="009B758B">
      <w:r>
        <w:t xml:space="preserve">If the UE was in the coverage of </w:t>
      </w:r>
      <w:r w:rsidR="000A7448">
        <w:t xml:space="preserve">two cells, it is reasonable to be served by different TRPs from different cell. That is the inter-cell multi-TRP scenario. </w:t>
      </w:r>
      <w:r w:rsidR="00F16AA7">
        <w:t xml:space="preserve">Considering the multi-DCI based multi-PDSCH reception, </w:t>
      </w:r>
      <w:r w:rsidR="00F656CA">
        <w:t xml:space="preserve">UE need to monitor the search space of both serving cell and neighboring cell. </w:t>
      </w:r>
      <w:r w:rsidR="00A25FEA">
        <w:t xml:space="preserve">In addition, UE need to perform the beam management of both serving cell and neighboring cell. It will </w:t>
      </w:r>
      <w:r w:rsidR="00D66287">
        <w:t xml:space="preserve">introduce much more complexity </w:t>
      </w:r>
      <w:r w:rsidR="00A25FEA">
        <w:t>at UE side.</w:t>
      </w:r>
      <w:r w:rsidR="008653E8">
        <w:t xml:space="preserve"> And it also introduce much higher signaling overhead in serving gNB which needs</w:t>
      </w:r>
      <w:r w:rsidR="00C60E95">
        <w:t xml:space="preserve"> to indicate many information of </w:t>
      </w:r>
      <w:r w:rsidR="008653E8">
        <w:t>neighboring cell</w:t>
      </w:r>
      <w:r w:rsidR="00C60E95">
        <w:t xml:space="preserve"> to UE. Such as the neighboring cell ID, the set of TCI states of neighboring cell by both RRC signaling and MAC CE</w:t>
      </w:r>
      <w:r w:rsidR="006749E7">
        <w:t xml:space="preserve">, </w:t>
      </w:r>
      <w:r w:rsidR="00E34E51">
        <w:t>etc.</w:t>
      </w:r>
    </w:p>
    <w:p w14:paraId="209F3967" w14:textId="64031BDF" w:rsidR="00C756C1" w:rsidRPr="005A184A" w:rsidRDefault="00C756C1" w:rsidP="0095379C">
      <w:r w:rsidRPr="005A184A">
        <w:rPr>
          <w:b/>
          <w:lang w:eastAsia="zh-CN"/>
        </w:rPr>
        <w:t>Proposal 1:</w:t>
      </w:r>
      <w:r w:rsidRPr="005A184A">
        <w:rPr>
          <w:lang w:eastAsia="zh-CN"/>
        </w:rPr>
        <w:t xml:space="preserve"> </w:t>
      </w:r>
      <w:r w:rsidR="00764BD4">
        <w:rPr>
          <w:lang w:eastAsia="zh-CN"/>
        </w:rPr>
        <w:t xml:space="preserve">The </w:t>
      </w:r>
      <w:r w:rsidR="00B870C7">
        <w:rPr>
          <w:lang w:eastAsia="zh-CN"/>
        </w:rPr>
        <w:t>complexity at UE side</w:t>
      </w:r>
      <w:r w:rsidR="00764BD4">
        <w:rPr>
          <w:lang w:eastAsia="zh-CN"/>
        </w:rPr>
        <w:t xml:space="preserve"> should be considered </w:t>
      </w:r>
      <w:r w:rsidR="007132FB">
        <w:rPr>
          <w:lang w:eastAsia="zh-CN"/>
        </w:rPr>
        <w:t>before</w:t>
      </w:r>
      <w:r w:rsidR="00764BD4">
        <w:rPr>
          <w:lang w:eastAsia="zh-CN"/>
        </w:rPr>
        <w:t xml:space="preserve"> discussing inter-cell multi-TRP operation</w:t>
      </w:r>
      <w:r w:rsidR="006412BE" w:rsidRPr="005A184A">
        <w:t>.</w:t>
      </w:r>
    </w:p>
    <w:p w14:paraId="0D5F884C" w14:textId="53325C21" w:rsidR="00BE585A" w:rsidRPr="0040730D" w:rsidRDefault="00E900EA" w:rsidP="0040730D">
      <w:pPr>
        <w:pStyle w:val="1"/>
        <w:rPr>
          <w:szCs w:val="20"/>
          <w:lang w:eastAsia="zh-CN"/>
        </w:rPr>
      </w:pPr>
      <w:r>
        <w:rPr>
          <w:szCs w:val="20"/>
          <w:lang w:eastAsia="zh-CN"/>
        </w:rPr>
        <w:t>Inter-cell beam ma</w:t>
      </w:r>
      <w:r w:rsidR="0040730D" w:rsidRPr="00141EF4">
        <w:rPr>
          <w:szCs w:val="20"/>
          <w:lang w:eastAsia="zh-CN"/>
        </w:rPr>
        <w:t>n</w:t>
      </w:r>
      <w:r>
        <w:rPr>
          <w:szCs w:val="20"/>
          <w:lang w:eastAsia="zh-CN"/>
        </w:rPr>
        <w:t>agement</w:t>
      </w:r>
    </w:p>
    <w:p w14:paraId="6A488287" w14:textId="7209B339" w:rsidR="001D3697" w:rsidRDefault="00EF231E" w:rsidP="00FE4E91">
      <w:pPr>
        <w:rPr>
          <w:rFonts w:eastAsia="宋体"/>
          <w:szCs w:val="20"/>
        </w:rPr>
      </w:pPr>
      <w:r>
        <w:rPr>
          <w:rFonts w:eastAsia="宋体"/>
          <w:szCs w:val="20"/>
        </w:rPr>
        <w:t xml:space="preserve">In order to realize the </w:t>
      </w:r>
      <w:r>
        <w:rPr>
          <w:lang w:eastAsia="zh-CN"/>
        </w:rPr>
        <w:t xml:space="preserve">inter-cell multi-TRP operation, inter-cell beam management is necessary, which also introduces much more complexity. </w:t>
      </w:r>
      <w:r w:rsidR="00EE7599">
        <w:rPr>
          <w:lang w:eastAsia="zh-CN"/>
        </w:rPr>
        <w:t xml:space="preserve">For UE with beam correspondence capability, </w:t>
      </w:r>
      <w:r w:rsidR="002C18E0">
        <w:rPr>
          <w:lang w:eastAsia="zh-CN"/>
        </w:rPr>
        <w:t>it is enough to perform</w:t>
      </w:r>
      <w:r w:rsidR="00EE7599">
        <w:rPr>
          <w:lang w:eastAsia="zh-CN"/>
        </w:rPr>
        <w:t xml:space="preserve"> DL beam management or UL beam management</w:t>
      </w:r>
      <w:r w:rsidR="002C18E0">
        <w:rPr>
          <w:lang w:eastAsia="zh-CN"/>
        </w:rPr>
        <w:t xml:space="preserve"> only</w:t>
      </w:r>
      <w:r w:rsidR="00EE7599">
        <w:rPr>
          <w:lang w:eastAsia="zh-CN"/>
        </w:rPr>
        <w:t xml:space="preserve">. But for UE without beam correspondence capability, both DL beam management and UL beam management are necessary. </w:t>
      </w:r>
      <w:r>
        <w:rPr>
          <w:lang w:eastAsia="zh-CN"/>
        </w:rPr>
        <w:t xml:space="preserve"> </w:t>
      </w:r>
      <w:r w:rsidRPr="00FE4E91">
        <w:rPr>
          <w:rFonts w:eastAsia="宋体"/>
          <w:szCs w:val="20"/>
        </w:rPr>
        <w:t xml:space="preserve"> </w:t>
      </w:r>
    </w:p>
    <w:p w14:paraId="120E01F1" w14:textId="77777777" w:rsidR="00D73E42" w:rsidRPr="00D73E42" w:rsidRDefault="00D73E42" w:rsidP="00FE4E91">
      <w:pPr>
        <w:rPr>
          <w:rFonts w:eastAsia="宋体"/>
          <w:szCs w:val="20"/>
          <w:u w:val="single"/>
        </w:rPr>
      </w:pPr>
      <w:r w:rsidRPr="00D73E42">
        <w:rPr>
          <w:rFonts w:eastAsia="宋体"/>
          <w:szCs w:val="20"/>
          <w:u w:val="single"/>
        </w:rPr>
        <w:t>Inter-cell beam management by UE</w:t>
      </w:r>
    </w:p>
    <w:p w14:paraId="736A9A5E" w14:textId="1CCAEBEB" w:rsidR="001C5371" w:rsidRDefault="00A74A8F" w:rsidP="00FE4E91">
      <w:pPr>
        <w:rPr>
          <w:rFonts w:eastAsia="宋体"/>
          <w:szCs w:val="20"/>
        </w:rPr>
      </w:pPr>
      <w:r>
        <w:rPr>
          <w:rFonts w:eastAsia="宋体"/>
          <w:szCs w:val="20"/>
        </w:rPr>
        <w:t xml:space="preserve">With inter-cell beam management by UE, </w:t>
      </w:r>
      <w:r w:rsidR="0007453B">
        <w:rPr>
          <w:rFonts w:eastAsia="宋体"/>
          <w:szCs w:val="20"/>
        </w:rPr>
        <w:t>UE need to measure the beam management reference signal</w:t>
      </w:r>
      <w:r w:rsidR="00CD587C">
        <w:rPr>
          <w:rFonts w:eastAsia="宋体"/>
          <w:szCs w:val="20"/>
        </w:rPr>
        <w:t xml:space="preserve">s </w:t>
      </w:r>
      <w:r w:rsidR="00271677">
        <w:rPr>
          <w:rFonts w:eastAsia="宋体"/>
          <w:szCs w:val="20"/>
        </w:rPr>
        <w:t xml:space="preserve">(SSB or CSI-RS) of neighboring cell and send the measurement report to the serving gNB periodically. </w:t>
      </w:r>
      <w:r w:rsidR="0007453B">
        <w:rPr>
          <w:rFonts w:eastAsia="宋体"/>
          <w:szCs w:val="20"/>
        </w:rPr>
        <w:t xml:space="preserve"> </w:t>
      </w:r>
      <w:r w:rsidR="00B6751C">
        <w:rPr>
          <w:rFonts w:eastAsia="宋体"/>
          <w:szCs w:val="20"/>
        </w:rPr>
        <w:t>It will result in large complexity and signaling overhead. Especially</w:t>
      </w:r>
      <w:r w:rsidR="0083712D">
        <w:rPr>
          <w:rFonts w:eastAsia="宋体"/>
          <w:szCs w:val="20"/>
        </w:rPr>
        <w:t xml:space="preserve"> when the beam </w:t>
      </w:r>
      <w:r w:rsidR="00B6751C">
        <w:rPr>
          <w:rFonts w:eastAsia="宋体"/>
          <w:szCs w:val="20"/>
        </w:rPr>
        <w:t>man</w:t>
      </w:r>
      <w:r w:rsidR="0083712D">
        <w:rPr>
          <w:rFonts w:eastAsia="宋体"/>
          <w:szCs w:val="20"/>
        </w:rPr>
        <w:t>a</w:t>
      </w:r>
      <w:r w:rsidR="00B6751C">
        <w:rPr>
          <w:rFonts w:eastAsia="宋体"/>
          <w:szCs w:val="20"/>
        </w:rPr>
        <w:t xml:space="preserve">gement reference signal is UE specific </w:t>
      </w:r>
      <w:r w:rsidR="0083712D">
        <w:rPr>
          <w:rFonts w:eastAsia="宋体"/>
          <w:szCs w:val="20"/>
        </w:rPr>
        <w:t>CSI-RS</w:t>
      </w:r>
      <w:r w:rsidR="008D2BBF">
        <w:rPr>
          <w:rFonts w:eastAsia="宋体"/>
          <w:szCs w:val="20"/>
        </w:rPr>
        <w:t>, which need to be indicated to the UE by RRC signaling from serving gNB</w:t>
      </w:r>
      <w:r w:rsidR="0083712D">
        <w:rPr>
          <w:rFonts w:eastAsia="宋体"/>
          <w:szCs w:val="20"/>
        </w:rPr>
        <w:t xml:space="preserve">. </w:t>
      </w:r>
    </w:p>
    <w:p w14:paraId="74FFE81F" w14:textId="6C57FDA6" w:rsidR="009A44F8" w:rsidRDefault="009A44F8" w:rsidP="009A44F8">
      <w:pPr>
        <w:rPr>
          <w:rFonts w:eastAsia="宋体"/>
          <w:szCs w:val="20"/>
        </w:rPr>
      </w:pPr>
      <w:r>
        <w:rPr>
          <w:rFonts w:eastAsia="宋体"/>
          <w:szCs w:val="20"/>
        </w:rPr>
        <w:t>In addition, considering the UL signaling overhead, beam measurement report need to be further studied because of inter-cell beam management. And the group based beam measurement report should be considered as a baseline.</w:t>
      </w:r>
    </w:p>
    <w:p w14:paraId="653053F4" w14:textId="77777777" w:rsidR="00C7387C" w:rsidRDefault="00C7387C" w:rsidP="00C7387C">
      <w:pPr>
        <w:rPr>
          <w:lang w:eastAsia="zh-CN"/>
        </w:rPr>
      </w:pPr>
      <w:r>
        <w:rPr>
          <w:lang w:eastAsia="zh-CN"/>
        </w:rPr>
        <w:t>If inter-cell beam management by UE is supported, it is preferred to configure cell specific reference signal for beam management of neighboring cell. In this case, the signaling overhead in neighboring cell and beam management latency can be reduced. And it is also better to configure a cell specific reference signal with smaller transmission period.</w:t>
      </w:r>
    </w:p>
    <w:p w14:paraId="40740181" w14:textId="4823ED90" w:rsidR="002C524E" w:rsidRPr="00D73E42" w:rsidRDefault="002C524E" w:rsidP="002C524E">
      <w:pPr>
        <w:rPr>
          <w:rFonts w:eastAsia="宋体"/>
          <w:szCs w:val="20"/>
          <w:u w:val="single"/>
        </w:rPr>
      </w:pPr>
      <w:r w:rsidRPr="00D73E42">
        <w:rPr>
          <w:rFonts w:eastAsia="宋体"/>
          <w:szCs w:val="20"/>
          <w:u w:val="single"/>
        </w:rPr>
        <w:t xml:space="preserve">Inter-cell beam management by </w:t>
      </w:r>
      <w:r>
        <w:rPr>
          <w:rFonts w:eastAsia="宋体"/>
          <w:szCs w:val="20"/>
          <w:u w:val="single"/>
        </w:rPr>
        <w:t>gNB</w:t>
      </w:r>
    </w:p>
    <w:p w14:paraId="1D0BD21E" w14:textId="46B66593" w:rsidR="00E55A24" w:rsidRDefault="00CC5556" w:rsidP="00D771A7">
      <w:pPr>
        <w:spacing w:beforeLines="50" w:before="120"/>
        <w:rPr>
          <w:rFonts w:eastAsia="宋体"/>
          <w:szCs w:val="20"/>
        </w:rPr>
      </w:pPr>
      <w:r>
        <w:rPr>
          <w:rFonts w:eastAsia="宋体"/>
          <w:szCs w:val="20"/>
        </w:rPr>
        <w:t xml:space="preserve">With inter-cell beam management by gNB, UE need not to measure the beam management reference signal. But </w:t>
      </w:r>
      <w:r w:rsidR="00CE10AD">
        <w:rPr>
          <w:rFonts w:eastAsia="宋体"/>
          <w:szCs w:val="20"/>
        </w:rPr>
        <w:t xml:space="preserve">UE need to transmit the beam measurement reference signal, such as SRS. </w:t>
      </w:r>
      <w:r w:rsidR="00D81502">
        <w:rPr>
          <w:rFonts w:eastAsia="宋体"/>
          <w:szCs w:val="20"/>
        </w:rPr>
        <w:t>It is preferred to reuse the SRS for other use cases</w:t>
      </w:r>
      <w:r w:rsidR="00663E74">
        <w:rPr>
          <w:rFonts w:eastAsia="宋体"/>
          <w:szCs w:val="20"/>
        </w:rPr>
        <w:t xml:space="preserve"> if possible</w:t>
      </w:r>
      <w:r w:rsidR="00D81502">
        <w:rPr>
          <w:rFonts w:eastAsia="宋体"/>
          <w:szCs w:val="20"/>
        </w:rPr>
        <w:t xml:space="preserve">, for example, </w:t>
      </w:r>
      <w:r w:rsidR="00C20676">
        <w:rPr>
          <w:rFonts w:eastAsia="宋体"/>
          <w:szCs w:val="20"/>
        </w:rPr>
        <w:t xml:space="preserve">reuse </w:t>
      </w:r>
      <w:r w:rsidR="00D81502">
        <w:rPr>
          <w:rFonts w:eastAsia="宋体"/>
          <w:szCs w:val="20"/>
        </w:rPr>
        <w:t>beam management</w:t>
      </w:r>
      <w:r w:rsidR="00C20676">
        <w:rPr>
          <w:rFonts w:eastAsia="宋体"/>
          <w:szCs w:val="20"/>
        </w:rPr>
        <w:t xml:space="preserve"> SRS</w:t>
      </w:r>
      <w:r w:rsidR="00D81502">
        <w:rPr>
          <w:rFonts w:eastAsia="宋体"/>
          <w:szCs w:val="20"/>
        </w:rPr>
        <w:t xml:space="preserve"> for serving cell.</w:t>
      </w:r>
      <w:r w:rsidR="005435CC">
        <w:rPr>
          <w:rFonts w:eastAsia="宋体"/>
          <w:szCs w:val="20"/>
        </w:rPr>
        <w:t xml:space="preserve"> In this case, there will be not more impact on UE side. It is the neighboring gNB </w:t>
      </w:r>
      <w:r w:rsidR="00BA050C">
        <w:rPr>
          <w:rFonts w:eastAsia="宋体"/>
          <w:szCs w:val="20"/>
        </w:rPr>
        <w:t>that</w:t>
      </w:r>
      <w:r w:rsidR="005435CC">
        <w:rPr>
          <w:rFonts w:eastAsia="宋体"/>
          <w:szCs w:val="20"/>
        </w:rPr>
        <w:t xml:space="preserve"> measures the beam management reference signal and send the measurement report to the UE’s serving gNB. </w:t>
      </w:r>
    </w:p>
    <w:p w14:paraId="301E2F6F" w14:textId="0B48C233" w:rsidR="00D771A7" w:rsidRDefault="00EF7428" w:rsidP="00D771A7">
      <w:pPr>
        <w:spacing w:beforeLines="50" w:before="120"/>
      </w:pPr>
      <w:r>
        <w:rPr>
          <w:rFonts w:eastAsia="宋体"/>
          <w:szCs w:val="20"/>
          <w:lang w:eastAsia="zh-CN"/>
        </w:rPr>
        <w:lastRenderedPageBreak/>
        <w:t xml:space="preserve">Thus </w:t>
      </w:r>
      <w:bookmarkStart w:id="1" w:name="_GoBack"/>
      <w:bookmarkEnd w:id="1"/>
      <w:r>
        <w:rPr>
          <w:rFonts w:eastAsia="宋体"/>
          <w:szCs w:val="20"/>
          <w:lang w:eastAsia="zh-CN"/>
        </w:rPr>
        <w:t xml:space="preserve">inter-cell </w:t>
      </w:r>
      <w:r>
        <w:rPr>
          <w:rFonts w:eastAsia="宋体"/>
          <w:szCs w:val="20"/>
        </w:rPr>
        <w:t xml:space="preserve">beam management by </w:t>
      </w:r>
      <w:r w:rsidR="00CC3A54">
        <w:rPr>
          <w:rFonts w:eastAsia="宋体"/>
          <w:szCs w:val="20"/>
        </w:rPr>
        <w:t xml:space="preserve">both </w:t>
      </w:r>
      <w:r>
        <w:rPr>
          <w:rFonts w:eastAsia="宋体"/>
          <w:szCs w:val="20"/>
        </w:rPr>
        <w:t>UE</w:t>
      </w:r>
      <w:r>
        <w:rPr>
          <w:rFonts w:eastAsia="宋体"/>
          <w:szCs w:val="20"/>
          <w:lang w:eastAsia="zh-CN"/>
        </w:rPr>
        <w:t xml:space="preserve"> and gNB should be supported</w:t>
      </w:r>
      <w:r w:rsidR="00940D02">
        <w:t>.</w:t>
      </w:r>
      <w:r>
        <w:t xml:space="preserve"> And </w:t>
      </w:r>
      <w:r>
        <w:rPr>
          <w:rFonts w:eastAsia="宋体"/>
          <w:szCs w:val="20"/>
        </w:rPr>
        <w:t>inter-cell beam management by gNB is much more preferred.</w:t>
      </w:r>
    </w:p>
    <w:p w14:paraId="2DFCE44F" w14:textId="0EF5EB18" w:rsidR="005C690D" w:rsidRDefault="005C690D" w:rsidP="005C690D">
      <w:pPr>
        <w:rPr>
          <w:lang w:eastAsia="zh-CN"/>
        </w:rPr>
      </w:pPr>
      <w:r w:rsidRPr="00CE6BC2">
        <w:rPr>
          <w:b/>
          <w:lang w:eastAsia="zh-CN"/>
        </w:rPr>
        <w:t xml:space="preserve">Proposal </w:t>
      </w:r>
      <w:r>
        <w:rPr>
          <w:b/>
          <w:lang w:eastAsia="zh-CN"/>
        </w:rPr>
        <w:t>2</w:t>
      </w:r>
      <w:r w:rsidRPr="00CE6BC2">
        <w:rPr>
          <w:b/>
          <w:lang w:eastAsia="zh-CN"/>
        </w:rPr>
        <w:t>:</w:t>
      </w:r>
      <w:r w:rsidRPr="00CE6BC2">
        <w:rPr>
          <w:lang w:eastAsia="zh-CN"/>
        </w:rPr>
        <w:t xml:space="preserve"> </w:t>
      </w:r>
      <w:r w:rsidR="00D141A3">
        <w:rPr>
          <w:lang w:eastAsia="zh-CN"/>
        </w:rPr>
        <w:t>I</w:t>
      </w:r>
      <w:r w:rsidR="002B1D9C">
        <w:rPr>
          <w:rFonts w:eastAsia="宋体"/>
          <w:szCs w:val="20"/>
          <w:lang w:eastAsia="zh-CN"/>
        </w:rPr>
        <w:t xml:space="preserve">nter-cell </w:t>
      </w:r>
      <w:r w:rsidR="002B1D9C">
        <w:rPr>
          <w:rFonts w:eastAsia="宋体"/>
          <w:szCs w:val="20"/>
        </w:rPr>
        <w:t xml:space="preserve">beam management by </w:t>
      </w:r>
      <w:r w:rsidR="00CC3A54">
        <w:rPr>
          <w:rFonts w:eastAsia="宋体"/>
          <w:szCs w:val="20"/>
        </w:rPr>
        <w:t xml:space="preserve">both </w:t>
      </w:r>
      <w:r w:rsidR="002B1D9C">
        <w:rPr>
          <w:rFonts w:eastAsia="宋体"/>
          <w:szCs w:val="20"/>
        </w:rPr>
        <w:t>UE</w:t>
      </w:r>
      <w:r w:rsidR="002B1D9C">
        <w:rPr>
          <w:rFonts w:eastAsia="宋体"/>
          <w:szCs w:val="20"/>
          <w:lang w:eastAsia="zh-CN"/>
        </w:rPr>
        <w:t xml:space="preserve"> and gNB should be supported</w:t>
      </w:r>
      <w:r w:rsidR="002B1D9C">
        <w:t xml:space="preserve">. And </w:t>
      </w:r>
      <w:r w:rsidR="002B1D9C">
        <w:rPr>
          <w:rFonts w:eastAsia="宋体"/>
          <w:szCs w:val="20"/>
        </w:rPr>
        <w:t>inter-cell beam management by gNB is much more preferred</w:t>
      </w:r>
      <w:r>
        <w:rPr>
          <w:lang w:eastAsia="zh-CN"/>
        </w:rPr>
        <w:t>.</w:t>
      </w:r>
    </w:p>
    <w:p w14:paraId="00C97A89" w14:textId="216968D4" w:rsidR="00CB7309" w:rsidRDefault="00CB7309" w:rsidP="005C690D">
      <w:pPr>
        <w:rPr>
          <w:u w:val="single"/>
          <w:lang w:eastAsia="zh-CN"/>
        </w:rPr>
      </w:pPr>
      <w:r w:rsidRPr="00CB7309">
        <w:rPr>
          <w:u w:val="single"/>
          <w:lang w:eastAsia="zh-CN"/>
        </w:rPr>
        <w:t>Neighboring cell beam failure</w:t>
      </w:r>
      <w:r w:rsidR="0084207A">
        <w:rPr>
          <w:u w:val="single"/>
          <w:lang w:eastAsia="zh-CN"/>
        </w:rPr>
        <w:t xml:space="preserve"> recovery</w:t>
      </w:r>
    </w:p>
    <w:p w14:paraId="70ACCCEC" w14:textId="77A0AFBC" w:rsidR="009C4988" w:rsidRDefault="00777177" w:rsidP="005C690D">
      <w:r w:rsidRPr="00777177">
        <w:rPr>
          <w:lang w:eastAsia="zh-CN"/>
        </w:rPr>
        <w:t>For inte</w:t>
      </w:r>
      <w:r>
        <w:rPr>
          <w:lang w:eastAsia="zh-CN"/>
        </w:rPr>
        <w:t xml:space="preserve">r-cell </w:t>
      </w:r>
      <w:r w:rsidRPr="00685E71">
        <w:t>multi-TRP operations</w:t>
      </w:r>
      <w:r>
        <w:rPr>
          <w:lang w:eastAsia="zh-CN"/>
        </w:rPr>
        <w:t xml:space="preserve"> with </w:t>
      </w:r>
      <w:r w:rsidRPr="00685E71">
        <w:t>multi-DCI based multi-PDSCH reception</w:t>
      </w:r>
      <w:r>
        <w:t xml:space="preserve">, UE need to monitor the search space of neighboring cell with </w:t>
      </w:r>
      <w:r w:rsidR="00E54499">
        <w:t>beam configuration of neighboring cell’s CORESET.</w:t>
      </w:r>
      <w:r w:rsidR="00696009">
        <w:t xml:space="preserve"> T</w:t>
      </w:r>
      <w:r w:rsidR="001D0E70">
        <w:t xml:space="preserve">hus it is necessary to consider the beam failure report and recovery </w:t>
      </w:r>
      <w:r w:rsidR="00CA0426">
        <w:t>of neighboring cell</w:t>
      </w:r>
      <w:r w:rsidR="001D0E70">
        <w:t>.</w:t>
      </w:r>
      <w:r w:rsidR="00CA0426">
        <w:t xml:space="preserve"> </w:t>
      </w:r>
      <w:r w:rsidR="008A4D72">
        <w:t xml:space="preserve">The straightforward solution is to reuse the beam failure mechanism of SCell. It means </w:t>
      </w:r>
      <w:r w:rsidR="00B21E69">
        <w:t xml:space="preserve">that </w:t>
      </w:r>
      <w:r w:rsidR="008A4D72">
        <w:t xml:space="preserve">UE </w:t>
      </w:r>
      <w:r w:rsidR="00D73920">
        <w:t xml:space="preserve">can be configured with </w:t>
      </w:r>
      <w:r w:rsidR="00D73920" w:rsidRPr="0008351E">
        <w:rPr>
          <w:i/>
          <w:szCs w:val="16"/>
        </w:rPr>
        <w:t>beamFailureDetectionResourceList</w:t>
      </w:r>
      <w:r w:rsidR="00D73920" w:rsidRPr="00B916EC">
        <w:rPr>
          <w:iCs/>
        </w:rPr>
        <w:t xml:space="preserve"> </w:t>
      </w:r>
      <w:r w:rsidR="00FD18F6">
        <w:rPr>
          <w:iCs/>
        </w:rPr>
        <w:t xml:space="preserve">for </w:t>
      </w:r>
      <w:r w:rsidR="00F65C40">
        <w:rPr>
          <w:iCs/>
        </w:rPr>
        <w:t>beam failure detection</w:t>
      </w:r>
      <w:r w:rsidR="00564234">
        <w:rPr>
          <w:iCs/>
        </w:rPr>
        <w:t>,</w:t>
      </w:r>
      <w:r w:rsidR="00F65C40">
        <w:rPr>
          <w:iCs/>
        </w:rPr>
        <w:t xml:space="preserve"> O</w:t>
      </w:r>
      <w:r w:rsidR="00D73920">
        <w:rPr>
          <w:iCs/>
        </w:rPr>
        <w:t xml:space="preserve">r UE can </w:t>
      </w:r>
      <w:r w:rsidR="00631ABF">
        <w:rPr>
          <w:iCs/>
        </w:rPr>
        <w:t xml:space="preserve">use the reference signal resource indicated by TCI-state </w:t>
      </w:r>
      <w:r w:rsidR="00631ABF" w:rsidRPr="00B916EC">
        <w:t>for monitoring PDCCH</w:t>
      </w:r>
      <w:r w:rsidR="00F65C40">
        <w:t xml:space="preserve"> for </w:t>
      </w:r>
      <w:r w:rsidR="00FD18F6">
        <w:rPr>
          <w:iCs/>
        </w:rPr>
        <w:t xml:space="preserve">beam failure detection. </w:t>
      </w:r>
      <w:r w:rsidR="005E3B5F">
        <w:rPr>
          <w:iCs/>
        </w:rPr>
        <w:t xml:space="preserve">While for beam failure report, </w:t>
      </w:r>
      <w:r w:rsidR="005E15E7">
        <w:rPr>
          <w:iCs/>
        </w:rPr>
        <w:t xml:space="preserve">it can be transmitted by </w:t>
      </w:r>
      <w:r w:rsidR="008A4D72">
        <w:t>BFR-SR</w:t>
      </w:r>
      <w:r w:rsidR="005E15E7">
        <w:t xml:space="preserve"> </w:t>
      </w:r>
      <w:r w:rsidR="0003273D">
        <w:t xml:space="preserve">of PUCCH-cell in serving </w:t>
      </w:r>
      <w:r w:rsidR="00564234">
        <w:t>cell</w:t>
      </w:r>
      <w:r w:rsidR="005C7258">
        <w:t xml:space="preserve"> group</w:t>
      </w:r>
      <w:r w:rsidR="00564234">
        <w:t xml:space="preserve">. It need to be further discussed whether beam failure report can be transmitted by PUCCH-cell in neighboring cell </w:t>
      </w:r>
      <w:r w:rsidR="005C7258">
        <w:t>group</w:t>
      </w:r>
      <w:r w:rsidR="00196EF9">
        <w:t xml:space="preserve"> or PRACH in </w:t>
      </w:r>
      <w:r w:rsidR="00155A25">
        <w:t xml:space="preserve">serving cell or </w:t>
      </w:r>
      <w:r w:rsidR="00196EF9">
        <w:t>neighboring cell</w:t>
      </w:r>
      <w:r w:rsidR="005C7258">
        <w:t>.</w:t>
      </w:r>
    </w:p>
    <w:p w14:paraId="1EDF1FC3" w14:textId="19DF8761" w:rsidR="0079562C" w:rsidRDefault="0079562C" w:rsidP="0079562C">
      <w:pPr>
        <w:rPr>
          <w:lang w:eastAsia="zh-CN"/>
        </w:rPr>
      </w:pPr>
      <w:r w:rsidRPr="00CE6BC2">
        <w:rPr>
          <w:b/>
          <w:lang w:eastAsia="zh-CN"/>
        </w:rPr>
        <w:t xml:space="preserve">Proposal </w:t>
      </w:r>
      <w:r>
        <w:rPr>
          <w:b/>
          <w:lang w:eastAsia="zh-CN"/>
        </w:rPr>
        <w:t>3</w:t>
      </w:r>
      <w:r w:rsidRPr="00CE6BC2">
        <w:rPr>
          <w:b/>
          <w:lang w:eastAsia="zh-CN"/>
        </w:rPr>
        <w:t>:</w:t>
      </w:r>
      <w:r w:rsidRPr="00CE6BC2">
        <w:rPr>
          <w:lang w:eastAsia="zh-CN"/>
        </w:rPr>
        <w:t xml:space="preserve"> </w:t>
      </w:r>
      <w:r w:rsidR="00D141A3">
        <w:rPr>
          <w:lang w:eastAsia="zh-CN"/>
        </w:rPr>
        <w:t>C</w:t>
      </w:r>
      <w:r>
        <w:rPr>
          <w:rFonts w:eastAsia="宋体"/>
          <w:szCs w:val="20"/>
          <w:lang w:eastAsia="zh-CN"/>
        </w:rPr>
        <w:t>onsider the beam failure recovery of neighboring cell and the straightforward method is to reuse the beam failure recovery mechanism of SCell.</w:t>
      </w:r>
    </w:p>
    <w:p w14:paraId="63F3E683" w14:textId="741A8784" w:rsidR="0079562C" w:rsidRPr="0079562C" w:rsidRDefault="0079562C" w:rsidP="005C690D">
      <w:pPr>
        <w:rPr>
          <w:u w:val="single"/>
          <w:lang w:eastAsia="zh-CN"/>
        </w:rPr>
      </w:pPr>
    </w:p>
    <w:p w14:paraId="535C4976" w14:textId="2916FEF5" w:rsidR="001759C2" w:rsidRDefault="00F46866" w:rsidP="001759C2">
      <w:pPr>
        <w:pStyle w:val="1"/>
        <w:rPr>
          <w:lang w:eastAsia="zh-CN"/>
        </w:rPr>
      </w:pPr>
      <w:r>
        <w:rPr>
          <w:szCs w:val="20"/>
        </w:rPr>
        <w:t>Conclusion</w:t>
      </w:r>
    </w:p>
    <w:p w14:paraId="3CB3146D" w14:textId="6B4C88CF"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950110">
        <w:rPr>
          <w:rFonts w:eastAsia="Times New Roman"/>
        </w:rPr>
        <w:t>inter-cell Multi-TRP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1208BB0" w14:textId="7BAE6DA4" w:rsidR="00CA1646" w:rsidRPr="005A184A" w:rsidRDefault="002B1D9C" w:rsidP="00CA1646">
      <w:r w:rsidRPr="005A184A">
        <w:rPr>
          <w:b/>
          <w:lang w:eastAsia="zh-CN"/>
        </w:rPr>
        <w:t>Proposal 1:</w:t>
      </w:r>
      <w:r w:rsidRPr="005A184A">
        <w:rPr>
          <w:lang w:eastAsia="zh-CN"/>
        </w:rPr>
        <w:t xml:space="preserve"> </w:t>
      </w:r>
      <w:r w:rsidR="00CA1646">
        <w:rPr>
          <w:lang w:eastAsia="zh-CN"/>
        </w:rPr>
        <w:t xml:space="preserve">The complexity at UE side should be considered </w:t>
      </w:r>
      <w:r w:rsidR="00524D3C">
        <w:rPr>
          <w:lang w:eastAsia="zh-CN"/>
        </w:rPr>
        <w:t>before</w:t>
      </w:r>
      <w:r w:rsidR="00CA1646">
        <w:rPr>
          <w:lang w:eastAsia="zh-CN"/>
        </w:rPr>
        <w:t xml:space="preserve"> discussing inter-cell multi-TRP operation</w:t>
      </w:r>
      <w:r w:rsidR="00CA1646" w:rsidRPr="005A184A">
        <w:t>.</w:t>
      </w:r>
    </w:p>
    <w:p w14:paraId="2386DC12" w14:textId="6C65D239" w:rsidR="002B1D9C" w:rsidRDefault="002B1D9C" w:rsidP="002B1D9C">
      <w:pPr>
        <w:rPr>
          <w:lang w:eastAsia="zh-CN"/>
        </w:rPr>
      </w:pPr>
      <w:r w:rsidRPr="00CE6BC2">
        <w:rPr>
          <w:b/>
          <w:lang w:eastAsia="zh-CN"/>
        </w:rPr>
        <w:t xml:space="preserve">Proposal </w:t>
      </w:r>
      <w:r>
        <w:rPr>
          <w:b/>
          <w:lang w:eastAsia="zh-CN"/>
        </w:rPr>
        <w:t>2</w:t>
      </w:r>
      <w:r w:rsidRPr="00CE6BC2">
        <w:rPr>
          <w:b/>
          <w:lang w:eastAsia="zh-CN"/>
        </w:rPr>
        <w:t>:</w:t>
      </w:r>
      <w:r w:rsidRPr="00CE6BC2">
        <w:rPr>
          <w:lang w:eastAsia="zh-CN"/>
        </w:rPr>
        <w:t xml:space="preserve"> </w:t>
      </w:r>
      <w:r w:rsidR="00D141A3">
        <w:rPr>
          <w:lang w:eastAsia="zh-CN"/>
        </w:rPr>
        <w:t>I</w:t>
      </w:r>
      <w:r>
        <w:rPr>
          <w:rFonts w:eastAsia="宋体"/>
          <w:szCs w:val="20"/>
          <w:lang w:eastAsia="zh-CN"/>
        </w:rPr>
        <w:t xml:space="preserve">nter-cell </w:t>
      </w:r>
      <w:r>
        <w:rPr>
          <w:rFonts w:eastAsia="宋体"/>
          <w:szCs w:val="20"/>
        </w:rPr>
        <w:t xml:space="preserve">beam management by </w:t>
      </w:r>
      <w:r w:rsidR="00CC3A54">
        <w:rPr>
          <w:rFonts w:eastAsia="宋体"/>
          <w:szCs w:val="20"/>
        </w:rPr>
        <w:t xml:space="preserve">both </w:t>
      </w:r>
      <w:r>
        <w:rPr>
          <w:rFonts w:eastAsia="宋体"/>
          <w:szCs w:val="20"/>
        </w:rPr>
        <w:t>UE</w:t>
      </w:r>
      <w:r>
        <w:rPr>
          <w:rFonts w:eastAsia="宋体"/>
          <w:szCs w:val="20"/>
          <w:lang w:eastAsia="zh-CN"/>
        </w:rPr>
        <w:t xml:space="preserve"> and gNB should be supported</w:t>
      </w:r>
      <w:r>
        <w:t xml:space="preserve">. And </w:t>
      </w:r>
      <w:r>
        <w:rPr>
          <w:rFonts w:eastAsia="宋体"/>
          <w:szCs w:val="20"/>
        </w:rPr>
        <w:t>inter-cell beam management by gNB is much more preferred</w:t>
      </w:r>
      <w:r>
        <w:rPr>
          <w:lang w:eastAsia="zh-CN"/>
        </w:rPr>
        <w:t>.</w:t>
      </w:r>
    </w:p>
    <w:p w14:paraId="471FFE76" w14:textId="1EA001BA" w:rsidR="00BF7C53" w:rsidRDefault="00BF7C53" w:rsidP="00BF7C53">
      <w:pPr>
        <w:rPr>
          <w:lang w:eastAsia="zh-CN"/>
        </w:rPr>
      </w:pPr>
      <w:r w:rsidRPr="00CE6BC2">
        <w:rPr>
          <w:b/>
          <w:lang w:eastAsia="zh-CN"/>
        </w:rPr>
        <w:t xml:space="preserve">Proposal </w:t>
      </w:r>
      <w:r>
        <w:rPr>
          <w:b/>
          <w:lang w:eastAsia="zh-CN"/>
        </w:rPr>
        <w:t>3</w:t>
      </w:r>
      <w:r w:rsidRPr="00CE6BC2">
        <w:rPr>
          <w:b/>
          <w:lang w:eastAsia="zh-CN"/>
        </w:rPr>
        <w:t>:</w:t>
      </w:r>
      <w:r w:rsidRPr="00CE6BC2">
        <w:rPr>
          <w:lang w:eastAsia="zh-CN"/>
        </w:rPr>
        <w:t xml:space="preserve"> </w:t>
      </w:r>
      <w:r w:rsidR="00D141A3">
        <w:rPr>
          <w:lang w:eastAsia="zh-CN"/>
        </w:rPr>
        <w:t>C</w:t>
      </w:r>
      <w:r>
        <w:rPr>
          <w:rFonts w:eastAsia="宋体"/>
          <w:szCs w:val="20"/>
          <w:lang w:eastAsia="zh-CN"/>
        </w:rPr>
        <w:t>onsider the beam failure recovery of neighboring cell and the straightforward method is to reuse the beam failure recovery mechanism of SCell.</w:t>
      </w:r>
    </w:p>
    <w:p w14:paraId="55C1E145" w14:textId="77777777" w:rsidR="00CE6BC2" w:rsidRPr="00BF7C53"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6ACCC4A8" w:rsidR="00C02B7B" w:rsidRDefault="00C02B7B" w:rsidP="00D7349C">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4C54A" w14:textId="77777777" w:rsidR="00B11BF5" w:rsidRDefault="00B11BF5">
      <w:r>
        <w:separator/>
      </w:r>
    </w:p>
  </w:endnote>
  <w:endnote w:type="continuationSeparator" w:id="0">
    <w:p w14:paraId="67F7B384" w14:textId="77777777" w:rsidR="00B11BF5" w:rsidRDefault="00B1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2F4EC" w14:textId="77777777" w:rsidR="00B11BF5" w:rsidRDefault="00B11BF5">
      <w:r>
        <w:separator/>
      </w:r>
    </w:p>
  </w:footnote>
  <w:footnote w:type="continuationSeparator" w:id="0">
    <w:p w14:paraId="7E99CEB9" w14:textId="77777777" w:rsidR="00B11BF5" w:rsidRDefault="00B11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42A46"/>
    <w:multiLevelType w:val="hybridMultilevel"/>
    <w:tmpl w:val="F008F24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4818D9"/>
    <w:multiLevelType w:val="hybridMultilevel"/>
    <w:tmpl w:val="0936B3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FB3FE3"/>
    <w:multiLevelType w:val="hybridMultilevel"/>
    <w:tmpl w:val="4E2E8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6">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7">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656AEF"/>
    <w:multiLevelType w:val="hybridMultilevel"/>
    <w:tmpl w:val="45FEAD7A"/>
    <w:lvl w:ilvl="0" w:tplc="0CD225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813E28"/>
    <w:multiLevelType w:val="hybridMultilevel"/>
    <w:tmpl w:val="64742F7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0902B8"/>
    <w:multiLevelType w:val="hybridMultilevel"/>
    <w:tmpl w:val="07F811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42"/>
  </w:num>
  <w:num w:numId="3">
    <w:abstractNumId w:val="37"/>
  </w:num>
  <w:num w:numId="4">
    <w:abstractNumId w:val="38"/>
  </w:num>
  <w:num w:numId="5">
    <w:abstractNumId w:val="24"/>
  </w:num>
  <w:num w:numId="6">
    <w:abstractNumId w:val="5"/>
  </w:num>
  <w:num w:numId="7">
    <w:abstractNumId w:val="15"/>
  </w:num>
  <w:num w:numId="8">
    <w:abstractNumId w:val="44"/>
  </w:num>
  <w:num w:numId="9">
    <w:abstractNumId w:val="34"/>
  </w:num>
  <w:num w:numId="10">
    <w:abstractNumId w:val="25"/>
  </w:num>
  <w:num w:numId="11">
    <w:abstractNumId w:val="23"/>
  </w:num>
  <w:num w:numId="12">
    <w:abstractNumId w:val="32"/>
  </w:num>
  <w:num w:numId="13">
    <w:abstractNumId w:val="0"/>
  </w:num>
  <w:num w:numId="14">
    <w:abstractNumId w:val="11"/>
  </w:num>
  <w:num w:numId="15">
    <w:abstractNumId w:val="39"/>
  </w:num>
  <w:num w:numId="16">
    <w:abstractNumId w:val="8"/>
  </w:num>
  <w:num w:numId="17">
    <w:abstractNumId w:val="3"/>
  </w:num>
  <w:num w:numId="18">
    <w:abstractNumId w:val="27"/>
  </w:num>
  <w:num w:numId="19">
    <w:abstractNumId w:val="1"/>
  </w:num>
  <w:num w:numId="20">
    <w:abstractNumId w:val="21"/>
  </w:num>
  <w:num w:numId="21">
    <w:abstractNumId w:val="46"/>
  </w:num>
  <w:num w:numId="22">
    <w:abstractNumId w:val="19"/>
  </w:num>
  <w:num w:numId="23">
    <w:abstractNumId w:val="14"/>
  </w:num>
  <w:num w:numId="24">
    <w:abstractNumId w:val="9"/>
  </w:num>
  <w:num w:numId="25">
    <w:abstractNumId w:val="20"/>
  </w:num>
  <w:num w:numId="26">
    <w:abstractNumId w:val="30"/>
  </w:num>
  <w:num w:numId="27">
    <w:abstractNumId w:val="36"/>
  </w:num>
  <w:num w:numId="28">
    <w:abstractNumId w:val="41"/>
  </w:num>
  <w:num w:numId="29">
    <w:abstractNumId w:val="10"/>
  </w:num>
  <w:num w:numId="30">
    <w:abstractNumId w:val="40"/>
  </w:num>
  <w:num w:numId="31">
    <w:abstractNumId w:val="13"/>
  </w:num>
  <w:num w:numId="32">
    <w:abstractNumId w:val="28"/>
  </w:num>
  <w:num w:numId="33">
    <w:abstractNumId w:val="26"/>
  </w:num>
  <w:num w:numId="34">
    <w:abstractNumId w:val="16"/>
  </w:num>
  <w:num w:numId="35">
    <w:abstractNumId w:val="17"/>
  </w:num>
  <w:num w:numId="36">
    <w:abstractNumId w:val="4"/>
  </w:num>
  <w:num w:numId="37">
    <w:abstractNumId w:val="33"/>
  </w:num>
  <w:num w:numId="38">
    <w:abstractNumId w:val="35"/>
  </w:num>
  <w:num w:numId="39">
    <w:abstractNumId w:val="31"/>
  </w:num>
  <w:num w:numId="40">
    <w:abstractNumId w:val="6"/>
  </w:num>
  <w:num w:numId="41">
    <w:abstractNumId w:val="45"/>
  </w:num>
  <w:num w:numId="42">
    <w:abstractNumId w:val="29"/>
  </w:num>
  <w:num w:numId="43">
    <w:abstractNumId w:val="2"/>
  </w:num>
  <w:num w:numId="44">
    <w:abstractNumId w:val="22"/>
  </w:num>
  <w:num w:numId="45">
    <w:abstractNumId w:val="43"/>
  </w:num>
  <w:num w:numId="46">
    <w:abstractNumId w:val="7"/>
  </w:num>
  <w:num w:numId="4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30C"/>
    <w:rsid w:val="0019554D"/>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E0F"/>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E0"/>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5E"/>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ABA"/>
    <w:rsid w:val="00544B73"/>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234"/>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E7"/>
    <w:rsid w:val="005E18C1"/>
    <w:rsid w:val="005E19DC"/>
    <w:rsid w:val="005E209A"/>
    <w:rsid w:val="005E234A"/>
    <w:rsid w:val="005E2371"/>
    <w:rsid w:val="005E265F"/>
    <w:rsid w:val="005E3588"/>
    <w:rsid w:val="005E35CC"/>
    <w:rsid w:val="005E371E"/>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110"/>
    <w:rsid w:val="0095048D"/>
    <w:rsid w:val="0095049E"/>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4CF"/>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DF7"/>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6DC"/>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BF5"/>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67CB"/>
    <w:rsid w:val="00BC6A5F"/>
    <w:rsid w:val="00BC6A75"/>
    <w:rsid w:val="00BC6FD6"/>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BF7C53"/>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309"/>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1A3"/>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87"/>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920"/>
    <w:rsid w:val="00D73BA8"/>
    <w:rsid w:val="00D73E42"/>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4E4"/>
    <w:rsid w:val="00E5680D"/>
    <w:rsid w:val="00E56B05"/>
    <w:rsid w:val="00E56DD6"/>
    <w:rsid w:val="00E5733D"/>
    <w:rsid w:val="00E576B5"/>
    <w:rsid w:val="00E579CE"/>
    <w:rsid w:val="00E57AFC"/>
    <w:rsid w:val="00E57CF6"/>
    <w:rsid w:val="00E57F02"/>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74AD"/>
    <w:rsid w:val="00E97648"/>
    <w:rsid w:val="00E97775"/>
    <w:rsid w:val="00E97CAF"/>
    <w:rsid w:val="00E97D2F"/>
    <w:rsid w:val="00E97E3B"/>
    <w:rsid w:val="00EA0116"/>
    <w:rsid w:val="00EA0464"/>
    <w:rsid w:val="00EA0E4A"/>
    <w:rsid w:val="00EA1A54"/>
    <w:rsid w:val="00EA1B7A"/>
    <w:rsid w:val="00EA1CA8"/>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1C6E"/>
    <w:rsid w:val="00FB2537"/>
    <w:rsid w:val="00FB2789"/>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8F6"/>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EF55C-0803-484C-B454-99C04B06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5</cp:revision>
  <cp:lastPrinted>2018-08-02T09:56:00Z</cp:lastPrinted>
  <dcterms:created xsi:type="dcterms:W3CDTF">2020-08-06T07:41:00Z</dcterms:created>
  <dcterms:modified xsi:type="dcterms:W3CDTF">2020-08-07T08:00:00Z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