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0FF6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ListParagraph"/>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Heading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TableGrid"/>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uawei, HiSilicon</w:t>
            </w:r>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57186D" w:rsidRPr="0094574F" w14:paraId="05B1433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35B7BB7B" w14:textId="67A14E00" w:rsidR="0057186D" w:rsidRPr="0057186D" w:rsidRDefault="0057186D" w:rsidP="00CA619D">
            <w:pPr>
              <w:rPr>
                <w:rFonts w:eastAsia="MS Mincho"/>
                <w:lang w:eastAsia="ja-JP"/>
              </w:rPr>
            </w:pPr>
            <w:r>
              <w:rPr>
                <w:rFonts w:eastAsia="MS Mincho" w:hint="eastAsia"/>
                <w:lang w:eastAsia="ja-JP"/>
              </w:rPr>
              <w:t>S</w:t>
            </w:r>
            <w:r>
              <w:rPr>
                <w:rFonts w:eastAsia="MS Mincho"/>
                <w:lang w:eastAsia="ja-JP"/>
              </w:rPr>
              <w:t>ony</w:t>
            </w:r>
          </w:p>
        </w:tc>
        <w:tc>
          <w:tcPr>
            <w:tcW w:w="1018" w:type="dxa"/>
            <w:tcBorders>
              <w:top w:val="single" w:sz="4" w:space="0" w:color="auto"/>
              <w:left w:val="single" w:sz="4" w:space="0" w:color="auto"/>
              <w:bottom w:val="single" w:sz="4" w:space="0" w:color="auto"/>
              <w:right w:val="single" w:sz="4" w:space="0" w:color="auto"/>
            </w:tcBorders>
          </w:tcPr>
          <w:p w14:paraId="64A03439" w14:textId="5124952C" w:rsidR="0057186D" w:rsidRPr="00063C8D" w:rsidRDefault="0094736A" w:rsidP="008B2873">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7100670A" w14:textId="037B9D8B" w:rsidR="0057186D" w:rsidRPr="0094736A" w:rsidRDefault="0094736A" w:rsidP="008B2873">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377DDFE5" w14:textId="2C4230E0" w:rsidR="0057186D" w:rsidRDefault="008B2873" w:rsidP="00CA619D">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7303385E" w14:textId="4C0DA0B9" w:rsidR="0057186D" w:rsidRDefault="008B2873" w:rsidP="00CA619D">
            <w:pPr>
              <w:jc w:val="center"/>
              <w:rPr>
                <w:lang w:eastAsia="zh-CN"/>
              </w:rP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D9668BB" w14:textId="31D5BEB8" w:rsidR="0057186D" w:rsidRDefault="0094736A" w:rsidP="00CA619D">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6E3CAE10" w14:textId="70025FB9"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28EE9DBD" w14:textId="261F35F8"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6526344C" w14:textId="16662504" w:rsidR="0057186D" w:rsidRDefault="0094736A" w:rsidP="00CA619D">
            <w:pPr>
              <w:jc w:val="center"/>
              <w:rPr>
                <w:lang w:eastAsia="zh-CN"/>
              </w:rPr>
            </w:pPr>
            <w:r>
              <w:rPr>
                <w:rFonts w:hint="eastAsia"/>
                <w:lang w:eastAsia="zh-CN"/>
              </w:rPr>
              <w:t>H</w:t>
            </w:r>
            <w:r>
              <w:rPr>
                <w:lang w:eastAsia="zh-CN"/>
              </w:rPr>
              <w:t>igh</w:t>
            </w:r>
          </w:p>
        </w:tc>
      </w:tr>
      <w:tr w:rsidR="00440EEA" w:rsidRPr="0094574F" w14:paraId="1742A5BD" w14:textId="77777777" w:rsidTr="00440EEA">
        <w:trPr>
          <w:trHeight w:val="301"/>
        </w:trPr>
        <w:tc>
          <w:tcPr>
            <w:tcW w:w="1150" w:type="dxa"/>
          </w:tcPr>
          <w:p w14:paraId="40DBB620" w14:textId="77777777" w:rsidR="00440EEA" w:rsidRDefault="00440EEA" w:rsidP="001D3F21">
            <w:pPr>
              <w:rPr>
                <w:lang w:eastAsia="zh-CN"/>
              </w:rPr>
            </w:pPr>
            <w:r>
              <w:rPr>
                <w:rFonts w:hint="eastAsia"/>
                <w:lang w:eastAsia="zh-CN"/>
              </w:rPr>
              <w:t>OPPO</w:t>
            </w:r>
          </w:p>
        </w:tc>
        <w:tc>
          <w:tcPr>
            <w:tcW w:w="1018" w:type="dxa"/>
          </w:tcPr>
          <w:p w14:paraId="47E6CEC7" w14:textId="77777777" w:rsidR="00440EEA" w:rsidRDefault="00440EEA" w:rsidP="001D3F21">
            <w:pPr>
              <w:jc w:val="center"/>
              <w:rPr>
                <w:lang w:eastAsia="zh-CN"/>
              </w:rPr>
            </w:pPr>
            <w:r>
              <w:rPr>
                <w:rFonts w:hint="eastAsia"/>
                <w:lang w:eastAsia="zh-CN"/>
              </w:rPr>
              <w:t>H</w:t>
            </w:r>
            <w:r>
              <w:rPr>
                <w:lang w:eastAsia="zh-CN"/>
              </w:rPr>
              <w:t>igh</w:t>
            </w:r>
          </w:p>
        </w:tc>
        <w:tc>
          <w:tcPr>
            <w:tcW w:w="1021" w:type="dxa"/>
          </w:tcPr>
          <w:p w14:paraId="7C978A5F" w14:textId="77777777" w:rsidR="00440EEA" w:rsidRDefault="00440EEA" w:rsidP="001D3F21">
            <w:pPr>
              <w:jc w:val="center"/>
              <w:rPr>
                <w:lang w:eastAsia="zh-CN"/>
              </w:rPr>
            </w:pPr>
            <w:r>
              <w:rPr>
                <w:rFonts w:hint="eastAsia"/>
                <w:lang w:eastAsia="zh-CN"/>
              </w:rPr>
              <w:t>H</w:t>
            </w:r>
            <w:r>
              <w:rPr>
                <w:lang w:eastAsia="zh-CN"/>
              </w:rPr>
              <w:t>igh</w:t>
            </w:r>
          </w:p>
        </w:tc>
        <w:tc>
          <w:tcPr>
            <w:tcW w:w="1038" w:type="dxa"/>
          </w:tcPr>
          <w:p w14:paraId="5CA455CC" w14:textId="77777777" w:rsidR="00440EEA" w:rsidRDefault="00440EEA" w:rsidP="001D3F21">
            <w:pPr>
              <w:jc w:val="center"/>
              <w:rPr>
                <w:lang w:eastAsia="zh-CN"/>
              </w:rPr>
            </w:pPr>
            <w:r>
              <w:rPr>
                <w:rFonts w:hint="eastAsia"/>
                <w:lang w:eastAsia="zh-CN"/>
              </w:rPr>
              <w:t>H</w:t>
            </w:r>
            <w:r>
              <w:rPr>
                <w:lang w:eastAsia="zh-CN"/>
              </w:rPr>
              <w:t>igh</w:t>
            </w:r>
          </w:p>
        </w:tc>
        <w:tc>
          <w:tcPr>
            <w:tcW w:w="1017" w:type="dxa"/>
          </w:tcPr>
          <w:p w14:paraId="277C538B" w14:textId="77777777" w:rsidR="00440EEA" w:rsidRDefault="00440EEA" w:rsidP="001D3F21">
            <w:pPr>
              <w:jc w:val="center"/>
              <w:rPr>
                <w:lang w:eastAsia="zh-CN"/>
              </w:rPr>
            </w:pPr>
            <w:r>
              <w:rPr>
                <w:rFonts w:hint="eastAsia"/>
                <w:lang w:eastAsia="zh-CN"/>
              </w:rPr>
              <w:t>H</w:t>
            </w:r>
            <w:r>
              <w:rPr>
                <w:lang w:eastAsia="zh-CN"/>
              </w:rPr>
              <w:t>igh</w:t>
            </w:r>
          </w:p>
        </w:tc>
        <w:tc>
          <w:tcPr>
            <w:tcW w:w="1025" w:type="dxa"/>
          </w:tcPr>
          <w:p w14:paraId="679DCC91" w14:textId="77777777" w:rsidR="00440EEA" w:rsidRDefault="00440EEA" w:rsidP="001D3F21">
            <w:pPr>
              <w:jc w:val="center"/>
              <w:rPr>
                <w:lang w:eastAsia="zh-CN"/>
              </w:rPr>
            </w:pPr>
            <w:r>
              <w:rPr>
                <w:rFonts w:hint="eastAsia"/>
                <w:lang w:eastAsia="zh-CN"/>
              </w:rPr>
              <w:t>M</w:t>
            </w:r>
            <w:r>
              <w:rPr>
                <w:lang w:eastAsia="zh-CN"/>
              </w:rPr>
              <w:t>edium</w:t>
            </w:r>
          </w:p>
        </w:tc>
        <w:tc>
          <w:tcPr>
            <w:tcW w:w="1021" w:type="dxa"/>
          </w:tcPr>
          <w:p w14:paraId="2BBDC50C" w14:textId="77777777" w:rsidR="00440EEA" w:rsidRDefault="00440EEA" w:rsidP="001D3F21">
            <w:pPr>
              <w:jc w:val="center"/>
              <w:rPr>
                <w:lang w:eastAsia="zh-CN"/>
              </w:rPr>
            </w:pPr>
            <w:r>
              <w:rPr>
                <w:rFonts w:hint="eastAsia"/>
                <w:lang w:eastAsia="zh-CN"/>
              </w:rPr>
              <w:t>M</w:t>
            </w:r>
            <w:r>
              <w:rPr>
                <w:lang w:eastAsia="zh-CN"/>
              </w:rPr>
              <w:t>edium</w:t>
            </w:r>
          </w:p>
        </w:tc>
        <w:tc>
          <w:tcPr>
            <w:tcW w:w="1336" w:type="dxa"/>
          </w:tcPr>
          <w:p w14:paraId="2A3D2631" w14:textId="77777777" w:rsidR="00440EEA" w:rsidRDefault="00440EEA" w:rsidP="001D3F21">
            <w:pPr>
              <w:jc w:val="center"/>
              <w:rPr>
                <w:lang w:eastAsia="zh-CN"/>
              </w:rPr>
            </w:pPr>
            <w:r>
              <w:rPr>
                <w:rFonts w:hint="eastAsia"/>
                <w:lang w:eastAsia="zh-CN"/>
              </w:rPr>
              <w:t>L</w:t>
            </w:r>
            <w:r>
              <w:rPr>
                <w:lang w:eastAsia="zh-CN"/>
              </w:rPr>
              <w:t>ow</w:t>
            </w:r>
          </w:p>
        </w:tc>
        <w:tc>
          <w:tcPr>
            <w:tcW w:w="1336" w:type="dxa"/>
          </w:tcPr>
          <w:p w14:paraId="06EEEE8F" w14:textId="77777777" w:rsidR="00440EEA" w:rsidRDefault="00440EEA" w:rsidP="001D3F21">
            <w:pPr>
              <w:jc w:val="center"/>
              <w:rPr>
                <w:lang w:eastAsia="zh-CN"/>
              </w:rPr>
            </w:pPr>
            <w:r>
              <w:rPr>
                <w:rFonts w:hint="eastAsia"/>
                <w:lang w:eastAsia="zh-CN"/>
              </w:rPr>
              <w:t>L</w:t>
            </w:r>
            <w:r>
              <w:rPr>
                <w:lang w:eastAsia="zh-CN"/>
              </w:rPr>
              <w:t>ow</w:t>
            </w:r>
          </w:p>
        </w:tc>
      </w:tr>
      <w:tr w:rsidR="00B17EE6" w:rsidRPr="0094574F" w14:paraId="77ECE26E" w14:textId="77777777" w:rsidTr="00440EEA">
        <w:trPr>
          <w:trHeight w:val="301"/>
        </w:trPr>
        <w:tc>
          <w:tcPr>
            <w:tcW w:w="1150" w:type="dxa"/>
          </w:tcPr>
          <w:p w14:paraId="435935F1" w14:textId="4D36A0AC" w:rsidR="00B17EE6" w:rsidRDefault="00B17EE6" w:rsidP="001D3F21">
            <w:pPr>
              <w:rPr>
                <w:rFonts w:hint="eastAsia"/>
                <w:lang w:eastAsia="zh-CN"/>
              </w:rPr>
            </w:pPr>
            <w:r>
              <w:rPr>
                <w:lang w:eastAsia="zh-CN"/>
              </w:rPr>
              <w:t>Nokia</w:t>
            </w:r>
          </w:p>
        </w:tc>
        <w:tc>
          <w:tcPr>
            <w:tcW w:w="1018" w:type="dxa"/>
          </w:tcPr>
          <w:p w14:paraId="50774906" w14:textId="14B98444" w:rsidR="00B17EE6" w:rsidRDefault="00B17EE6" w:rsidP="001D3F21">
            <w:pPr>
              <w:jc w:val="center"/>
              <w:rPr>
                <w:rFonts w:hint="eastAsia"/>
                <w:lang w:eastAsia="zh-CN"/>
              </w:rPr>
            </w:pPr>
            <w:r>
              <w:rPr>
                <w:lang w:eastAsia="zh-CN"/>
              </w:rPr>
              <w:t>High</w:t>
            </w:r>
          </w:p>
        </w:tc>
        <w:tc>
          <w:tcPr>
            <w:tcW w:w="1021" w:type="dxa"/>
          </w:tcPr>
          <w:p w14:paraId="0B39494B" w14:textId="1C3CF406" w:rsidR="00B17EE6" w:rsidRDefault="000944A0" w:rsidP="001D3F21">
            <w:pPr>
              <w:jc w:val="center"/>
              <w:rPr>
                <w:rFonts w:hint="eastAsia"/>
                <w:lang w:eastAsia="zh-CN"/>
              </w:rPr>
            </w:pPr>
            <w:r>
              <w:rPr>
                <w:lang w:eastAsia="zh-CN"/>
              </w:rPr>
              <w:t>Medium</w:t>
            </w:r>
          </w:p>
        </w:tc>
        <w:tc>
          <w:tcPr>
            <w:tcW w:w="1038" w:type="dxa"/>
          </w:tcPr>
          <w:p w14:paraId="2FBD7B1E" w14:textId="56D4C1F6" w:rsidR="00B17EE6" w:rsidRDefault="000944A0" w:rsidP="001D3F21">
            <w:pPr>
              <w:jc w:val="center"/>
              <w:rPr>
                <w:rFonts w:hint="eastAsia"/>
                <w:lang w:eastAsia="zh-CN"/>
              </w:rPr>
            </w:pPr>
            <w:r>
              <w:rPr>
                <w:lang w:eastAsia="zh-CN"/>
              </w:rPr>
              <w:t>Medium</w:t>
            </w:r>
          </w:p>
        </w:tc>
        <w:tc>
          <w:tcPr>
            <w:tcW w:w="1017" w:type="dxa"/>
          </w:tcPr>
          <w:p w14:paraId="13290292" w14:textId="2A702E8D" w:rsidR="00B17EE6" w:rsidRDefault="00662BC3" w:rsidP="001D3F21">
            <w:pPr>
              <w:jc w:val="center"/>
              <w:rPr>
                <w:rFonts w:hint="eastAsia"/>
                <w:lang w:eastAsia="zh-CN"/>
              </w:rPr>
            </w:pPr>
            <w:r>
              <w:rPr>
                <w:lang w:eastAsia="zh-CN"/>
              </w:rPr>
              <w:t>High</w:t>
            </w:r>
          </w:p>
        </w:tc>
        <w:tc>
          <w:tcPr>
            <w:tcW w:w="1025" w:type="dxa"/>
          </w:tcPr>
          <w:p w14:paraId="27545842" w14:textId="2FF82454" w:rsidR="00B17EE6" w:rsidRDefault="00EC37C7" w:rsidP="001D3F21">
            <w:pPr>
              <w:jc w:val="center"/>
              <w:rPr>
                <w:rFonts w:hint="eastAsia"/>
                <w:lang w:eastAsia="zh-CN"/>
              </w:rPr>
            </w:pPr>
            <w:r>
              <w:rPr>
                <w:lang w:eastAsia="zh-CN"/>
              </w:rPr>
              <w:t>Medium</w:t>
            </w:r>
          </w:p>
        </w:tc>
        <w:tc>
          <w:tcPr>
            <w:tcW w:w="1021" w:type="dxa"/>
          </w:tcPr>
          <w:p w14:paraId="69CA9ECF" w14:textId="3E78C248" w:rsidR="00B17EE6" w:rsidRDefault="00EC37C7" w:rsidP="001D3F21">
            <w:pPr>
              <w:jc w:val="center"/>
              <w:rPr>
                <w:rFonts w:hint="eastAsia"/>
                <w:lang w:eastAsia="zh-CN"/>
              </w:rPr>
            </w:pPr>
            <w:r>
              <w:rPr>
                <w:lang w:eastAsia="zh-CN"/>
              </w:rPr>
              <w:t>High</w:t>
            </w:r>
          </w:p>
        </w:tc>
        <w:tc>
          <w:tcPr>
            <w:tcW w:w="1336" w:type="dxa"/>
          </w:tcPr>
          <w:p w14:paraId="1D3B6C4E" w14:textId="69B975D1" w:rsidR="00B17EE6" w:rsidRDefault="00563507" w:rsidP="001D3F21">
            <w:pPr>
              <w:jc w:val="center"/>
              <w:rPr>
                <w:rFonts w:hint="eastAsia"/>
                <w:lang w:eastAsia="zh-CN"/>
              </w:rPr>
            </w:pPr>
            <w:r>
              <w:rPr>
                <w:lang w:eastAsia="zh-CN"/>
              </w:rPr>
              <w:t>Medium</w:t>
            </w:r>
          </w:p>
        </w:tc>
        <w:tc>
          <w:tcPr>
            <w:tcW w:w="1336" w:type="dxa"/>
          </w:tcPr>
          <w:p w14:paraId="0BB69E8B" w14:textId="23F0C87D" w:rsidR="00B17EE6" w:rsidRDefault="00563507" w:rsidP="001D3F21">
            <w:pPr>
              <w:jc w:val="center"/>
              <w:rPr>
                <w:rFonts w:hint="eastAsia"/>
                <w:lang w:eastAsia="zh-CN"/>
              </w:rPr>
            </w:pPr>
            <w:r>
              <w:rPr>
                <w:lang w:eastAsia="zh-CN"/>
              </w:rPr>
              <w:t>Low</w:t>
            </w:r>
            <w:bookmarkStart w:id="6" w:name="_GoBack"/>
            <w:bookmarkEnd w:id="6"/>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TableGrid"/>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lastRenderedPageBreak/>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7"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7"/>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CA619D" w14:paraId="2A06AA18" w14:textId="77777777" w:rsidTr="00440EEA">
        <w:trPr>
          <w:jc w:val="center"/>
        </w:trPr>
        <w:tc>
          <w:tcPr>
            <w:tcW w:w="1206" w:type="dxa"/>
          </w:tcPr>
          <w:p w14:paraId="6DD004B4" w14:textId="0B8621DB" w:rsidR="00CA619D" w:rsidRDefault="00CA619D" w:rsidP="00303005">
            <w:pPr>
              <w:rPr>
                <w:sz w:val="22"/>
                <w:lang w:eastAsia="zh-CN"/>
              </w:rPr>
            </w:pPr>
            <w:r>
              <w:rPr>
                <w:rFonts w:hint="eastAsia"/>
                <w:sz w:val="22"/>
                <w:lang w:eastAsia="zh-CN"/>
              </w:rPr>
              <w:lastRenderedPageBreak/>
              <w:t>Z</w:t>
            </w:r>
            <w:r>
              <w:rPr>
                <w:sz w:val="22"/>
                <w:lang w:eastAsia="zh-CN"/>
              </w:rPr>
              <w:t>TE</w:t>
            </w:r>
          </w:p>
        </w:tc>
        <w:tc>
          <w:tcPr>
            <w:tcW w:w="8464" w:type="dxa"/>
          </w:tcPr>
          <w:p w14:paraId="274BF48C" w14:textId="77777777" w:rsidR="00AD3761" w:rsidRDefault="00AD3761" w:rsidP="00AD3761">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27F1563C" w14:textId="77777777" w:rsidR="00AD3761" w:rsidRDefault="00AD3761" w:rsidP="00AD3761">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7085F830" w14:textId="77777777" w:rsidR="00AD3761" w:rsidRDefault="00AD3761" w:rsidP="00AD3761">
            <w:pPr>
              <w:rPr>
                <w:sz w:val="22"/>
                <w:lang w:eastAsia="zh-CN"/>
              </w:rPr>
            </w:pPr>
            <w:r>
              <w:rPr>
                <w:sz w:val="22"/>
                <w:lang w:eastAsia="zh-CN"/>
              </w:rPr>
              <w:t>Issue 3: Clarifying the “simultaneous operation” is critical MBS initial design as this is a fundamental implementation restriction on UE side, we need to take this into account from the very beginning.</w:t>
            </w:r>
          </w:p>
          <w:p w14:paraId="5E8F32B6" w14:textId="77777777" w:rsidR="00AD3761" w:rsidRDefault="00AD3761" w:rsidP="00AD3761">
            <w:pPr>
              <w:rPr>
                <w:sz w:val="22"/>
                <w:lang w:eastAsia="zh-CN"/>
              </w:rPr>
            </w:pPr>
          </w:p>
          <w:p w14:paraId="369951E6" w14:textId="77777777" w:rsidR="00AD3761" w:rsidRDefault="00AD3761" w:rsidP="00AD3761">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32E7BFF8" w14:textId="77777777" w:rsidR="00AD3761" w:rsidRDefault="00AD3761" w:rsidP="00AD3761">
            <w:pPr>
              <w:rPr>
                <w:sz w:val="22"/>
                <w:lang w:eastAsia="zh-CN"/>
              </w:rPr>
            </w:pPr>
          </w:p>
          <w:p w14:paraId="60514D13" w14:textId="7FBC57A5" w:rsidR="00CA619D" w:rsidRDefault="00AD3761" w:rsidP="00AD3761">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r w:rsidR="00440EEA" w14:paraId="5E7EFAD4" w14:textId="77777777" w:rsidTr="00440EEA">
        <w:tblPrEx>
          <w:jc w:val="left"/>
        </w:tblPrEx>
        <w:tc>
          <w:tcPr>
            <w:tcW w:w="1206" w:type="dxa"/>
          </w:tcPr>
          <w:p w14:paraId="457FFEB9" w14:textId="77777777" w:rsidR="00440EEA" w:rsidRDefault="00440EEA" w:rsidP="001D3F21">
            <w:pPr>
              <w:rPr>
                <w:sz w:val="22"/>
                <w:lang w:eastAsia="zh-CN"/>
              </w:rPr>
            </w:pPr>
            <w:r>
              <w:rPr>
                <w:rFonts w:hint="eastAsia"/>
                <w:sz w:val="22"/>
                <w:lang w:eastAsia="zh-CN"/>
              </w:rPr>
              <w:t>O</w:t>
            </w:r>
            <w:r>
              <w:rPr>
                <w:sz w:val="22"/>
                <w:lang w:eastAsia="zh-CN"/>
              </w:rPr>
              <w:t>PPO</w:t>
            </w:r>
          </w:p>
        </w:tc>
        <w:tc>
          <w:tcPr>
            <w:tcW w:w="8464" w:type="dxa"/>
          </w:tcPr>
          <w:p w14:paraId="5A5BE196" w14:textId="77777777" w:rsidR="00440EEA" w:rsidRDefault="00440EEA" w:rsidP="001D3F21">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11EA244B" w14:textId="77777777" w:rsidR="00440EEA" w:rsidRDefault="00440EEA" w:rsidP="001D3F21">
            <w:pPr>
              <w:rPr>
                <w:sz w:val="22"/>
                <w:lang w:eastAsia="zh-CN"/>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ListParagraph"/>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ListParagraph"/>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A26709">
            <w:pPr>
              <w:pStyle w:val="ListParagraph"/>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Heading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Group Scheduling Mechanisms to Support 5G Multicast / Broadcast Services for RRC_CONNECTED Ues</w:t>
      </w:r>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t>Convida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Mechanisms to improve reliablity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Mechanisms for 5G Multicast / Broadcast Reliability Improvements for RRC_CONNECTED Ues</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On Mechanisms to improve reliability for RRC_CONNECTED Ues</w:t>
      </w:r>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t>Convida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Basic Functions for Broadcast / Multicast for  RRC_IDLE / RRC_INACTIVE Ues</w:t>
      </w:r>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lastRenderedPageBreak/>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E963D" w14:textId="77777777" w:rsidR="002C3305" w:rsidRDefault="002C3305">
      <w:r>
        <w:separator/>
      </w:r>
    </w:p>
  </w:endnote>
  <w:endnote w:type="continuationSeparator" w:id="0">
    <w:p w14:paraId="08DC51AA" w14:textId="77777777" w:rsidR="002C3305" w:rsidRDefault="002C3305">
      <w:r>
        <w:continuationSeparator/>
      </w:r>
    </w:p>
  </w:endnote>
  <w:endnote w:type="continuationNotice" w:id="1">
    <w:p w14:paraId="2F67B617" w14:textId="77777777" w:rsidR="002C3305" w:rsidRDefault="002C33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85DFC" w:rsidRDefault="00285DF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85DFC" w:rsidRDefault="00285DF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B30FB8" w:rsidR="00285DFC" w:rsidRDefault="00285DF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173B5">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73B5">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2512" w14:textId="77777777" w:rsidR="002C3305" w:rsidRDefault="002C3305">
      <w:r>
        <w:separator/>
      </w:r>
    </w:p>
  </w:footnote>
  <w:footnote w:type="continuationSeparator" w:id="0">
    <w:p w14:paraId="21EA7381" w14:textId="77777777" w:rsidR="002C3305" w:rsidRDefault="002C3305">
      <w:r>
        <w:continuationSeparator/>
      </w:r>
    </w:p>
  </w:footnote>
  <w:footnote w:type="continuationNotice" w:id="1">
    <w:p w14:paraId="3EE4ABE1" w14:textId="77777777" w:rsidR="002C3305" w:rsidRDefault="002C33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190"/>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styleId="GridTable1Light">
    <w:name w:val="Grid Table 1 Light"/>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5D7958-EA6C-4802-BCA4-94354B99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2808</Words>
  <Characters>16009</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Bhatoolaul, David (Nokia - GB)</cp:lastModifiedBy>
  <cp:revision>8</cp:revision>
  <cp:lastPrinted>2014-11-07T12:38:00Z</cp:lastPrinted>
  <dcterms:created xsi:type="dcterms:W3CDTF">2020-08-18T09:49:00Z</dcterms:created>
  <dcterms:modified xsi:type="dcterms:W3CDTF">2020-08-18T09:59:00Z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