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C85C5E5" w:rsidR="00F110CD" w:rsidRPr="0078030C"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sidRPr="0078030C">
        <w:rPr>
          <w:bCs/>
          <w:noProof w:val="0"/>
          <w:sz w:val="24"/>
          <w:szCs w:val="24"/>
        </w:rPr>
        <w:t>#</w:t>
      </w:r>
      <w:r w:rsidR="00191E79" w:rsidRPr="0078030C">
        <w:rPr>
          <w:bCs/>
          <w:noProof w:val="0"/>
          <w:sz w:val="24"/>
          <w:szCs w:val="24"/>
        </w:rPr>
        <w:t>10</w:t>
      </w:r>
      <w:r w:rsidR="009D3CB8" w:rsidRPr="0078030C">
        <w:rPr>
          <w:bCs/>
          <w:noProof w:val="0"/>
          <w:sz w:val="24"/>
          <w:szCs w:val="24"/>
        </w:rPr>
        <w:t>2-e</w:t>
      </w:r>
      <w:r w:rsidR="001348FE" w:rsidRPr="0078030C">
        <w:rPr>
          <w:bCs/>
          <w:noProof w:val="0"/>
          <w:sz w:val="24"/>
          <w:szCs w:val="24"/>
        </w:rPr>
        <w:tab/>
      </w:r>
      <w:r w:rsidR="00BA1872" w:rsidRPr="0078030C">
        <w:rPr>
          <w:bCs/>
          <w:noProof w:val="0"/>
          <w:sz w:val="24"/>
          <w:szCs w:val="24"/>
        </w:rPr>
        <w:t>R1-</w:t>
      </w:r>
      <w:r w:rsidR="00191E79" w:rsidRPr="0078030C">
        <w:rPr>
          <w:bCs/>
          <w:noProof w:val="0"/>
          <w:sz w:val="24"/>
          <w:szCs w:val="24"/>
        </w:rPr>
        <w:t>2</w:t>
      </w:r>
      <w:r w:rsidR="00A11FFC" w:rsidRPr="0078030C">
        <w:rPr>
          <w:bCs/>
          <w:noProof w:val="0"/>
          <w:sz w:val="24"/>
          <w:szCs w:val="24"/>
        </w:rPr>
        <w:t>0</w:t>
      </w:r>
      <w:r w:rsidR="00AD05D6" w:rsidRPr="0078030C">
        <w:rPr>
          <w:bCs/>
          <w:noProof w:val="0"/>
          <w:sz w:val="24"/>
          <w:szCs w:val="24"/>
        </w:rPr>
        <w:t>06896</w:t>
      </w:r>
    </w:p>
    <w:p w14:paraId="30E02940" w14:textId="09D7871D" w:rsidR="00CA26CE" w:rsidRPr="0078030C" w:rsidRDefault="002778BD" w:rsidP="00CA26CE">
      <w:pPr>
        <w:pStyle w:val="Header"/>
        <w:rPr>
          <w:bCs/>
          <w:noProof w:val="0"/>
          <w:sz w:val="24"/>
          <w:szCs w:val="24"/>
        </w:rPr>
      </w:pPr>
      <w:r w:rsidRPr="0078030C">
        <w:rPr>
          <w:bCs/>
          <w:noProof w:val="0"/>
          <w:sz w:val="24"/>
          <w:szCs w:val="24"/>
        </w:rPr>
        <w:t xml:space="preserve">e-Meeting, </w:t>
      </w:r>
      <w:r w:rsidR="00355F5F" w:rsidRPr="0078030C">
        <w:rPr>
          <w:bCs/>
          <w:noProof w:val="0"/>
          <w:sz w:val="24"/>
          <w:szCs w:val="24"/>
        </w:rPr>
        <w:t>August</w:t>
      </w:r>
      <w:r w:rsidR="004A77B1" w:rsidRPr="0078030C">
        <w:rPr>
          <w:bCs/>
          <w:noProof w:val="0"/>
          <w:sz w:val="24"/>
          <w:szCs w:val="24"/>
        </w:rPr>
        <w:t xml:space="preserve"> </w:t>
      </w:r>
      <w:r w:rsidR="00355F5F" w:rsidRPr="0078030C">
        <w:rPr>
          <w:bCs/>
          <w:noProof w:val="0"/>
          <w:sz w:val="24"/>
          <w:szCs w:val="24"/>
        </w:rPr>
        <w:t>17</w:t>
      </w:r>
      <w:r w:rsidR="004A77B1" w:rsidRPr="0078030C">
        <w:rPr>
          <w:bCs/>
          <w:noProof w:val="0"/>
          <w:sz w:val="24"/>
          <w:szCs w:val="24"/>
          <w:vertAlign w:val="superscript"/>
        </w:rPr>
        <w:t>th</w:t>
      </w:r>
      <w:r w:rsidR="004A77B1" w:rsidRPr="0078030C">
        <w:rPr>
          <w:bCs/>
          <w:noProof w:val="0"/>
          <w:sz w:val="24"/>
          <w:szCs w:val="24"/>
        </w:rPr>
        <w:t xml:space="preserve"> </w:t>
      </w:r>
      <w:r w:rsidR="00451BAE" w:rsidRPr="0078030C">
        <w:rPr>
          <w:bCs/>
          <w:noProof w:val="0"/>
          <w:sz w:val="24"/>
          <w:szCs w:val="24"/>
        </w:rPr>
        <w:t xml:space="preserve">– </w:t>
      </w:r>
      <w:r w:rsidR="00355F5F" w:rsidRPr="0078030C">
        <w:rPr>
          <w:bCs/>
          <w:noProof w:val="0"/>
          <w:sz w:val="24"/>
          <w:szCs w:val="24"/>
        </w:rPr>
        <w:t>28</w:t>
      </w:r>
      <w:r w:rsidRPr="0078030C">
        <w:rPr>
          <w:bCs/>
          <w:noProof w:val="0"/>
          <w:sz w:val="24"/>
          <w:szCs w:val="24"/>
          <w:vertAlign w:val="superscript"/>
        </w:rPr>
        <w:t>th</w:t>
      </w:r>
      <w:r w:rsidRPr="0078030C">
        <w:rPr>
          <w:bCs/>
          <w:noProof w:val="0"/>
          <w:sz w:val="24"/>
          <w:szCs w:val="24"/>
        </w:rPr>
        <w:t>, 2020</w:t>
      </w:r>
    </w:p>
    <w:bookmarkEnd w:id="0"/>
    <w:p w14:paraId="2CFE1919" w14:textId="77777777" w:rsidR="00850D96" w:rsidRPr="0078030C" w:rsidRDefault="00850D96" w:rsidP="00CA26CE">
      <w:pPr>
        <w:pStyle w:val="Header"/>
        <w:rPr>
          <w:bCs/>
          <w:noProof w:val="0"/>
          <w:sz w:val="24"/>
          <w:lang w:val="en-GB" w:eastAsia="ja-JP"/>
        </w:rPr>
      </w:pPr>
    </w:p>
    <w:p w14:paraId="30E02941" w14:textId="2CB1695F" w:rsidR="0034111C" w:rsidRPr="001E5981" w:rsidRDefault="0034111C" w:rsidP="16512788">
      <w:pPr>
        <w:pStyle w:val="CRCoverPage"/>
        <w:rPr>
          <w:rFonts w:cs="Arial"/>
          <w:b/>
          <w:bCs/>
          <w:sz w:val="24"/>
          <w:szCs w:val="24"/>
          <w:lang w:val="en-US" w:eastAsia="ja-JP"/>
        </w:rPr>
      </w:pPr>
      <w:r w:rsidRPr="0078030C">
        <w:rPr>
          <w:rFonts w:cs="Arial"/>
          <w:b/>
          <w:bCs/>
          <w:sz w:val="24"/>
          <w:szCs w:val="24"/>
        </w:rPr>
        <w:t>Agenda item:</w:t>
      </w:r>
      <w:r w:rsidRPr="0078030C">
        <w:rPr>
          <w:rFonts w:cs="Arial"/>
          <w:b/>
          <w:bCs/>
          <w:sz w:val="24"/>
        </w:rPr>
        <w:tab/>
      </w:r>
      <w:r w:rsidRPr="0078030C">
        <w:rPr>
          <w:rFonts w:cs="Arial"/>
          <w:b/>
          <w:bCs/>
          <w:sz w:val="24"/>
        </w:rPr>
        <w:tab/>
      </w:r>
      <w:r w:rsidR="009D3CB8">
        <w:rPr>
          <w:rFonts w:cs="Arial"/>
          <w:b/>
          <w:bCs/>
          <w:sz w:val="24"/>
          <w:szCs w:val="24"/>
        </w:rPr>
        <w:t>8.7.1</w:t>
      </w:r>
      <w:r w:rsidR="00AE215C">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C67287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E215C">
        <w:rPr>
          <w:rFonts w:ascii="Arial" w:hAnsi="Arial" w:cs="Arial"/>
          <w:b/>
          <w:bCs/>
          <w:sz w:val="24"/>
        </w:rPr>
        <w:t>On paging enhancements for UE power saving</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4F8660FF" w:rsidR="004A77B1" w:rsidRDefault="0066209F" w:rsidP="00A64A6E">
      <w:bookmarkStart w:id="1" w:name="_Hlk510705081"/>
      <w:r>
        <w:rPr>
          <w:noProof/>
        </w:rPr>
        <mc:AlternateContent>
          <mc:Choice Requires="wps">
            <w:drawing>
              <wp:anchor distT="45720" distB="45720" distL="114300" distR="114300" simplePos="0" relativeHeight="251659264" behindDoc="0" locked="0" layoutInCell="1" allowOverlap="1" wp14:anchorId="66A8FBC6" wp14:editId="40608390">
                <wp:simplePos x="0" y="0"/>
                <wp:positionH relativeFrom="margin">
                  <wp:align>center</wp:align>
                </wp:positionH>
                <wp:positionV relativeFrom="paragraph">
                  <wp:posOffset>295910</wp:posOffset>
                </wp:positionV>
                <wp:extent cx="5974080" cy="14046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445B73FF" w14:textId="77777777" w:rsidR="0066209F" w:rsidRDefault="0066209F" w:rsidP="00E873F6">
                            <w:pPr>
                              <w:pStyle w:val="ListParagraph"/>
                              <w:numPr>
                                <w:ilvl w:val="0"/>
                                <w:numId w:val="27"/>
                              </w:numPr>
                            </w:pPr>
                            <w:proofErr w:type="spellStart"/>
                            <w:r w:rsidRPr="00211CD3">
                              <w:t>Specify</w:t>
                            </w:r>
                            <w:proofErr w:type="spellEnd"/>
                            <w:r w:rsidRPr="00211CD3">
                              <w:t xml:space="preserve"> </w:t>
                            </w:r>
                            <w:proofErr w:type="spellStart"/>
                            <w:r w:rsidRPr="00211CD3">
                              <w:t>enhancements</w:t>
                            </w:r>
                            <w:proofErr w:type="spellEnd"/>
                            <w:r w:rsidRPr="00211CD3">
                              <w:t xml:space="preserve"> for </w:t>
                            </w:r>
                            <w:proofErr w:type="spellStart"/>
                            <w:r w:rsidRPr="00211CD3">
                              <w:t>idle</w:t>
                            </w:r>
                            <w:proofErr w:type="spellEnd"/>
                            <w:r w:rsidRPr="00211CD3">
                              <w:t>/</w:t>
                            </w:r>
                            <w:proofErr w:type="spellStart"/>
                            <w:r w:rsidRPr="00211CD3">
                              <w:t>inactive-mode</w:t>
                            </w:r>
                            <w:proofErr w:type="spellEnd"/>
                            <w:r w:rsidRPr="00211CD3">
                              <w:t xml:space="preserve"> UE </w:t>
                            </w:r>
                            <w:proofErr w:type="spellStart"/>
                            <w:r w:rsidRPr="00211CD3">
                              <w:t>power</w:t>
                            </w:r>
                            <w:proofErr w:type="spellEnd"/>
                            <w:r w:rsidRPr="00211CD3">
                              <w:t xml:space="preserve"> </w:t>
                            </w:r>
                            <w:proofErr w:type="spellStart"/>
                            <w:r w:rsidRPr="00211CD3">
                              <w:t>saving</w:t>
                            </w:r>
                            <w:proofErr w:type="spellEnd"/>
                            <w:r w:rsidRPr="00211CD3">
                              <w:t xml:space="preserve">, </w:t>
                            </w:r>
                            <w:proofErr w:type="spellStart"/>
                            <w:r w:rsidRPr="00211CD3">
                              <w:t>considering</w:t>
                            </w:r>
                            <w:proofErr w:type="spellEnd"/>
                            <w:r w:rsidRPr="00211CD3">
                              <w:t xml:space="preserve"> </w:t>
                            </w:r>
                            <w:proofErr w:type="spellStart"/>
                            <w:r w:rsidRPr="00211CD3">
                              <w:t>system</w:t>
                            </w:r>
                            <w:proofErr w:type="spellEnd"/>
                            <w:r w:rsidRPr="00211CD3">
                              <w:t xml:space="preserve"> </w:t>
                            </w:r>
                            <w:proofErr w:type="spellStart"/>
                            <w:r w:rsidRPr="00211CD3">
                              <w:t>performance</w:t>
                            </w:r>
                            <w:proofErr w:type="spellEnd"/>
                            <w:r w:rsidRPr="00211CD3">
                              <w:t xml:space="preserve"> </w:t>
                            </w:r>
                            <w:proofErr w:type="spellStart"/>
                            <w:r w:rsidRPr="00211CD3">
                              <w:t>aspects</w:t>
                            </w:r>
                            <w:proofErr w:type="spellEnd"/>
                            <w:r w:rsidRPr="00211CD3">
                              <w:t xml:space="preserve"> [RAN2, RAN1]</w:t>
                            </w:r>
                          </w:p>
                          <w:p w14:paraId="6AA73C19" w14:textId="32676A08" w:rsidR="0066209F" w:rsidRPr="00211CD3" w:rsidRDefault="0066209F" w:rsidP="0066209F">
                            <w:pPr>
                              <w:pStyle w:val="ListParagraph"/>
                              <w:numPr>
                                <w:ilvl w:val="1"/>
                                <w:numId w:val="27"/>
                              </w:numPr>
                            </w:pPr>
                            <w:proofErr w:type="spellStart"/>
                            <w:r w:rsidRPr="00211CD3">
                              <w:t>Study</w:t>
                            </w:r>
                            <w:proofErr w:type="spellEnd"/>
                            <w:r w:rsidRPr="00211CD3">
                              <w:t xml:space="preserve"> and </w:t>
                            </w:r>
                            <w:proofErr w:type="spellStart"/>
                            <w:r w:rsidRPr="00211CD3">
                              <w:t>specify</w:t>
                            </w:r>
                            <w:proofErr w:type="spellEnd"/>
                            <w:r w:rsidRPr="00211CD3">
                              <w:t xml:space="preserve"> </w:t>
                            </w:r>
                            <w:proofErr w:type="spellStart"/>
                            <w:r w:rsidRPr="00211CD3">
                              <w:t>paging</w:t>
                            </w:r>
                            <w:proofErr w:type="spellEnd"/>
                            <w:r w:rsidRPr="00211CD3">
                              <w:t xml:space="preserve"> enhancement(s) to reduce unnecessary UE paging receptions, subject to no impact to legacy UEs [RAN2, RAN1]</w:t>
                            </w:r>
                          </w:p>
                          <w:p w14:paraId="0CD82901" w14:textId="1AEDE0A8" w:rsidR="0066209F" w:rsidRDefault="0066209F" w:rsidP="00FB465F">
                            <w:pPr>
                              <w:ind w:left="796" w:firstLine="284"/>
                            </w:pPr>
                            <w:r w:rsidRPr="00211CD3">
                              <w:t>NOTE: RAN1 to check and update, if needed, evaluation methodology in RAN1 #100 meeting</w:t>
                            </w:r>
                          </w:p>
                          <w:p w14:paraId="5E12BDA7" w14:textId="194593B8" w:rsidR="00FB465F" w:rsidRPr="00FB465F" w:rsidRDefault="00FB465F" w:rsidP="00FB465F">
                            <w:pPr>
                              <w:pStyle w:val="ListParagraph"/>
                              <w:numPr>
                                <w:ilvl w:val="1"/>
                                <w:numId w:val="27"/>
                              </w:numPr>
                              <w:rPr>
                                <w:lang w:val="en-US"/>
                              </w:rPr>
                            </w:pPr>
                            <w:r w:rsidRPr="00FB465F">
                              <w:rPr>
                                <w:lang w:val="en-US"/>
                              </w:rPr>
                              <w:t>Specify means to provide potential TRS/CSI-RS occasion(s) available in connected mode to idle/inactive-mode UEs, minimizing system overhead impact [RAN1]</w:t>
                            </w:r>
                          </w:p>
                          <w:p w14:paraId="32D05B55" w14:textId="1002AB01" w:rsidR="00FB465F" w:rsidRPr="00FB465F" w:rsidRDefault="00FB465F" w:rsidP="00FB465F">
                            <w:pPr>
                              <w:ind w:left="796" w:firstLine="284"/>
                              <w:rPr>
                                <w:lang w:val="en-US"/>
                              </w:rPr>
                            </w:pPr>
                            <w:r w:rsidRPr="00FB465F">
                              <w:rPr>
                                <w:lang w:val="en-US"/>
                              </w:rPr>
                              <w:t xml:space="preserve">NOTE: Always-on TRS/CSI-RS transmission by </w:t>
                            </w:r>
                            <w:proofErr w:type="spellStart"/>
                            <w:r w:rsidRPr="00FB465F">
                              <w:rPr>
                                <w:lang w:val="en-US"/>
                              </w:rPr>
                              <w:t>gNodeB</w:t>
                            </w:r>
                            <w:proofErr w:type="spellEnd"/>
                            <w:r w:rsidRPr="00FB465F">
                              <w:rPr>
                                <w:lang w:val="en-US"/>
                              </w:rPr>
                              <w:t xml:space="preserve"> is not required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8FBC6" id="_x0000_t202" coordsize="21600,21600" o:spt="202" path="m,l,21600r21600,l21600,xe">
                <v:stroke joinstyle="miter"/>
                <v:path gradientshapeok="t" o:connecttype="rect"/>
              </v:shapetype>
              <v:shape id="Text Box 2" o:spid="_x0000_s1026" type="#_x0000_t202" style="position:absolute;margin-left:0;margin-top:23.3pt;width:470.4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7JAIAAEcEAAAOAAAAZHJzL2Uyb0RvYy54bWysU9uO2yAQfa/Uf0C8N77I2S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">
                <v:textbox style="mso-fit-shape-to-text:t">
                  <w:txbxContent>
                    <w:p w14:paraId="445B73FF" w14:textId="77777777" w:rsidR="0066209F" w:rsidRDefault="0066209F" w:rsidP="00E873F6">
                      <w:pPr>
                        <w:pStyle w:val="ListParagraph"/>
                        <w:numPr>
                          <w:ilvl w:val="0"/>
                          <w:numId w:val="27"/>
                        </w:numPr>
                      </w:pPr>
                      <w:proofErr w:type="spellStart"/>
                      <w:r w:rsidRPr="00211CD3">
                        <w:t>Specify</w:t>
                      </w:r>
                      <w:proofErr w:type="spellEnd"/>
                      <w:r w:rsidRPr="00211CD3">
                        <w:t xml:space="preserve"> </w:t>
                      </w:r>
                      <w:proofErr w:type="spellStart"/>
                      <w:r w:rsidRPr="00211CD3">
                        <w:t>enhancements</w:t>
                      </w:r>
                      <w:proofErr w:type="spellEnd"/>
                      <w:r w:rsidRPr="00211CD3">
                        <w:t xml:space="preserve"> for </w:t>
                      </w:r>
                      <w:proofErr w:type="spellStart"/>
                      <w:r w:rsidRPr="00211CD3">
                        <w:t>idle</w:t>
                      </w:r>
                      <w:proofErr w:type="spellEnd"/>
                      <w:r w:rsidRPr="00211CD3">
                        <w:t>/</w:t>
                      </w:r>
                      <w:proofErr w:type="spellStart"/>
                      <w:r w:rsidRPr="00211CD3">
                        <w:t>inactive-mode</w:t>
                      </w:r>
                      <w:proofErr w:type="spellEnd"/>
                      <w:r w:rsidRPr="00211CD3">
                        <w:t xml:space="preserve"> UE </w:t>
                      </w:r>
                      <w:proofErr w:type="spellStart"/>
                      <w:r w:rsidRPr="00211CD3">
                        <w:t>power</w:t>
                      </w:r>
                      <w:proofErr w:type="spellEnd"/>
                      <w:r w:rsidRPr="00211CD3">
                        <w:t xml:space="preserve"> </w:t>
                      </w:r>
                      <w:proofErr w:type="spellStart"/>
                      <w:r w:rsidRPr="00211CD3">
                        <w:t>saving</w:t>
                      </w:r>
                      <w:proofErr w:type="spellEnd"/>
                      <w:r w:rsidRPr="00211CD3">
                        <w:t xml:space="preserve">, </w:t>
                      </w:r>
                      <w:proofErr w:type="spellStart"/>
                      <w:r w:rsidRPr="00211CD3">
                        <w:t>considering</w:t>
                      </w:r>
                      <w:proofErr w:type="spellEnd"/>
                      <w:r w:rsidRPr="00211CD3">
                        <w:t xml:space="preserve"> </w:t>
                      </w:r>
                      <w:proofErr w:type="spellStart"/>
                      <w:r w:rsidRPr="00211CD3">
                        <w:t>system</w:t>
                      </w:r>
                      <w:proofErr w:type="spellEnd"/>
                      <w:r w:rsidRPr="00211CD3">
                        <w:t xml:space="preserve"> </w:t>
                      </w:r>
                      <w:proofErr w:type="spellStart"/>
                      <w:r w:rsidRPr="00211CD3">
                        <w:t>performance</w:t>
                      </w:r>
                      <w:proofErr w:type="spellEnd"/>
                      <w:r w:rsidRPr="00211CD3">
                        <w:t xml:space="preserve"> </w:t>
                      </w:r>
                      <w:proofErr w:type="spellStart"/>
                      <w:r w:rsidRPr="00211CD3">
                        <w:t>aspects</w:t>
                      </w:r>
                      <w:proofErr w:type="spellEnd"/>
                      <w:r w:rsidRPr="00211CD3">
                        <w:t xml:space="preserve"> [RAN2, RAN1]</w:t>
                      </w:r>
                    </w:p>
                    <w:p w14:paraId="6AA73C19" w14:textId="32676A08" w:rsidR="0066209F" w:rsidRPr="00211CD3" w:rsidRDefault="0066209F" w:rsidP="0066209F">
                      <w:pPr>
                        <w:pStyle w:val="ListParagraph"/>
                        <w:numPr>
                          <w:ilvl w:val="1"/>
                          <w:numId w:val="27"/>
                        </w:numPr>
                      </w:pPr>
                      <w:proofErr w:type="spellStart"/>
                      <w:r w:rsidRPr="00211CD3">
                        <w:t>Study</w:t>
                      </w:r>
                      <w:proofErr w:type="spellEnd"/>
                      <w:r w:rsidRPr="00211CD3">
                        <w:t xml:space="preserve"> and </w:t>
                      </w:r>
                      <w:proofErr w:type="spellStart"/>
                      <w:r w:rsidRPr="00211CD3">
                        <w:t>specify</w:t>
                      </w:r>
                      <w:proofErr w:type="spellEnd"/>
                      <w:r w:rsidRPr="00211CD3">
                        <w:t xml:space="preserve"> </w:t>
                      </w:r>
                      <w:proofErr w:type="spellStart"/>
                      <w:r w:rsidRPr="00211CD3">
                        <w:t>paging</w:t>
                      </w:r>
                      <w:proofErr w:type="spellEnd"/>
                      <w:r w:rsidRPr="00211CD3">
                        <w:t xml:space="preserve"> enhancement(s) to reduce unnecessary UE paging receptions, subject to no impact to legacy UEs [RAN2, RAN1]</w:t>
                      </w:r>
                    </w:p>
                    <w:p w14:paraId="0CD82901" w14:textId="1AEDE0A8" w:rsidR="0066209F" w:rsidRDefault="0066209F" w:rsidP="00FB465F">
                      <w:pPr>
                        <w:ind w:left="796" w:firstLine="284"/>
                      </w:pPr>
                      <w:r w:rsidRPr="00211CD3">
                        <w:t>NOTE: RAN1 to check and update, if needed, evaluation methodology in RAN1 #100 meeting</w:t>
                      </w:r>
                    </w:p>
                    <w:p w14:paraId="5E12BDA7" w14:textId="194593B8" w:rsidR="00FB465F" w:rsidRPr="00FB465F" w:rsidRDefault="00FB465F" w:rsidP="00FB465F">
                      <w:pPr>
                        <w:pStyle w:val="ListParagraph"/>
                        <w:numPr>
                          <w:ilvl w:val="1"/>
                          <w:numId w:val="27"/>
                        </w:numPr>
                        <w:rPr>
                          <w:lang w:val="en-US"/>
                        </w:rPr>
                      </w:pPr>
                      <w:r w:rsidRPr="00FB465F">
                        <w:rPr>
                          <w:lang w:val="en-US"/>
                        </w:rPr>
                        <w:t>Specify means to provide potential TRS/CSI-RS occasion(s) available in connected mode to idle/inactive-mode UEs, minimizing system overhead impact [RAN1]</w:t>
                      </w:r>
                    </w:p>
                    <w:p w14:paraId="32D05B55" w14:textId="1002AB01" w:rsidR="00FB465F" w:rsidRPr="00FB465F" w:rsidRDefault="00FB465F" w:rsidP="00FB465F">
                      <w:pPr>
                        <w:ind w:left="796" w:firstLine="284"/>
                        <w:rPr>
                          <w:lang w:val="en-US"/>
                        </w:rPr>
                      </w:pPr>
                      <w:r w:rsidRPr="00FB465F">
                        <w:rPr>
                          <w:lang w:val="en-US"/>
                        </w:rPr>
                        <w:t xml:space="preserve">NOTE: Always-on TRS/CSI-RS transmission by </w:t>
                      </w:r>
                      <w:proofErr w:type="spellStart"/>
                      <w:r w:rsidRPr="00FB465F">
                        <w:rPr>
                          <w:lang w:val="en-US"/>
                        </w:rPr>
                        <w:t>gNodeB</w:t>
                      </w:r>
                      <w:proofErr w:type="spellEnd"/>
                      <w:r w:rsidRPr="00FB465F">
                        <w:rPr>
                          <w:lang w:val="en-US"/>
                        </w:rPr>
                        <w:t xml:space="preserve"> is not required</w:t>
                      </w:r>
                    </w:p>
                  </w:txbxContent>
                </v:textbox>
                <w10:wrap type="square" anchorx="margin"/>
              </v:shape>
            </w:pict>
          </mc:Fallback>
        </mc:AlternateContent>
      </w:r>
      <w:r w:rsidR="00211CD3">
        <w:t>The release 17 work item</w:t>
      </w:r>
      <w:r w:rsidR="00CE184E">
        <w:t xml:space="preserve"> </w:t>
      </w:r>
      <w:r w:rsidR="00CE184E">
        <w:fldChar w:fldCharType="begin"/>
      </w:r>
      <w:r w:rsidR="00CE184E">
        <w:instrText xml:space="preserve"> REF _Ref44586051 \r \h </w:instrText>
      </w:r>
      <w:r w:rsidR="00CE184E">
        <w:fldChar w:fldCharType="separate"/>
      </w:r>
      <w:r w:rsidR="00955677">
        <w:t>[1]</w:t>
      </w:r>
      <w:r w:rsidR="00CE184E">
        <w:fldChar w:fldCharType="end"/>
      </w:r>
      <w:r w:rsidR="00211CD3">
        <w:t xml:space="preserve"> on UE power saving includes the following objective</w:t>
      </w:r>
    </w:p>
    <w:p w14:paraId="18657718" w14:textId="003FF531" w:rsidR="0066209F" w:rsidRDefault="0066209F" w:rsidP="00A64A6E">
      <w:r>
        <w:t>In this contribution assumptions relevant to the objective 1</w:t>
      </w:r>
      <w:r w:rsidR="009D3CB8">
        <w:t>a</w:t>
      </w:r>
      <w:r>
        <w:t xml:space="preserve"> are discussed.</w:t>
      </w:r>
      <w:r w:rsidR="007406D2">
        <w:t xml:space="preserve"> </w:t>
      </w:r>
    </w:p>
    <w:p w14:paraId="71230483" w14:textId="518677A2" w:rsidR="00305297" w:rsidRDefault="007820D0" w:rsidP="00A23DCA">
      <w:pPr>
        <w:pStyle w:val="Heading1"/>
      </w:pPr>
      <w:r>
        <w:t>Discussion</w:t>
      </w:r>
    </w:p>
    <w:p w14:paraId="2EA86EE0" w14:textId="6F01BC90" w:rsidR="00A7010B" w:rsidRPr="00A7010B" w:rsidRDefault="00A7010B" w:rsidP="0078030C">
      <w:pPr>
        <w:pStyle w:val="Heading2"/>
      </w:pPr>
      <w:r>
        <w:t>Evaluation assumptions</w:t>
      </w:r>
    </w:p>
    <w:p w14:paraId="3F4DEC31" w14:textId="7CA47E27" w:rsidR="00F11654" w:rsidRDefault="007406D2" w:rsidP="00F11654">
      <w:r>
        <w:t xml:space="preserve">To study paging enhancements the paging rate per UE needs to be assumed. A NR UE is assigned specific paging occasions (PO) to monitor if the paging DCI, scrambled with the P-RNTI, is transmitted on the PDCCH. Since multiple UEs may share the same PO the paging rate depends on the paging probability </w:t>
      </w:r>
      <w:r w:rsidR="00025941">
        <w:t>p</w:t>
      </w:r>
      <w:r>
        <w:t xml:space="preserve"> per UE and the number of UEs </w:t>
      </w:r>
      <w:r w:rsidR="00025941">
        <w:t>n</w:t>
      </w:r>
      <w:r>
        <w:t xml:space="preserve"> per PO. The UEs, which successfully detect the P-RNTI in the paging DCI, but do not find a paging message in the following PDSCH are subject to the “unnecessary UE paging reception” of objective 1a.</w:t>
      </w:r>
    </w:p>
    <w:p w14:paraId="19CAB6EA" w14:textId="118A9B72" w:rsidR="00025941" w:rsidRDefault="00FE1AC5" w:rsidP="00F11654">
      <w:r>
        <w:t>In TR 38.840</w:t>
      </w:r>
      <w:r w:rsidR="00955677">
        <w:t xml:space="preserve"> </w:t>
      </w:r>
      <w:r w:rsidR="00955677">
        <w:fldChar w:fldCharType="begin"/>
      </w:r>
      <w:r w:rsidR="00955677">
        <w:instrText xml:space="preserve"> REF _Ref44586076 \r \h </w:instrText>
      </w:r>
      <w:r w:rsidR="00955677">
        <w:fldChar w:fldCharType="separate"/>
      </w:r>
      <w:r w:rsidR="00955677">
        <w:t>[2]</w:t>
      </w:r>
      <w:r w:rsidR="00955677">
        <w:fldChar w:fldCharType="end"/>
      </w:r>
      <w:r w:rsidR="001A02B8">
        <w:t xml:space="preserve"> the group paging rate was set to 10 %. </w:t>
      </w:r>
      <w:r w:rsidR="00025941">
        <w:t>Paging outcome is a binomial random variable</w:t>
      </w:r>
    </w:p>
    <w:p w14:paraId="5EE2FB30" w14:textId="52859B88" w:rsidR="00025941" w:rsidRDefault="00025941" w:rsidP="00F11654">
      <m:oMathPara>
        <m:oMath>
          <m:r>
            <w:rPr>
              <w:rFonts w:ascii="Cambria Math" w:hAnsi="Cambria Math"/>
            </w:rPr>
            <m:t>P</m:t>
          </m:r>
          <m:d>
            <m:dPr>
              <m:begChr m:val="{"/>
              <m:endChr m:val="}"/>
              <m:ctrlPr>
                <w:rPr>
                  <w:rFonts w:ascii="Cambria Math" w:hAnsi="Cambria Math"/>
                  <w:i/>
                </w:rPr>
              </m:ctrlPr>
            </m:dPr>
            <m:e>
              <m:r>
                <w:rPr>
                  <w:rFonts w:ascii="Cambria Math" w:hAnsi="Cambria Math"/>
                </w:rPr>
                <m:t>X=i</m:t>
              </m:r>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m:t>
                    </m:r>
                  </m:e>
                </m:mr>
                <m:mr>
                  <m:e>
                    <m:r>
                      <w:rPr>
                        <w:rFonts w:ascii="Cambria Math" w:hAnsi="Cambria Math"/>
                      </w:rPr>
                      <m:t>i</m:t>
                    </m:r>
                  </m:e>
                </m:mr>
              </m:m>
            </m:e>
          </m:d>
          <m:sSup>
            <m:sSupPr>
              <m:ctrlPr>
                <w:rPr>
                  <w:rFonts w:ascii="Cambria Math" w:hAnsi="Cambria Math"/>
                  <w:i/>
                </w:rPr>
              </m:ctrlPr>
            </m:sSupPr>
            <m:e>
              <m:r>
                <w:rPr>
                  <w:rFonts w:ascii="Cambria Math" w:hAnsi="Cambria Math"/>
                </w:rPr>
                <m:t>p</m:t>
              </m:r>
            </m:e>
            <m:sup>
              <m:r>
                <w:rPr>
                  <w:rFonts w:ascii="Cambria Math" w:hAnsi="Cambria Math"/>
                </w:rPr>
                <m:t>i</m:t>
              </m:r>
            </m:sup>
          </m:sSup>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n-i</m:t>
              </m:r>
            </m:sup>
          </m:sSup>
        </m:oMath>
      </m:oMathPara>
    </w:p>
    <w:p w14:paraId="7AF24584" w14:textId="35857B1F" w:rsidR="00025941" w:rsidRDefault="00025941" w:rsidP="00F11654">
      <w:r>
        <w:t xml:space="preserve">Where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m:t>
                  </m:r>
                </m:e>
              </m:mr>
              <m:mr>
                <m:e>
                  <m:r>
                    <w:rPr>
                      <w:rFonts w:ascii="Cambria Math" w:hAnsi="Cambria Math"/>
                    </w:rPr>
                    <m:t>i</m:t>
                  </m:r>
                </m:e>
              </m:mr>
            </m:m>
          </m:e>
        </m:d>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i!</m:t>
            </m:r>
            <m:d>
              <m:dPr>
                <m:ctrlPr>
                  <w:rPr>
                    <w:rFonts w:ascii="Cambria Math" w:hAnsi="Cambria Math"/>
                    <w:i/>
                  </w:rPr>
                </m:ctrlPr>
              </m:dPr>
              <m:e>
                <m:r>
                  <w:rPr>
                    <w:rFonts w:ascii="Cambria Math" w:hAnsi="Cambria Math"/>
                  </w:rPr>
                  <m:t>n-1</m:t>
                </m:r>
              </m:e>
            </m:d>
          </m:den>
        </m:f>
      </m:oMath>
      <w:r>
        <w:t xml:space="preserve"> and </w:t>
      </w:r>
      <w:r w:rsidRPr="00025941">
        <w:rPr>
          <w:i/>
          <w:iCs/>
        </w:rPr>
        <w:t>i</w:t>
      </w:r>
      <w:r>
        <w:t xml:space="preserve"> is the number of objects from the set </w:t>
      </w:r>
      <w:r w:rsidRPr="00025941">
        <w:rPr>
          <w:i/>
          <w:iCs/>
        </w:rPr>
        <w:t>n</w:t>
      </w:r>
      <w:r>
        <w:t>.</w:t>
      </w:r>
    </w:p>
    <w:p w14:paraId="5CD11812" w14:textId="5755BCD3" w:rsidR="00025941" w:rsidRDefault="00025941" w:rsidP="00F11654">
      <w:r>
        <w:t>Paging occurs when at least 1 UE is paged</w:t>
      </w:r>
    </w:p>
    <w:p w14:paraId="008153E2" w14:textId="5D9BC398" w:rsidR="00025941" w:rsidRDefault="00025941" w:rsidP="00025941">
      <m:oMathPara>
        <m:oMath>
          <m:r>
            <w:rPr>
              <w:rFonts w:ascii="Cambria Math" w:hAnsi="Cambria Math"/>
            </w:rPr>
            <m:t>P</m:t>
          </m:r>
          <m:d>
            <m:dPr>
              <m:begChr m:val="{"/>
              <m:endChr m:val="}"/>
              <m:ctrlPr>
                <w:rPr>
                  <w:rFonts w:ascii="Cambria Math" w:hAnsi="Cambria Math"/>
                  <w:i/>
                </w:rPr>
              </m:ctrlPr>
            </m:dPr>
            <m:e>
              <m:r>
                <w:rPr>
                  <w:rFonts w:ascii="Cambria Math" w:hAnsi="Cambria Math"/>
                </w:rPr>
                <m:t>X&gt;0</m:t>
              </m:r>
            </m:e>
          </m:d>
          <m:r>
            <w:rPr>
              <w:rFonts w:ascii="Cambria Math" w:hAnsi="Cambria Math"/>
            </w:rPr>
            <m:t>=1-P</m:t>
          </m:r>
          <m:d>
            <m:dPr>
              <m:begChr m:val="{"/>
              <m:endChr m:val="}"/>
              <m:ctrlPr>
                <w:rPr>
                  <w:rFonts w:ascii="Cambria Math" w:hAnsi="Cambria Math"/>
                  <w:i/>
                </w:rPr>
              </m:ctrlPr>
            </m:dPr>
            <m:e>
              <m:r>
                <w:rPr>
                  <w:rFonts w:ascii="Cambria Math" w:hAnsi="Cambria Math"/>
                </w:rPr>
                <m:t>X=0</m:t>
              </m:r>
            </m:e>
          </m:d>
          <m:r>
            <w:rPr>
              <w:rFonts w:ascii="Cambria Math" w:hAnsi="Cambria Math"/>
            </w:rPr>
            <m:t>=1-</m:t>
          </m:r>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m:t>
                    </m:r>
                  </m:e>
                </m:mr>
                <m:mr>
                  <m:e>
                    <m:r>
                      <w:rPr>
                        <w:rFonts w:ascii="Cambria Math" w:hAnsi="Cambria Math"/>
                      </w:rPr>
                      <m:t>0</m:t>
                    </m:r>
                  </m:e>
                </m:mr>
              </m:m>
            </m:e>
          </m:d>
          <m:sSup>
            <m:sSupPr>
              <m:ctrlPr>
                <w:rPr>
                  <w:rFonts w:ascii="Cambria Math" w:hAnsi="Cambria Math"/>
                  <w:i/>
                </w:rPr>
              </m:ctrlPr>
            </m:sSupPr>
            <m:e>
              <m:r>
                <w:rPr>
                  <w:rFonts w:ascii="Cambria Math" w:hAnsi="Cambria Math"/>
                </w:rPr>
                <m:t>p</m:t>
              </m:r>
            </m:e>
            <m:sup>
              <m:r>
                <w:rPr>
                  <w:rFonts w:ascii="Cambria Math" w:hAnsi="Cambria Math"/>
                </w:rPr>
                <m:t>0</m:t>
              </m:r>
            </m:sup>
          </m:sSup>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n-0</m:t>
              </m:r>
            </m:sup>
          </m:sSup>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n</m:t>
              </m:r>
            </m:sup>
          </m:sSup>
        </m:oMath>
      </m:oMathPara>
    </w:p>
    <w:p w14:paraId="4B1FD855" w14:textId="77777777" w:rsidR="00CE184E" w:rsidRDefault="00025941" w:rsidP="00F11654">
      <w:r>
        <w:t xml:space="preserve">For a paging </w:t>
      </w:r>
      <w:proofErr w:type="spellStart"/>
      <w:r>
        <w:t>propability</w:t>
      </w:r>
      <w:proofErr w:type="spellEnd"/>
      <w:r>
        <w:t xml:space="preserve"> p=1% the group paging rate of 10 % can be achieved for UEs n=10.</w:t>
      </w:r>
      <w:r w:rsidR="00DB6B5D">
        <w:t xml:space="preserve"> If a higher number of UEs are assigned to the same paging occasion the group paging rate increases, which likewise will increase the unnecessary paging of the UEs that are not scheduled with a paging message. </w:t>
      </w:r>
    </w:p>
    <w:p w14:paraId="0F39D1C2" w14:textId="7D9DD97F" w:rsidR="00025941" w:rsidRDefault="00CE184E" w:rsidP="00F11654">
      <w:r>
        <w:rPr>
          <w:b/>
          <w:bCs/>
        </w:rPr>
        <w:t xml:space="preserve">Proposal: RAN1 to define the paging probability p=1 % and number of UEs per PO </w:t>
      </w:r>
      <w:r w:rsidR="007C6A12">
        <w:rPr>
          <w:b/>
          <w:bCs/>
        </w:rPr>
        <w:t>n</w:t>
      </w:r>
      <w:r>
        <w:rPr>
          <w:b/>
          <w:bCs/>
        </w:rPr>
        <w:t>=10</w:t>
      </w:r>
      <w:r w:rsidR="00BA54DF">
        <w:rPr>
          <w:b/>
          <w:bCs/>
        </w:rPr>
        <w:t xml:space="preserve"> for evaluation of objective 1</w:t>
      </w:r>
      <w:r w:rsidR="00A028AC">
        <w:rPr>
          <w:b/>
          <w:bCs/>
        </w:rPr>
        <w:t>a</w:t>
      </w:r>
      <w:r w:rsidR="00A72C13">
        <w:t>.</w:t>
      </w:r>
    </w:p>
    <w:p w14:paraId="42FF0B97" w14:textId="5A1905E7" w:rsidR="00CE184E" w:rsidRDefault="00CE184E" w:rsidP="00CE184E">
      <w:pPr>
        <w:rPr>
          <w:lang w:val="en-US"/>
        </w:rPr>
      </w:pPr>
      <w:r w:rsidRPr="00CE184E">
        <w:rPr>
          <w:lang w:val="en-US"/>
        </w:rPr>
        <w:t>In addition to defining t</w:t>
      </w:r>
      <w:r>
        <w:rPr>
          <w:lang w:val="en-US"/>
        </w:rPr>
        <w:t xml:space="preserve">he paging from probabilistic perspective, the time-wise paging configuration also needs to be defined. </w:t>
      </w:r>
      <w:r w:rsidR="00955677">
        <w:rPr>
          <w:lang w:val="en-US"/>
        </w:rPr>
        <w:t xml:space="preserve">In </w:t>
      </w:r>
      <w:r w:rsidR="00955677">
        <w:rPr>
          <w:lang w:val="en-US"/>
        </w:rPr>
        <w:fldChar w:fldCharType="begin"/>
      </w:r>
      <w:r w:rsidR="00955677">
        <w:rPr>
          <w:lang w:val="en-US"/>
        </w:rPr>
        <w:instrText xml:space="preserve"> REF _Ref44586076 \r \h </w:instrText>
      </w:r>
      <w:r w:rsidR="00955677">
        <w:rPr>
          <w:lang w:val="en-US"/>
        </w:rPr>
      </w:r>
      <w:r w:rsidR="00955677">
        <w:rPr>
          <w:lang w:val="en-US"/>
        </w:rPr>
        <w:fldChar w:fldCharType="separate"/>
      </w:r>
      <w:r w:rsidR="00955677">
        <w:rPr>
          <w:lang w:val="en-US"/>
        </w:rPr>
        <w:t>[2]</w:t>
      </w:r>
      <w:r w:rsidR="00955677">
        <w:rPr>
          <w:lang w:val="en-US"/>
        </w:rPr>
        <w:fldChar w:fldCharType="end"/>
      </w:r>
      <w:r w:rsidR="00955677">
        <w:rPr>
          <w:lang w:val="en-US"/>
        </w:rPr>
        <w:t xml:space="preserve"> the idle-mode DRX cycle was set to 1.28 s. </w:t>
      </w:r>
    </w:p>
    <w:p w14:paraId="75EED600" w14:textId="2850F0A4" w:rsidR="00750513" w:rsidRPr="00A72C13" w:rsidRDefault="00A72C13" w:rsidP="00CE184E">
      <w:pPr>
        <w:rPr>
          <w:b/>
          <w:bCs/>
          <w:lang w:val="en-US"/>
        </w:rPr>
      </w:pPr>
      <w:r>
        <w:rPr>
          <w:b/>
          <w:bCs/>
          <w:lang w:val="en-US"/>
        </w:rPr>
        <w:lastRenderedPageBreak/>
        <w:t>Proposal: RAN1 to define the idle-mode DRX cycle to 1.28 s</w:t>
      </w:r>
      <w:r w:rsidR="00BA54DF">
        <w:rPr>
          <w:b/>
          <w:bCs/>
          <w:lang w:val="en-US"/>
        </w:rPr>
        <w:t xml:space="preserve"> </w:t>
      </w:r>
      <w:r w:rsidR="00BA54DF">
        <w:rPr>
          <w:b/>
          <w:bCs/>
        </w:rPr>
        <w:t>for evaluation of objective 1</w:t>
      </w:r>
      <w:r w:rsidR="00A028AC">
        <w:rPr>
          <w:b/>
          <w:bCs/>
        </w:rPr>
        <w:t>a</w:t>
      </w:r>
      <w:r>
        <w:rPr>
          <w:b/>
          <w:bCs/>
          <w:lang w:val="en-US"/>
        </w:rPr>
        <w:t>.</w:t>
      </w:r>
    </w:p>
    <w:p w14:paraId="710CF226" w14:textId="4A505D24" w:rsidR="00A7010B" w:rsidRDefault="00A72C13" w:rsidP="00CE184E">
      <w:pPr>
        <w:rPr>
          <w:lang w:val="en-US"/>
        </w:rPr>
      </w:pPr>
      <w:r>
        <w:rPr>
          <w:lang w:val="en-US"/>
        </w:rPr>
        <w:t xml:space="preserve">In order to monitor for paging the UE may need to synchronize with the network beforehand. Depending on radio conditions the UE may need to receive one or more SSBs prior to the PO, and this will impact the energy saving potential. </w:t>
      </w:r>
      <w:r w:rsidR="000B2AE4">
        <w:rPr>
          <w:lang w:val="en-US"/>
        </w:rPr>
        <w:t xml:space="preserve">This also depends on the SSB periodicity which in </w:t>
      </w:r>
      <w:r w:rsidR="000B2AE4">
        <w:rPr>
          <w:lang w:val="en-US"/>
        </w:rPr>
        <w:fldChar w:fldCharType="begin"/>
      </w:r>
      <w:r w:rsidR="000B2AE4">
        <w:rPr>
          <w:lang w:val="en-US"/>
        </w:rPr>
        <w:instrText xml:space="preserve"> REF _Ref44586076 \r \h </w:instrText>
      </w:r>
      <w:r w:rsidR="000B2AE4">
        <w:rPr>
          <w:lang w:val="en-US"/>
        </w:rPr>
      </w:r>
      <w:r w:rsidR="000B2AE4">
        <w:rPr>
          <w:lang w:val="en-US"/>
        </w:rPr>
        <w:fldChar w:fldCharType="separate"/>
      </w:r>
      <w:r w:rsidR="000B2AE4">
        <w:rPr>
          <w:lang w:val="en-US"/>
        </w:rPr>
        <w:t>[2]</w:t>
      </w:r>
      <w:r w:rsidR="000B2AE4">
        <w:rPr>
          <w:lang w:val="en-US"/>
        </w:rPr>
        <w:fldChar w:fldCharType="end"/>
      </w:r>
      <w:r w:rsidR="000B2AE4">
        <w:rPr>
          <w:lang w:val="en-US"/>
        </w:rPr>
        <w:t xml:space="preserve"> was assumed to be 20 </w:t>
      </w:r>
      <w:proofErr w:type="spellStart"/>
      <w:r w:rsidR="000B2AE4">
        <w:rPr>
          <w:lang w:val="en-US"/>
        </w:rPr>
        <w:t>ms.</w:t>
      </w:r>
      <w:proofErr w:type="spellEnd"/>
      <w:r w:rsidR="00A7010B">
        <w:rPr>
          <w:lang w:val="en-US"/>
        </w:rPr>
        <w:t xml:space="preserve"> Using also 20ms SSB periodicity for the </w:t>
      </w:r>
      <w:proofErr w:type="spellStart"/>
      <w:r w:rsidR="00A7010B">
        <w:rPr>
          <w:lang w:val="en-US"/>
        </w:rPr>
        <w:t>evalutions</w:t>
      </w:r>
      <w:proofErr w:type="spellEnd"/>
      <w:r w:rsidR="00A7010B">
        <w:rPr>
          <w:lang w:val="en-US"/>
        </w:rPr>
        <w:t xml:space="preserve"> would seem justified. Also, in terms of RRM measurements it was assumed that full SSB ‘burst’ length is assumed e.g. 2ms SMTC window for FR1. </w:t>
      </w:r>
    </w:p>
    <w:p w14:paraId="1E58145D" w14:textId="71FB4012" w:rsidR="00CD66E0" w:rsidRDefault="00CD66E0" w:rsidP="00CD66E0">
      <w:pPr>
        <w:rPr>
          <w:b/>
          <w:bCs/>
          <w:lang w:val="en-US"/>
        </w:rPr>
      </w:pPr>
      <w:r w:rsidRPr="00BA54DF">
        <w:rPr>
          <w:b/>
          <w:bCs/>
          <w:lang w:val="en-US"/>
        </w:rPr>
        <w:t xml:space="preserve">Proposal: RAN1 to define the SSBs </w:t>
      </w:r>
      <w:r>
        <w:rPr>
          <w:b/>
          <w:bCs/>
          <w:lang w:val="en-US"/>
        </w:rPr>
        <w:t>periodicity to 20 ms</w:t>
      </w:r>
      <w:r w:rsidRPr="00BA54DF">
        <w:rPr>
          <w:b/>
          <w:bCs/>
          <w:lang w:val="en-US"/>
        </w:rPr>
        <w:t xml:space="preserve"> </w:t>
      </w:r>
      <w:r w:rsidRPr="00BA54DF">
        <w:rPr>
          <w:b/>
          <w:bCs/>
        </w:rPr>
        <w:t>for evaluation of objective 1</w:t>
      </w:r>
      <w:r w:rsidR="00A028AC">
        <w:rPr>
          <w:b/>
          <w:bCs/>
        </w:rPr>
        <w:t>a</w:t>
      </w:r>
      <w:r>
        <w:rPr>
          <w:b/>
          <w:bCs/>
        </w:rPr>
        <w:t>.</w:t>
      </w:r>
    </w:p>
    <w:p w14:paraId="05BCB951" w14:textId="142DEBE6" w:rsidR="00A7010B" w:rsidRDefault="00A7010B" w:rsidP="00CE184E">
      <w:pPr>
        <w:rPr>
          <w:lang w:val="en-US"/>
        </w:rPr>
      </w:pPr>
      <w:r>
        <w:rPr>
          <w:lang w:val="en-US"/>
        </w:rPr>
        <w:t xml:space="preserve">Additional aspect to be considered would be the relation of SSBs and PO in time domain. Hence it would need to be defined how the paging search space is determined. </w:t>
      </w:r>
      <w:r w:rsidR="00E873F6">
        <w:rPr>
          <w:lang w:val="en-US"/>
        </w:rPr>
        <w:t xml:space="preserve">There are basic approaches how to set the paging search space. One is to use ‘dedicated’ search space configuration </w:t>
      </w:r>
      <w:r w:rsidR="00355F5F">
        <w:rPr>
          <w:lang w:val="en-US"/>
        </w:rPr>
        <w:t>(</w:t>
      </w:r>
      <w:r w:rsidR="00355F5F" w:rsidRPr="00355F5F">
        <w:rPr>
          <w:lang w:val="en-US"/>
        </w:rPr>
        <w:t>pagingSearchSpace</w:t>
      </w:r>
      <w:r w:rsidR="00355F5F">
        <w:rPr>
          <w:lang w:val="en-US"/>
        </w:rPr>
        <w:t xml:space="preserve">≠0) giving </w:t>
      </w:r>
      <w:r w:rsidR="006516DA">
        <w:rPr>
          <w:lang w:val="en-US"/>
        </w:rPr>
        <w:t xml:space="preserve">more </w:t>
      </w:r>
      <w:r w:rsidR="00355F5F">
        <w:rPr>
          <w:lang w:val="en-US"/>
        </w:rPr>
        <w:t>flexibility to define the paging monitoring</w:t>
      </w:r>
      <w:r w:rsidR="006516DA">
        <w:rPr>
          <w:lang w:val="en-US"/>
        </w:rPr>
        <w:t>.</w:t>
      </w:r>
      <w:r w:rsidR="00355F5F">
        <w:rPr>
          <w:lang w:val="en-US"/>
        </w:rPr>
        <w:t xml:space="preserve"> </w:t>
      </w:r>
      <w:r w:rsidR="006516DA">
        <w:rPr>
          <w:lang w:val="en-US"/>
        </w:rPr>
        <w:t>Alternative</w:t>
      </w:r>
      <w:r w:rsidR="00355F5F">
        <w:rPr>
          <w:lang w:val="en-US"/>
        </w:rPr>
        <w:t xml:space="preserve"> approach is to </w:t>
      </w:r>
      <w:r w:rsidR="006516DA">
        <w:rPr>
          <w:lang w:val="en-US"/>
        </w:rPr>
        <w:t>re-</w:t>
      </w:r>
      <w:r w:rsidR="00355F5F">
        <w:rPr>
          <w:lang w:val="en-US"/>
        </w:rPr>
        <w:t>use the Type0-PDCCH CSS i.e. share the search space with SIB1 (</w:t>
      </w:r>
      <w:proofErr w:type="spellStart"/>
      <w:r w:rsidR="00355F5F" w:rsidRPr="00355F5F">
        <w:rPr>
          <w:lang w:val="en-US"/>
        </w:rPr>
        <w:t>pagingSearchSpace</w:t>
      </w:r>
      <w:proofErr w:type="spellEnd"/>
      <w:r w:rsidR="00355F5F">
        <w:rPr>
          <w:lang w:val="en-US"/>
        </w:rPr>
        <w:t xml:space="preserve">=0). In latter case, there are different search space configuration options, based on selected SSB and CORESET (#0) multiplexing pattern options. If multiplexing pattern 1 is used, the SSB and Type0-PDCCH CSS are basically time multiplexed. Use of dedicated or </w:t>
      </w:r>
      <w:r w:rsidR="006516DA">
        <w:rPr>
          <w:lang w:val="en-US"/>
        </w:rPr>
        <w:t xml:space="preserve">multiplexing </w:t>
      </w:r>
      <w:r w:rsidR="00355F5F">
        <w:rPr>
          <w:lang w:val="en-US"/>
        </w:rPr>
        <w:t>pattern1 are the only options for FR1. For FR2, with multiplexing pattern 2 and 3, the paging is basically multiplexed within the SSB ‘burst’. This provides efficiency in terms of beam sweep operation</w:t>
      </w:r>
      <w:r w:rsidR="006516DA">
        <w:rPr>
          <w:lang w:val="en-US"/>
        </w:rPr>
        <w:t xml:space="preserve"> and the paging monitoring would occur in conjunction with SSB monitoring.</w:t>
      </w:r>
    </w:p>
    <w:p w14:paraId="7CE84DBA" w14:textId="6CB50AD6" w:rsidR="006516DA" w:rsidRDefault="006516DA" w:rsidP="00CE184E">
      <w:pPr>
        <w:rPr>
          <w:lang w:val="en-US"/>
        </w:rPr>
      </w:pPr>
      <w:r>
        <w:rPr>
          <w:lang w:val="en-US"/>
        </w:rPr>
        <w:t>Hence, two baseline scenarios for evaluation</w:t>
      </w:r>
      <w:r w:rsidR="00B02653">
        <w:rPr>
          <w:lang w:val="en-US"/>
        </w:rPr>
        <w:t xml:space="preserve"> of</w:t>
      </w:r>
      <w:r>
        <w:rPr>
          <w:lang w:val="en-US"/>
        </w:rPr>
        <w:t xml:space="preserve"> the power consumption of paging monitoring could be envisioned; one where paging monitoring occurs in different slots compared to SSBs</w:t>
      </w:r>
      <w:r w:rsidR="00A21B2D">
        <w:rPr>
          <w:lang w:val="en-US"/>
        </w:rPr>
        <w:t xml:space="preserve"> (FR1 mainly)</w:t>
      </w:r>
      <w:r>
        <w:rPr>
          <w:lang w:val="en-US"/>
        </w:rPr>
        <w:t xml:space="preserve"> and other where the paging monitoring and SSB reception can be done simultaneously</w:t>
      </w:r>
      <w:r w:rsidR="00A21B2D">
        <w:rPr>
          <w:lang w:val="en-US"/>
        </w:rPr>
        <w:t xml:space="preserve"> (FR2 only)</w:t>
      </w:r>
      <w:r>
        <w:rPr>
          <w:lang w:val="en-US"/>
        </w:rPr>
        <w:t>.</w:t>
      </w:r>
    </w:p>
    <w:p w14:paraId="051C8377" w14:textId="6861AC10" w:rsidR="00A21B2D" w:rsidRDefault="00A21B2D" w:rsidP="00CE184E">
      <w:pPr>
        <w:rPr>
          <w:lang w:val="en-US"/>
        </w:rPr>
      </w:pPr>
      <w:r w:rsidRPr="0078030C">
        <w:rPr>
          <w:b/>
          <w:bCs/>
          <w:lang w:val="en-US"/>
        </w:rPr>
        <w:t>Observation:</w:t>
      </w:r>
      <w:r>
        <w:rPr>
          <w:lang w:val="en-US"/>
        </w:rPr>
        <w:t xml:space="preserve"> There are two baseline scenarios for paging monitoring power consumption evaluation; where paging monitoring can occur simultaneously with SSB reception (FR2 only) and where these occur in different slots (FR1 mainly).</w:t>
      </w:r>
    </w:p>
    <w:p w14:paraId="0612D7FA" w14:textId="40BF9EB6" w:rsidR="00995F89" w:rsidRDefault="00995F89" w:rsidP="00CE184E">
      <w:pPr>
        <w:rPr>
          <w:lang w:val="en-US"/>
        </w:rPr>
      </w:pPr>
      <w:r>
        <w:rPr>
          <w:lang w:val="en-US"/>
        </w:rPr>
        <w:t>In the case when SSB and paging monitoring occur in different slots, the offset would need to be determined. The start of each PO can</w:t>
      </w:r>
      <w:r w:rsidR="00B02653">
        <w:rPr>
          <w:lang w:val="en-US"/>
        </w:rPr>
        <w:t xml:space="preserve"> </w:t>
      </w:r>
      <w:r>
        <w:rPr>
          <w:lang w:val="en-US"/>
        </w:rPr>
        <w:t>be adjusted in relation of the Paging Frame (</w:t>
      </w:r>
      <w:proofErr w:type="spellStart"/>
      <w:r w:rsidRPr="0078030C">
        <w:rPr>
          <w:i/>
          <w:iCs/>
          <w:lang w:val="en-US"/>
        </w:rPr>
        <w:t>firstPDCCH-MonitoringOccasionOfPO</w:t>
      </w:r>
      <w:proofErr w:type="spellEnd"/>
      <w:r>
        <w:rPr>
          <w:lang w:val="en-US"/>
        </w:rPr>
        <w:t>)</w:t>
      </w:r>
      <w:r w:rsidR="007B2D6A">
        <w:rPr>
          <w:lang w:val="en-US"/>
        </w:rPr>
        <w:t xml:space="preserve">, allowing </w:t>
      </w:r>
      <w:proofErr w:type="spellStart"/>
      <w:r w:rsidR="007B2D6A">
        <w:rPr>
          <w:lang w:val="en-US"/>
        </w:rPr>
        <w:t>flexiple</w:t>
      </w:r>
      <w:proofErr w:type="spellEnd"/>
      <w:r w:rsidR="007B2D6A">
        <w:rPr>
          <w:lang w:val="en-US"/>
        </w:rPr>
        <w:t xml:space="preserve"> placement of the PO. Naturally in case the Type0-PDCCH CSS is used, the PO configuration needs to match the CSS, but in case of dedicated paging search space configuration, the </w:t>
      </w:r>
      <w:r w:rsidR="00363DFA">
        <w:rPr>
          <w:lang w:val="en-US"/>
        </w:rPr>
        <w:t>start of the PO in PF can be shifted</w:t>
      </w:r>
      <w:r w:rsidR="007B2D6A">
        <w:rPr>
          <w:lang w:val="en-US"/>
        </w:rPr>
        <w:t>.</w:t>
      </w:r>
      <w:r w:rsidR="00363DFA">
        <w:rPr>
          <w:lang w:val="en-US"/>
        </w:rPr>
        <w:t xml:space="preserve"> If the network aims to do power efficient configuration, it would seem beneficial that the PO’s are placed in close proximity of the SSB’s so that UE can receive both in the same wake-up. As the SSB sweep is contained within 5ms, the PO could start in the following half-frame. </w:t>
      </w:r>
      <w:proofErr w:type="spellStart"/>
      <w:r w:rsidR="00363DFA">
        <w:rPr>
          <w:lang w:val="en-US"/>
        </w:rPr>
        <w:t>Alernatively</w:t>
      </w:r>
      <w:proofErr w:type="spellEnd"/>
      <w:r w:rsidR="00363DFA">
        <w:rPr>
          <w:lang w:val="en-US"/>
        </w:rPr>
        <w:t xml:space="preserve"> the PO/PF could be placed further from the SSB to give room for other signal. From network power consumption perspective, it is of course more efficient if broadcast signals such as SSBs, paging and SIB1 can be placed in close proximity of each other. To consider both scenarios, more power optimized system configuration and system configuration where broadcast signals are separated it would be beneficial to consider both cases; where PO starts in the next half-frame after the SSBs and where PO is in between the SSBs. </w:t>
      </w:r>
    </w:p>
    <w:p w14:paraId="2C645599" w14:textId="468EAC66" w:rsidR="007B2D6A" w:rsidRPr="0078030C" w:rsidRDefault="003F4CAD" w:rsidP="00CE184E">
      <w:pPr>
        <w:rPr>
          <w:b/>
          <w:bCs/>
          <w:lang w:val="en-US"/>
        </w:rPr>
      </w:pPr>
      <w:r w:rsidRPr="0078030C">
        <w:rPr>
          <w:b/>
          <w:bCs/>
          <w:lang w:val="en-US"/>
        </w:rPr>
        <w:t>Proposal: In terms of PO time locations, consider two configurations; where PO starts in the next half-frame after the SSBs and where PO is in between the SSBs.</w:t>
      </w:r>
    </w:p>
    <w:p w14:paraId="14066867" w14:textId="1D01FEFB" w:rsidR="0086181A" w:rsidRDefault="0086181A" w:rsidP="00CE184E">
      <w:pPr>
        <w:rPr>
          <w:lang w:val="en-US"/>
        </w:rPr>
      </w:pPr>
      <w:r>
        <w:rPr>
          <w:lang w:val="en-US"/>
        </w:rPr>
        <w:t xml:space="preserve">When considering the number of ‘wake-ups’ needed for synchronization (if more than one SSB is needed) it would need to determined also the purpose of the additional SSB samples. I.e. whether the purpose of the measurements is to maintain (time and) frequency </w:t>
      </w:r>
      <w:proofErr w:type="spellStart"/>
      <w:r>
        <w:rPr>
          <w:lang w:val="en-US"/>
        </w:rPr>
        <w:t>synchornisation</w:t>
      </w:r>
      <w:proofErr w:type="spellEnd"/>
      <w:r>
        <w:rPr>
          <w:lang w:val="en-US"/>
        </w:rPr>
        <w:t xml:space="preserve"> to the </w:t>
      </w:r>
      <w:proofErr w:type="spellStart"/>
      <w:r>
        <w:rPr>
          <w:lang w:val="en-US"/>
        </w:rPr>
        <w:t>gNB</w:t>
      </w:r>
      <w:proofErr w:type="spellEnd"/>
      <w:r>
        <w:rPr>
          <w:lang w:val="en-US"/>
        </w:rPr>
        <w:t>, or whether for example AGC adjustment process or some channel estimation related operatio</w:t>
      </w:r>
      <w:r w:rsidR="00B02653">
        <w:rPr>
          <w:lang w:val="en-US"/>
        </w:rPr>
        <w:t>n</w:t>
      </w:r>
      <w:r>
        <w:rPr>
          <w:lang w:val="en-US"/>
        </w:rPr>
        <w:t xml:space="preserve">s are to be accounted. It would seem that frequency </w:t>
      </w:r>
      <w:proofErr w:type="spellStart"/>
      <w:r>
        <w:rPr>
          <w:lang w:val="en-US"/>
        </w:rPr>
        <w:t>synch</w:t>
      </w:r>
      <w:r w:rsidR="00B02653">
        <w:rPr>
          <w:lang w:val="en-US"/>
        </w:rPr>
        <w:t>r</w:t>
      </w:r>
      <w:r>
        <w:rPr>
          <w:lang w:val="en-US"/>
        </w:rPr>
        <w:t>onisation</w:t>
      </w:r>
      <w:proofErr w:type="spellEnd"/>
      <w:r>
        <w:rPr>
          <w:lang w:val="en-US"/>
        </w:rPr>
        <w:t xml:space="preserve"> is the most critical of these, thus it would seem simplest to consider it as the driving requirement when setting the need for SSB samples.</w:t>
      </w:r>
    </w:p>
    <w:p w14:paraId="55FB1A01" w14:textId="709FA5B8" w:rsidR="00A7010B" w:rsidRDefault="00A7010B" w:rsidP="00A7010B">
      <w:pPr>
        <w:rPr>
          <w:lang w:val="en-US"/>
        </w:rPr>
      </w:pPr>
      <w:r>
        <w:rPr>
          <w:lang w:val="en-US"/>
        </w:rPr>
        <w:t xml:space="preserve">Also it should be discussed whether number of SSB samples are taken from separate SSB ‘burst’ of whether more SSB samples can be taken from same burst. Samples from other than ‘serving beam’ could be used to maintain the frequency synchronization, assuming that they are received at sufficient level. </w:t>
      </w:r>
      <w:proofErr w:type="spellStart"/>
      <w:r>
        <w:rPr>
          <w:lang w:val="en-US"/>
        </w:rPr>
        <w:t>Corespondingly</w:t>
      </w:r>
      <w:proofErr w:type="spellEnd"/>
      <w:r>
        <w:rPr>
          <w:lang w:val="en-US"/>
        </w:rPr>
        <w:t xml:space="preserve">, as (intra-frequency) </w:t>
      </w:r>
      <w:proofErr w:type="spellStart"/>
      <w:r>
        <w:rPr>
          <w:lang w:val="en-US"/>
        </w:rPr>
        <w:t>neigbouring</w:t>
      </w:r>
      <w:proofErr w:type="spellEnd"/>
      <w:r>
        <w:rPr>
          <w:lang w:val="en-US"/>
        </w:rPr>
        <w:t xml:space="preserve"> cells have same absolute </w:t>
      </w:r>
      <w:proofErr w:type="spellStart"/>
      <w:r>
        <w:rPr>
          <w:lang w:val="en-US"/>
        </w:rPr>
        <w:t>centre</w:t>
      </w:r>
      <w:proofErr w:type="spellEnd"/>
      <w:r>
        <w:rPr>
          <w:lang w:val="en-US"/>
        </w:rPr>
        <w:t xml:space="preserve"> frequency with certain accuracy (e.g. ±0.05ppm as per TS38.104), </w:t>
      </w:r>
      <w:proofErr w:type="spellStart"/>
      <w:r>
        <w:rPr>
          <w:lang w:val="en-US"/>
        </w:rPr>
        <w:t>neigbour</w:t>
      </w:r>
      <w:proofErr w:type="spellEnd"/>
      <w:r>
        <w:rPr>
          <w:lang w:val="en-US"/>
        </w:rPr>
        <w:t xml:space="preserve"> cell measurements could be used to adjust the frequency </w:t>
      </w:r>
      <w:proofErr w:type="spellStart"/>
      <w:r>
        <w:rPr>
          <w:lang w:val="en-US"/>
        </w:rPr>
        <w:t>synch</w:t>
      </w:r>
      <w:r w:rsidR="00B02653">
        <w:rPr>
          <w:lang w:val="en-US"/>
        </w:rPr>
        <w:t>r</w:t>
      </w:r>
      <w:r>
        <w:rPr>
          <w:lang w:val="en-US"/>
        </w:rPr>
        <w:t>onisation</w:t>
      </w:r>
      <w:proofErr w:type="spellEnd"/>
      <w:r>
        <w:rPr>
          <w:lang w:val="en-US"/>
        </w:rPr>
        <w:t xml:space="preserve">. For UEs at cell edge, the samples from </w:t>
      </w:r>
      <w:proofErr w:type="spellStart"/>
      <w:r>
        <w:rPr>
          <w:lang w:val="en-US"/>
        </w:rPr>
        <w:t>neigbouring</w:t>
      </w:r>
      <w:proofErr w:type="spellEnd"/>
      <w:r>
        <w:rPr>
          <w:lang w:val="en-US"/>
        </w:rPr>
        <w:t xml:space="preserve"> cell beams could be use</w:t>
      </w:r>
      <w:r w:rsidR="007B2D6A">
        <w:rPr>
          <w:lang w:val="en-US"/>
        </w:rPr>
        <w:t>d as they are in any case monitored</w:t>
      </w:r>
      <w:r>
        <w:rPr>
          <w:lang w:val="en-US"/>
        </w:rPr>
        <w:t xml:space="preserve">. </w:t>
      </w:r>
      <w:r w:rsidR="00EE359B">
        <w:rPr>
          <w:lang w:val="en-US"/>
        </w:rPr>
        <w:t xml:space="preserve">In addition, as the scope of the objective 1b is to specify means to provide IDLE/Inactive UEs with information regarding the possible RS transmitted for Connected mode UEs, these could also be </w:t>
      </w:r>
      <w:proofErr w:type="spellStart"/>
      <w:r w:rsidR="00EE359B">
        <w:rPr>
          <w:lang w:val="en-US"/>
        </w:rPr>
        <w:t>considerd</w:t>
      </w:r>
      <w:proofErr w:type="spellEnd"/>
      <w:r w:rsidR="00EE359B">
        <w:rPr>
          <w:lang w:val="en-US"/>
        </w:rPr>
        <w:t xml:space="preserve"> when the need of additional enhancements is evaluated.</w:t>
      </w:r>
    </w:p>
    <w:p w14:paraId="1D218EAD" w14:textId="37A56913" w:rsidR="00A7010B" w:rsidRDefault="00A7010B" w:rsidP="00A7010B">
      <w:pPr>
        <w:rPr>
          <w:lang w:val="en-US"/>
        </w:rPr>
      </w:pPr>
      <w:r w:rsidRPr="000518BE">
        <w:rPr>
          <w:b/>
          <w:bCs/>
          <w:lang w:val="en-US"/>
        </w:rPr>
        <w:t>Observation:</w:t>
      </w:r>
      <w:r>
        <w:rPr>
          <w:lang w:val="en-US"/>
        </w:rPr>
        <w:t xml:space="preserve"> When determining the number of wake-ups for </w:t>
      </w:r>
      <w:proofErr w:type="spellStart"/>
      <w:r>
        <w:rPr>
          <w:lang w:val="en-US"/>
        </w:rPr>
        <w:t>synch</w:t>
      </w:r>
      <w:r w:rsidR="009948E6">
        <w:rPr>
          <w:lang w:val="en-US"/>
        </w:rPr>
        <w:t>r</w:t>
      </w:r>
      <w:r>
        <w:rPr>
          <w:lang w:val="en-US"/>
        </w:rPr>
        <w:t>onisation</w:t>
      </w:r>
      <w:proofErr w:type="spellEnd"/>
      <w:r>
        <w:rPr>
          <w:lang w:val="en-US"/>
        </w:rPr>
        <w:t xml:space="preserve"> to establish the power consumption, different sources for SSB samples would need to be accounted.  </w:t>
      </w:r>
    </w:p>
    <w:p w14:paraId="441F5B86" w14:textId="42D80B7C" w:rsidR="00BA54DF" w:rsidRDefault="00BA54DF" w:rsidP="00CE184E">
      <w:pPr>
        <w:rPr>
          <w:b/>
          <w:bCs/>
        </w:rPr>
      </w:pPr>
      <w:r w:rsidRPr="00BA54DF">
        <w:rPr>
          <w:b/>
          <w:bCs/>
          <w:lang w:val="en-US"/>
        </w:rPr>
        <w:t>Proposal: RAN1 to define the number of SSB</w:t>
      </w:r>
      <w:r w:rsidR="003F4CAD">
        <w:rPr>
          <w:b/>
          <w:bCs/>
          <w:lang w:val="en-US"/>
        </w:rPr>
        <w:t xml:space="preserve"> samples</w:t>
      </w:r>
      <w:r w:rsidRPr="00BA54DF">
        <w:rPr>
          <w:b/>
          <w:bCs/>
          <w:lang w:val="en-US"/>
        </w:rPr>
        <w:t xml:space="preserve"> required for synchronization prior to PO </w:t>
      </w:r>
      <w:r w:rsidRPr="00BA54DF">
        <w:rPr>
          <w:b/>
          <w:bCs/>
        </w:rPr>
        <w:t>for evaluation of objective 1</w:t>
      </w:r>
      <w:r w:rsidR="003F4CAD">
        <w:rPr>
          <w:b/>
          <w:bCs/>
        </w:rPr>
        <w:t>a</w:t>
      </w:r>
      <w:r w:rsidR="000B2AE4">
        <w:rPr>
          <w:b/>
          <w:bCs/>
        </w:rPr>
        <w:t>.</w:t>
      </w:r>
    </w:p>
    <w:p w14:paraId="670D11D7" w14:textId="4238508F" w:rsidR="00E60985" w:rsidRDefault="004D13ED" w:rsidP="00CE184E">
      <w:pPr>
        <w:rPr>
          <w:lang w:val="en-US"/>
        </w:rPr>
      </w:pPr>
      <w:r>
        <w:rPr>
          <w:lang w:val="en-US"/>
        </w:rPr>
        <w:lastRenderedPageBreak/>
        <w:t>In addition to monitor for paging, the UE also needs to monitor one or more cells’ received power/quality to determine whether cell reselection is needed. Such intra- and inter-frequency monitoring may be relaxed, according to TS 38.304, depending on the received power/quality of the serving cell.</w:t>
      </w:r>
      <w:r w:rsidR="002F7E10">
        <w:rPr>
          <w:lang w:val="en-US"/>
        </w:rPr>
        <w:t xml:space="preserve"> </w:t>
      </w:r>
      <w:r w:rsidR="00ED6747">
        <w:rPr>
          <w:lang w:val="en-US"/>
        </w:rPr>
        <w:t xml:space="preserve">However, to establish a proper baseline it is important to agree on the assumptions on neighbor cell measurements. The </w:t>
      </w:r>
      <w:r w:rsidR="00601546">
        <w:rPr>
          <w:lang w:val="en-US"/>
        </w:rPr>
        <w:t xml:space="preserve">technical report </w:t>
      </w:r>
      <w:r w:rsidR="00ED6747">
        <w:rPr>
          <w:lang w:val="en-US"/>
        </w:rPr>
        <w:fldChar w:fldCharType="begin"/>
      </w:r>
      <w:r w:rsidR="00ED6747">
        <w:rPr>
          <w:lang w:val="en-US"/>
        </w:rPr>
        <w:instrText xml:space="preserve"> REF _Ref44586076 \r \h </w:instrText>
      </w:r>
      <w:r w:rsidR="00ED6747">
        <w:rPr>
          <w:lang w:val="en-US"/>
        </w:rPr>
      </w:r>
      <w:r w:rsidR="00ED6747">
        <w:rPr>
          <w:lang w:val="en-US"/>
        </w:rPr>
        <w:fldChar w:fldCharType="separate"/>
      </w:r>
      <w:r w:rsidR="00ED6747">
        <w:rPr>
          <w:lang w:val="en-US"/>
        </w:rPr>
        <w:t>[2]</w:t>
      </w:r>
      <w:r w:rsidR="00ED6747">
        <w:rPr>
          <w:lang w:val="en-US"/>
        </w:rPr>
        <w:fldChar w:fldCharType="end"/>
      </w:r>
      <w:r w:rsidR="00ED6747">
        <w:rPr>
          <w:lang w:val="en-US"/>
        </w:rPr>
        <w:t xml:space="preserve"> </w:t>
      </w:r>
      <w:r w:rsidR="00601546">
        <w:rPr>
          <w:lang w:val="en-US"/>
        </w:rPr>
        <w:t>contains a number of different configurations, provided by the participating companies, and a power model for intra- and inter-frequency measurements.</w:t>
      </w:r>
    </w:p>
    <w:p w14:paraId="05774669" w14:textId="104CAB1A" w:rsidR="00601546" w:rsidRPr="0078030C" w:rsidRDefault="00601546" w:rsidP="00CE184E">
      <w:pPr>
        <w:rPr>
          <w:b/>
          <w:bCs/>
          <w:lang w:val="en-US"/>
        </w:rPr>
      </w:pPr>
      <w:r>
        <w:rPr>
          <w:b/>
          <w:bCs/>
          <w:lang w:val="en-US"/>
        </w:rPr>
        <w:t xml:space="preserve">Proposal: RAN1 to define </w:t>
      </w:r>
      <w:r w:rsidR="000D4D9A">
        <w:rPr>
          <w:b/>
          <w:bCs/>
          <w:lang w:val="en-US"/>
        </w:rPr>
        <w:t xml:space="preserve">the number of intra- and inter-frequency </w:t>
      </w:r>
      <w:r w:rsidR="00BF6AFC">
        <w:rPr>
          <w:b/>
          <w:bCs/>
          <w:lang w:val="en-US"/>
        </w:rPr>
        <w:t xml:space="preserve">cells for </w:t>
      </w:r>
      <w:r w:rsidR="00587960">
        <w:rPr>
          <w:b/>
          <w:bCs/>
          <w:lang w:val="en-US"/>
        </w:rPr>
        <w:t>measurements</w:t>
      </w:r>
      <w:r w:rsidR="003A6BBB">
        <w:rPr>
          <w:b/>
          <w:bCs/>
          <w:lang w:val="en-US"/>
        </w:rPr>
        <w:t xml:space="preserve"> and </w:t>
      </w:r>
      <w:r w:rsidR="00710933">
        <w:rPr>
          <w:b/>
          <w:bCs/>
          <w:lang w:val="en-US"/>
        </w:rPr>
        <w:t>cell search.</w:t>
      </w:r>
    </w:p>
    <w:p w14:paraId="73775F9C" w14:textId="1CBBB263" w:rsidR="00BA54DF" w:rsidRDefault="00BA54DF" w:rsidP="00CE184E">
      <w:pPr>
        <w:rPr>
          <w:lang w:val="en-US"/>
        </w:rPr>
      </w:pPr>
      <w:r>
        <w:rPr>
          <w:lang w:val="en-US"/>
        </w:rPr>
        <w:t xml:space="preserve">In </w:t>
      </w:r>
      <w:r>
        <w:rPr>
          <w:lang w:val="en-US"/>
        </w:rPr>
        <w:fldChar w:fldCharType="begin"/>
      </w:r>
      <w:r>
        <w:rPr>
          <w:lang w:val="en-US"/>
        </w:rPr>
        <w:instrText xml:space="preserve"> REF _Ref44586076 \r \h </w:instrText>
      </w:r>
      <w:r>
        <w:rPr>
          <w:lang w:val="en-US"/>
        </w:rPr>
      </w:r>
      <w:r>
        <w:rPr>
          <w:lang w:val="en-US"/>
        </w:rPr>
        <w:fldChar w:fldCharType="separate"/>
      </w:r>
      <w:r>
        <w:rPr>
          <w:lang w:val="en-US"/>
        </w:rPr>
        <w:t>[2]</w:t>
      </w:r>
      <w:r>
        <w:rPr>
          <w:lang w:val="en-US"/>
        </w:rPr>
        <w:fldChar w:fldCharType="end"/>
      </w:r>
      <w:r w:rsidR="000B2AE4">
        <w:rPr>
          <w:lang w:val="en-US"/>
        </w:rPr>
        <w:t xml:space="preserve"> a UE power consumption model was defined. </w:t>
      </w:r>
      <w:r w:rsidR="00080E85">
        <w:rPr>
          <w:lang w:val="en-US"/>
        </w:rPr>
        <w:t xml:space="preserve">The values were provided for a 100 MHz bandwidth reference configuration, but </w:t>
      </w:r>
      <w:r w:rsidR="006A2ED2">
        <w:rPr>
          <w:lang w:val="en-US"/>
        </w:rPr>
        <w:t xml:space="preserve">paging may be confined to </w:t>
      </w:r>
      <w:r w:rsidR="006A2ED2" w:rsidRPr="0078030C">
        <w:rPr>
          <w:lang w:val="en-US"/>
        </w:rPr>
        <w:t>20 MHz or less</w:t>
      </w:r>
      <w:r w:rsidR="006A2ED2">
        <w:rPr>
          <w:lang w:val="en-US"/>
        </w:rPr>
        <w:t xml:space="preserve">. Therefore, relevant power consumption </w:t>
      </w:r>
      <w:r w:rsidR="00A70D0A">
        <w:rPr>
          <w:lang w:val="en-US"/>
        </w:rPr>
        <w:t>states</w:t>
      </w:r>
      <w:r w:rsidR="006A2ED2">
        <w:rPr>
          <w:lang w:val="en-US"/>
        </w:rPr>
        <w:t xml:space="preserve"> must be scaled according to the bandwidth scaling model:</w:t>
      </w:r>
    </w:p>
    <w:p w14:paraId="62C52240" w14:textId="58818A31" w:rsidR="006A2ED2" w:rsidRPr="00A70D0A" w:rsidRDefault="006A2ED2" w:rsidP="00CE184E">
      <w:pPr>
        <w:rPr>
          <w:lang w:val="en-US"/>
        </w:rPr>
      </w:pPr>
      <m:oMathPara>
        <m:oMath>
          <m:r>
            <w:rPr>
              <w:rFonts w:ascii="Cambria Math" w:hAnsi="Cambria Math"/>
              <w:lang w:val="en-US"/>
            </w:rPr>
            <m:t>P</m:t>
          </m:r>
          <m:d>
            <m:dPr>
              <m:ctrlPr>
                <w:rPr>
                  <w:rFonts w:ascii="Cambria Math" w:hAnsi="Cambria Math"/>
                  <w:i/>
                  <w:lang w:val="en-US"/>
                </w:rPr>
              </m:ctrlPr>
            </m:dPr>
            <m:e>
              <m:r>
                <w:rPr>
                  <w:rFonts w:ascii="Cambria Math" w:hAnsi="Cambria Math"/>
                  <w:lang w:val="en-US"/>
                </w:rPr>
                <m:t>x MHz</m:t>
              </m:r>
            </m:e>
          </m:d>
          <m:r>
            <w:rPr>
              <w:rFonts w:ascii="Cambria Math" w:hAnsi="Cambria Math"/>
              <w:lang w:val="en-US"/>
            </w:rPr>
            <m:t>=max</m:t>
          </m:r>
          <m:d>
            <m:dPr>
              <m:ctrlPr>
                <w:rPr>
                  <w:rFonts w:ascii="Cambria Math" w:hAnsi="Cambria Math"/>
                  <w:i/>
                  <w:lang w:val="en-US"/>
                </w:rPr>
              </m:ctrlPr>
            </m:dPr>
            <m:e>
              <m:r>
                <w:rPr>
                  <w:rFonts w:ascii="Cambria Math" w:hAnsi="Cambria Math"/>
                  <w:lang w:val="en-US"/>
                </w:rPr>
                <m:t>50,P</m:t>
              </m:r>
              <m:d>
                <m:dPr>
                  <m:ctrlPr>
                    <w:rPr>
                      <w:rFonts w:ascii="Cambria Math" w:hAnsi="Cambria Math"/>
                      <w:i/>
                      <w:lang w:val="en-US"/>
                    </w:rPr>
                  </m:ctrlPr>
                </m:dPr>
                <m:e>
                  <m:r>
                    <w:rPr>
                      <w:rFonts w:ascii="Cambria Math" w:hAnsi="Cambria Math"/>
                      <w:lang w:val="en-US"/>
                    </w:rPr>
                    <m:t>100 MHz</m:t>
                  </m:r>
                </m:e>
              </m:d>
              <m:r>
                <w:rPr>
                  <w:rFonts w:ascii="Cambria Math" w:hAnsi="Cambria Math"/>
                  <w:lang w:val="en-US"/>
                </w:rPr>
                <m:t>∙</m:t>
              </m:r>
              <m:d>
                <m:dPr>
                  <m:ctrlPr>
                    <w:rPr>
                      <w:rFonts w:ascii="Cambria Math" w:hAnsi="Cambria Math"/>
                      <w:i/>
                      <w:lang w:val="en-US"/>
                    </w:rPr>
                  </m:ctrlPr>
                </m:dPr>
                <m:e>
                  <m:r>
                    <w:rPr>
                      <w:rFonts w:ascii="Cambria Math" w:hAnsi="Cambria Math"/>
                      <w:lang w:val="en-US"/>
                    </w:rPr>
                    <m:t>0.4+0.6∙</m:t>
                  </m:r>
                  <m:f>
                    <m:fPr>
                      <m:ctrlPr>
                        <w:rPr>
                          <w:rFonts w:ascii="Cambria Math" w:hAnsi="Cambria Math"/>
                          <w:i/>
                          <w:lang w:val="en-US"/>
                        </w:rPr>
                      </m:ctrlPr>
                    </m:fPr>
                    <m:num>
                      <m:r>
                        <w:rPr>
                          <w:rFonts w:ascii="Cambria Math" w:hAnsi="Cambria Math"/>
                          <w:lang w:val="en-US"/>
                        </w:rPr>
                        <m:t>x-20</m:t>
                      </m:r>
                    </m:num>
                    <m:den>
                      <m:r>
                        <w:rPr>
                          <w:rFonts w:ascii="Cambria Math" w:hAnsi="Cambria Math"/>
                          <w:lang w:val="en-US"/>
                        </w:rPr>
                        <m:t>80</m:t>
                      </m:r>
                    </m:den>
                  </m:f>
                </m:e>
              </m:d>
            </m:e>
          </m:d>
        </m:oMath>
      </m:oMathPara>
    </w:p>
    <w:p w14:paraId="7CA3C5CA" w14:textId="729CE0EB" w:rsidR="00A70D0A" w:rsidRPr="00A70D0A" w:rsidRDefault="00A70D0A" w:rsidP="00A70D0A">
      <w:pPr>
        <w:rPr>
          <w:lang w:val="en-US"/>
        </w:rPr>
      </w:pPr>
      <m:oMathPara>
        <m:oMath>
          <m:r>
            <w:rPr>
              <w:rFonts w:ascii="Cambria Math" w:hAnsi="Cambria Math"/>
              <w:lang w:val="en-US"/>
            </w:rPr>
            <m:t>P</m:t>
          </m:r>
          <m:d>
            <m:dPr>
              <m:ctrlPr>
                <w:rPr>
                  <w:rFonts w:ascii="Cambria Math" w:hAnsi="Cambria Math"/>
                  <w:i/>
                  <w:lang w:val="en-US"/>
                </w:rPr>
              </m:ctrlPr>
            </m:dPr>
            <m:e>
              <m:r>
                <w:rPr>
                  <w:rFonts w:ascii="Cambria Math" w:hAnsi="Cambria Math"/>
                  <w:lang w:val="en-US"/>
                </w:rPr>
                <m:t>20 MHz</m:t>
              </m:r>
            </m:e>
          </m:d>
          <m:r>
            <w:rPr>
              <w:rFonts w:ascii="Cambria Math" w:hAnsi="Cambria Math"/>
              <w:lang w:val="en-US"/>
            </w:rPr>
            <m:t>=max</m:t>
          </m:r>
          <m:d>
            <m:dPr>
              <m:ctrlPr>
                <w:rPr>
                  <w:rFonts w:ascii="Cambria Math" w:hAnsi="Cambria Math"/>
                  <w:i/>
                  <w:lang w:val="en-US"/>
                </w:rPr>
              </m:ctrlPr>
            </m:dPr>
            <m:e>
              <m:r>
                <w:rPr>
                  <w:rFonts w:ascii="Cambria Math" w:hAnsi="Cambria Math"/>
                  <w:lang w:val="en-US"/>
                </w:rPr>
                <m:t>50,P</m:t>
              </m:r>
              <m:d>
                <m:dPr>
                  <m:ctrlPr>
                    <w:rPr>
                      <w:rFonts w:ascii="Cambria Math" w:hAnsi="Cambria Math"/>
                      <w:i/>
                      <w:lang w:val="en-US"/>
                    </w:rPr>
                  </m:ctrlPr>
                </m:dPr>
                <m:e>
                  <m:r>
                    <w:rPr>
                      <w:rFonts w:ascii="Cambria Math" w:hAnsi="Cambria Math"/>
                      <w:lang w:val="en-US"/>
                    </w:rPr>
                    <m:t>100 MHz</m:t>
                  </m:r>
                </m:e>
              </m:d>
              <m:r>
                <w:rPr>
                  <w:rFonts w:ascii="Cambria Math" w:hAnsi="Cambria Math"/>
                  <w:lang w:val="en-US"/>
                </w:rPr>
                <m:t>∙0.4</m:t>
              </m:r>
            </m:e>
          </m:d>
        </m:oMath>
      </m:oMathPara>
    </w:p>
    <w:p w14:paraId="7C9F586F" w14:textId="2614810A" w:rsidR="00A70D0A" w:rsidRPr="00A70D0A" w:rsidRDefault="00A70D0A" w:rsidP="00CE184E">
      <w:pPr>
        <w:rPr>
          <w:lang w:val="en-US"/>
        </w:rPr>
      </w:pPr>
      <w:r>
        <w:rPr>
          <w:lang w:val="en-US"/>
        </w:rPr>
        <w:fldChar w:fldCharType="begin"/>
      </w:r>
      <w:r>
        <w:rPr>
          <w:lang w:val="en-US"/>
        </w:rPr>
        <w:instrText xml:space="preserve"> REF _Ref44589000 \h </w:instrText>
      </w:r>
      <w:r>
        <w:rPr>
          <w:lang w:val="en-US"/>
        </w:rPr>
      </w:r>
      <w:r>
        <w:rPr>
          <w:lang w:val="en-US"/>
        </w:rPr>
        <w:fldChar w:fldCharType="separate"/>
      </w:r>
      <w:r>
        <w:t xml:space="preserve">Table </w:t>
      </w:r>
      <w:r>
        <w:rPr>
          <w:noProof/>
        </w:rPr>
        <w:t>1</w:t>
      </w:r>
      <w:r>
        <w:rPr>
          <w:lang w:val="en-US"/>
        </w:rPr>
        <w:fldChar w:fldCharType="end"/>
      </w:r>
      <w:r>
        <w:rPr>
          <w:lang w:val="en-US"/>
        </w:rPr>
        <w:t xml:space="preserve"> provides the scaled power consumption states. Note that sleep state powers do not scale with bandwidth, i.e. they remain 1, 20, and 45 for deep, light, and micro sleep, respectively.</w:t>
      </w:r>
      <w:r w:rsidR="0025668B">
        <w:rPr>
          <w:lang w:val="en-US"/>
        </w:rPr>
        <w:t xml:space="preserve"> Furthermore, the related transition times are not expected to change.</w:t>
      </w:r>
    </w:p>
    <w:p w14:paraId="0791462E" w14:textId="5651F4F6" w:rsidR="00A70D0A" w:rsidRDefault="00A70D0A" w:rsidP="00A853C7">
      <w:pPr>
        <w:pStyle w:val="Caption"/>
        <w:keepNext/>
        <w:jc w:val="center"/>
      </w:pPr>
      <w:bookmarkStart w:id="2" w:name="_Ref44589000"/>
      <w:r>
        <w:t xml:space="preserve">Table </w:t>
      </w:r>
      <w:r>
        <w:fldChar w:fldCharType="begin"/>
      </w:r>
      <w:r>
        <w:instrText xml:space="preserve"> SEQ Table \* ARABIC </w:instrText>
      </w:r>
      <w:r>
        <w:fldChar w:fldCharType="separate"/>
      </w:r>
      <w:r>
        <w:rPr>
          <w:noProof/>
        </w:rPr>
        <w:t>1</w:t>
      </w:r>
      <w:r>
        <w:fldChar w:fldCharType="end"/>
      </w:r>
      <w:bookmarkEnd w:id="2"/>
      <w:r>
        <w:t xml:space="preserve"> Power consumption for 20 MHz bandwidth</w:t>
      </w:r>
      <w:r w:rsidR="00A853C7">
        <w:t>, FR1.</w:t>
      </w:r>
    </w:p>
    <w:tbl>
      <w:tblPr>
        <w:tblStyle w:val="TableGrid"/>
        <w:tblW w:w="0" w:type="auto"/>
        <w:jc w:val="center"/>
        <w:tblLook w:val="04A0" w:firstRow="1" w:lastRow="0" w:firstColumn="1" w:lastColumn="0" w:noHBand="0" w:noVBand="1"/>
      </w:tblPr>
      <w:tblGrid>
        <w:gridCol w:w="3209"/>
        <w:gridCol w:w="3210"/>
      </w:tblGrid>
      <w:tr w:rsidR="00A853C7" w14:paraId="1DA3CC15" w14:textId="77777777" w:rsidTr="00A853C7">
        <w:trPr>
          <w:jc w:val="center"/>
        </w:trPr>
        <w:tc>
          <w:tcPr>
            <w:tcW w:w="3209" w:type="dxa"/>
          </w:tcPr>
          <w:p w14:paraId="0BC68008" w14:textId="35C4E3B7" w:rsidR="00A853C7" w:rsidRDefault="00A853C7" w:rsidP="00A853C7">
            <w:pPr>
              <w:rPr>
                <w:lang w:val="en-US"/>
              </w:rPr>
            </w:pPr>
            <w:r>
              <w:rPr>
                <w:lang w:val="en-US"/>
              </w:rPr>
              <w:t>Power state</w:t>
            </w:r>
          </w:p>
        </w:tc>
        <w:tc>
          <w:tcPr>
            <w:tcW w:w="3210" w:type="dxa"/>
          </w:tcPr>
          <w:p w14:paraId="592A7AC3" w14:textId="118CB09C" w:rsidR="00A853C7" w:rsidRDefault="00A853C7" w:rsidP="00A853C7">
            <w:pPr>
              <w:rPr>
                <w:lang w:val="en-US"/>
              </w:rPr>
            </w:pPr>
            <w:r>
              <w:rPr>
                <w:lang w:val="en-US"/>
              </w:rPr>
              <w:t>Relative power</w:t>
            </w:r>
          </w:p>
        </w:tc>
      </w:tr>
      <w:tr w:rsidR="00A853C7" w14:paraId="631CD1D4" w14:textId="77777777" w:rsidTr="00A853C7">
        <w:trPr>
          <w:jc w:val="center"/>
        </w:trPr>
        <w:tc>
          <w:tcPr>
            <w:tcW w:w="3209" w:type="dxa"/>
          </w:tcPr>
          <w:p w14:paraId="2FD902AB" w14:textId="1962D792" w:rsidR="00A853C7" w:rsidRDefault="00A853C7" w:rsidP="00A853C7">
            <w:pPr>
              <w:rPr>
                <w:lang w:val="en-US"/>
              </w:rPr>
            </w:pPr>
            <w:r>
              <w:rPr>
                <w:lang w:val="en-US"/>
              </w:rPr>
              <w:t>PDCCH-only (same-slot scheduling)</w:t>
            </w:r>
          </w:p>
        </w:tc>
        <w:tc>
          <w:tcPr>
            <w:tcW w:w="3210" w:type="dxa"/>
          </w:tcPr>
          <w:p w14:paraId="33482713" w14:textId="124894FC" w:rsidR="00A853C7" w:rsidRDefault="00A853C7" w:rsidP="00A853C7">
            <w:pPr>
              <w:rPr>
                <w:lang w:val="en-US"/>
              </w:rPr>
            </w:pPr>
            <w:r>
              <w:rPr>
                <w:lang w:val="en-US"/>
              </w:rPr>
              <w:t>50</w:t>
            </w:r>
          </w:p>
        </w:tc>
      </w:tr>
      <w:tr w:rsidR="00A853C7" w14:paraId="304130E8" w14:textId="77777777" w:rsidTr="00A853C7">
        <w:trPr>
          <w:jc w:val="center"/>
        </w:trPr>
        <w:tc>
          <w:tcPr>
            <w:tcW w:w="3209" w:type="dxa"/>
          </w:tcPr>
          <w:p w14:paraId="63AA8C9A" w14:textId="700DCBD9" w:rsidR="00A853C7" w:rsidRDefault="00A853C7" w:rsidP="00A853C7">
            <w:pPr>
              <w:rPr>
                <w:lang w:val="en-US"/>
              </w:rPr>
            </w:pPr>
            <w:r>
              <w:rPr>
                <w:lang w:val="en-US"/>
              </w:rPr>
              <w:t>PDCCH+PDSCH</w:t>
            </w:r>
          </w:p>
        </w:tc>
        <w:tc>
          <w:tcPr>
            <w:tcW w:w="3210" w:type="dxa"/>
          </w:tcPr>
          <w:p w14:paraId="20E0E0F0" w14:textId="263A22D3" w:rsidR="00A853C7" w:rsidRDefault="00A853C7" w:rsidP="00A853C7">
            <w:pPr>
              <w:rPr>
                <w:lang w:val="en-US"/>
              </w:rPr>
            </w:pPr>
            <w:r>
              <w:rPr>
                <w:lang w:val="en-US"/>
              </w:rPr>
              <w:t>120</w:t>
            </w:r>
          </w:p>
        </w:tc>
      </w:tr>
      <w:tr w:rsidR="00A853C7" w14:paraId="1DCB9D02" w14:textId="77777777" w:rsidTr="00A853C7">
        <w:trPr>
          <w:jc w:val="center"/>
        </w:trPr>
        <w:tc>
          <w:tcPr>
            <w:tcW w:w="3209" w:type="dxa"/>
          </w:tcPr>
          <w:p w14:paraId="4FFE0354" w14:textId="0B7EACF0" w:rsidR="00A853C7" w:rsidRDefault="00A853C7" w:rsidP="00A853C7">
            <w:pPr>
              <w:rPr>
                <w:lang w:val="en-US"/>
              </w:rPr>
            </w:pPr>
            <w:r>
              <w:rPr>
                <w:lang w:val="en-US"/>
              </w:rPr>
              <w:t>SSB processing (serving cell)</w:t>
            </w:r>
          </w:p>
        </w:tc>
        <w:tc>
          <w:tcPr>
            <w:tcW w:w="3210" w:type="dxa"/>
          </w:tcPr>
          <w:p w14:paraId="5ED29F8E" w14:textId="50408E95" w:rsidR="00A853C7" w:rsidRDefault="00A853C7" w:rsidP="00A853C7">
            <w:pPr>
              <w:rPr>
                <w:lang w:val="en-US"/>
              </w:rPr>
            </w:pPr>
            <w:r>
              <w:rPr>
                <w:lang w:val="en-US"/>
              </w:rPr>
              <w:t>50</w:t>
            </w:r>
          </w:p>
        </w:tc>
      </w:tr>
    </w:tbl>
    <w:p w14:paraId="26C3A6C7" w14:textId="77777777" w:rsidR="00750513" w:rsidRDefault="00750513" w:rsidP="00CE184E">
      <w:pPr>
        <w:rPr>
          <w:lang w:val="en-US"/>
        </w:rPr>
      </w:pPr>
    </w:p>
    <w:p w14:paraId="31718D2B" w14:textId="3314245C" w:rsidR="00A70D0A" w:rsidRDefault="00A853C7" w:rsidP="00CE184E">
      <w:pPr>
        <w:rPr>
          <w:lang w:val="en-US"/>
        </w:rPr>
      </w:pPr>
      <w:r>
        <w:rPr>
          <w:lang w:val="en-US"/>
        </w:rPr>
        <w:t>The power model also defines RRM states, e.g. intra- and inter-frequency cell measurements and search. However, it is explicitly stated that the bandwidth scaling model does not apply.</w:t>
      </w:r>
    </w:p>
    <w:p w14:paraId="540E30BB" w14:textId="5D3A7E51" w:rsidR="00A853C7" w:rsidRDefault="00A853C7" w:rsidP="00CE184E">
      <w:pPr>
        <w:rPr>
          <w:b/>
          <w:bCs/>
          <w:lang w:val="en-US"/>
        </w:rPr>
      </w:pPr>
      <w:r>
        <w:rPr>
          <w:b/>
          <w:bCs/>
          <w:lang w:val="en-US"/>
        </w:rPr>
        <w:t>Proposal: RAN1 to define power consumption values for intra- and inter-frequency neighbor cell measurements and cell search for 20 MHz bandwidth for evaluation of objective 1</w:t>
      </w:r>
      <w:r w:rsidR="003F4CAD">
        <w:rPr>
          <w:b/>
          <w:bCs/>
          <w:lang w:val="en-US"/>
        </w:rPr>
        <w:t>a</w:t>
      </w:r>
      <w:r>
        <w:rPr>
          <w:b/>
          <w:bCs/>
          <w:lang w:val="en-US"/>
        </w:rPr>
        <w:t>.</w:t>
      </w:r>
    </w:p>
    <w:p w14:paraId="5EF21154" w14:textId="77777777" w:rsidR="006516DA" w:rsidRDefault="006516DA" w:rsidP="006516DA">
      <w:pPr>
        <w:rPr>
          <w:lang w:val="en-US"/>
        </w:rPr>
      </w:pPr>
      <w:r>
        <w:rPr>
          <w:lang w:val="en-US"/>
        </w:rPr>
        <w:t xml:space="preserve">For the power consumption for the paging monitoring, power consumption for transition from sleep state to active state (and back) would need to be considered based for example on the timelines presented in </w:t>
      </w:r>
      <w:r>
        <w:rPr>
          <w:lang w:val="en-US"/>
        </w:rPr>
        <w:fldChar w:fldCharType="begin"/>
      </w:r>
      <w:r>
        <w:rPr>
          <w:lang w:val="en-US"/>
        </w:rPr>
        <w:instrText xml:space="preserve"> REF _Ref44586076 \r \h </w:instrText>
      </w:r>
      <w:r>
        <w:rPr>
          <w:lang w:val="en-US"/>
        </w:rPr>
      </w:r>
      <w:r>
        <w:rPr>
          <w:lang w:val="en-US"/>
        </w:rPr>
        <w:fldChar w:fldCharType="separate"/>
      </w:r>
      <w:r>
        <w:rPr>
          <w:lang w:val="en-US"/>
        </w:rPr>
        <w:t>[2]</w:t>
      </w:r>
      <w:r>
        <w:rPr>
          <w:lang w:val="en-US"/>
        </w:rPr>
        <w:fldChar w:fldCharType="end"/>
      </w:r>
    </w:p>
    <w:p w14:paraId="7D06AB35" w14:textId="25059BC3" w:rsidR="00A7010B" w:rsidRDefault="00A7010B" w:rsidP="00A7010B">
      <w:pPr>
        <w:rPr>
          <w:highlight w:val="yellow"/>
          <w:lang w:val="en-US"/>
        </w:rPr>
      </w:pPr>
    </w:p>
    <w:p w14:paraId="7C7FE523" w14:textId="3C828FB3" w:rsidR="00A7010B" w:rsidRPr="0078030C" w:rsidRDefault="00A7010B" w:rsidP="00A7010B">
      <w:pPr>
        <w:pStyle w:val="Heading2"/>
      </w:pPr>
      <w:r w:rsidRPr="0078030C">
        <w:t>Mechanisms to enhance the power consumption of paging monitoring</w:t>
      </w:r>
    </w:p>
    <w:p w14:paraId="35161217" w14:textId="687AE3C7" w:rsidR="00BC4D0A" w:rsidRDefault="00BC4D0A" w:rsidP="00A7010B">
      <w:r w:rsidRPr="0078030C">
        <w:t>For mechanism to reduce the power consumption in paging monitoring, different approaches could be considered.</w:t>
      </w:r>
    </w:p>
    <w:p w14:paraId="4D814706" w14:textId="1D376B59" w:rsidR="00BC4D0A" w:rsidRDefault="00BC4D0A" w:rsidP="00A7010B">
      <w:r>
        <w:t>In the context of Reduced Capability UEs related enhancements study</w:t>
      </w:r>
      <w:r w:rsidR="007C6347">
        <w:t xml:space="preserve"> </w:t>
      </w:r>
      <w:r w:rsidR="007C6347">
        <w:fldChar w:fldCharType="begin"/>
      </w:r>
      <w:r w:rsidR="007C6347">
        <w:instrText xml:space="preserve"> REF _Ref47622796 \r \h </w:instrText>
      </w:r>
      <w:r w:rsidR="007C6347">
        <w:fldChar w:fldCharType="separate"/>
      </w:r>
      <w:r w:rsidR="007C6347">
        <w:t>[3]</w:t>
      </w:r>
      <w:r w:rsidR="007C6347">
        <w:fldChar w:fldCharType="end"/>
      </w:r>
      <w:r>
        <w:t>, approach of applying e</w:t>
      </w:r>
      <w:r w:rsidRPr="00BC4D0A">
        <w:t>xtended DRX for RRC Inactive and/or Idle</w:t>
      </w:r>
      <w:r>
        <w:t xml:space="preserve"> is being considered. </w:t>
      </w:r>
      <w:r w:rsidR="007C6347">
        <w:t>This could also be considered for the “non-reduced capability UEs” to achieve lower power consumption e.g. in IDLE if user traffic related latency requirement would allow it.</w:t>
      </w:r>
    </w:p>
    <w:p w14:paraId="721E0487" w14:textId="122F9540" w:rsidR="007C6347" w:rsidRDefault="007C6347" w:rsidP="00A7010B">
      <w:r w:rsidRPr="0078030C">
        <w:rPr>
          <w:b/>
          <w:bCs/>
        </w:rPr>
        <w:t>Observation:</w:t>
      </w:r>
      <w:r>
        <w:t xml:space="preserve"> Applying e</w:t>
      </w:r>
      <w:r w:rsidRPr="00BC4D0A">
        <w:t>xtended DRX for RRC Inactive and/or Idle</w:t>
      </w:r>
      <w:r>
        <w:t xml:space="preserve"> could be considered</w:t>
      </w:r>
      <w:r w:rsidR="003F4195">
        <w:t xml:space="preserve"> to reduce the paging monitoring power consumption</w:t>
      </w:r>
      <w:r>
        <w:t>.</w:t>
      </w:r>
    </w:p>
    <w:p w14:paraId="3718E0D8" w14:textId="60FDC4E0" w:rsidR="007C6347" w:rsidRDefault="007C6347" w:rsidP="00634A57">
      <w:r>
        <w:t xml:space="preserve">Other approach, introduced for </w:t>
      </w:r>
      <w:r w:rsidR="00634A57">
        <w:t xml:space="preserve">LTE </w:t>
      </w:r>
      <w:r>
        <w:t xml:space="preserve">NB-IoT and </w:t>
      </w:r>
      <w:r w:rsidR="00634A57">
        <w:t xml:space="preserve">enhanced coverage </w:t>
      </w:r>
      <w:r>
        <w:t xml:space="preserve">devices would be to consider WUS-type of indication to trigger the actual paging monitoring. The power reduction mechanism in this kind of approach would be based on the option to reduce UE wake-ups </w:t>
      </w:r>
      <w:r w:rsidR="00634A57">
        <w:t xml:space="preserve">e.g. by multiplexing a paging indication with SSBs, UEs could combine paging monitoring with SSB related measurements/monitoring. As noted in previous section, for FR2 this is basically achievable through the use of Type0-PDCCH CSS and multiplexing pattern 2 or 3. This kind of approach could be evaluated </w:t>
      </w:r>
      <w:r w:rsidR="003F4195">
        <w:t xml:space="preserve">at least to FR1 </w:t>
      </w:r>
      <w:r w:rsidR="00634A57">
        <w:t xml:space="preserve">to understand the achievable benefits with different assumptions. </w:t>
      </w:r>
    </w:p>
    <w:p w14:paraId="6564A43E" w14:textId="5BFB80DA" w:rsidR="003F4195" w:rsidRDefault="003F4195">
      <w:r w:rsidRPr="00494653">
        <w:rPr>
          <w:b/>
          <w:bCs/>
        </w:rPr>
        <w:lastRenderedPageBreak/>
        <w:t>Observation:</w:t>
      </w:r>
      <w:r>
        <w:t xml:space="preserve"> Possible merits of paging monitoring triggering channel/signal to reduce paging monitoring power consumption through reduced wake-up’s could be evaluated.</w:t>
      </w:r>
    </w:p>
    <w:p w14:paraId="21AC0330" w14:textId="5C9D8A4F" w:rsidR="003F4195" w:rsidRDefault="003F4195" w:rsidP="00A7010B">
      <w:r>
        <w:t xml:space="preserve">Additional mechanism, also discussed in past, would be the reduce the paging false alarm i.e. </w:t>
      </w:r>
      <w:proofErr w:type="spellStart"/>
      <w:r>
        <w:t>unneccesary</w:t>
      </w:r>
      <w:proofErr w:type="spellEnd"/>
      <w:r>
        <w:t xml:space="preserve"> paging message receptions. Thus introducing a mechanism that would allow UE to determine whether the paging message is intended to it, or reduce the probability of </w:t>
      </w:r>
      <w:proofErr w:type="spellStart"/>
      <w:r>
        <w:t>unneccesary</w:t>
      </w:r>
      <w:proofErr w:type="spellEnd"/>
      <w:r>
        <w:t xml:space="preserve"> paging message reception could be evaluated for potential power saving. As the power consumption is expected to be dominated by the transitions in between sleep states (due to wake-ups) it would seem natural to consider this in conjunction of the paging monitoring triggering signal, if such is considered. </w:t>
      </w:r>
    </w:p>
    <w:p w14:paraId="5312B802" w14:textId="3810EA2F" w:rsidR="007C6347" w:rsidRPr="0078030C" w:rsidRDefault="003F4195">
      <w:bookmarkStart w:id="3" w:name="_GoBack"/>
      <w:r w:rsidRPr="00494653">
        <w:rPr>
          <w:b/>
          <w:bCs/>
        </w:rPr>
        <w:t>Observation:</w:t>
      </w:r>
      <w:r>
        <w:t xml:space="preserve"> Method to reduce the unnecessary paging message reception could be evaluated for power saving.</w:t>
      </w:r>
    </w:p>
    <w:bookmarkEnd w:id="3"/>
    <w:p w14:paraId="19260D02" w14:textId="63354B80" w:rsidR="00A7010B" w:rsidRPr="001E67D3" w:rsidRDefault="00A7010B" w:rsidP="0078030C">
      <w:pPr>
        <w:rPr>
          <w:highlight w:val="yellow"/>
          <w:lang w:val="en-US"/>
        </w:rPr>
      </w:pPr>
    </w:p>
    <w:bookmarkEnd w:id="1"/>
    <w:p w14:paraId="10445A01" w14:textId="480CC7E1" w:rsidR="00885580" w:rsidRDefault="007820D0" w:rsidP="00885580">
      <w:pPr>
        <w:pStyle w:val="Heading1"/>
      </w:pPr>
      <w:r>
        <w:t>Conclusion</w:t>
      </w:r>
    </w:p>
    <w:p w14:paraId="384567B8" w14:textId="0E9E482B" w:rsidR="001337A5" w:rsidRDefault="00A028AC" w:rsidP="001F201D">
      <w:r>
        <w:t>In contribution we have discussed about aspects related to the Rel-17 UE power saving WID objective 1a. For related evaluation assumptions we made following observations and conclusions:</w:t>
      </w:r>
    </w:p>
    <w:p w14:paraId="31E1FEEC" w14:textId="2BADD0FA" w:rsidR="00A028AC" w:rsidRDefault="00A028AC" w:rsidP="00A028AC">
      <w:r>
        <w:rPr>
          <w:b/>
          <w:bCs/>
        </w:rPr>
        <w:t>Proposal: RAN1 to define the paging probability p=1 % and number of UEs per PO n=10 for evaluation of objective 1a</w:t>
      </w:r>
      <w:r>
        <w:t>.</w:t>
      </w:r>
    </w:p>
    <w:p w14:paraId="6CD72E30" w14:textId="4490A8A0" w:rsidR="00A028AC" w:rsidRDefault="00A028AC" w:rsidP="001F201D">
      <w:pPr>
        <w:rPr>
          <w:b/>
          <w:bCs/>
          <w:lang w:val="en-US"/>
        </w:rPr>
      </w:pPr>
      <w:r>
        <w:rPr>
          <w:b/>
          <w:bCs/>
          <w:lang w:val="en-US"/>
        </w:rPr>
        <w:t xml:space="preserve">Proposal: RAN1 to define the idle-mode DRX cycle to 1.28 s </w:t>
      </w:r>
      <w:r>
        <w:rPr>
          <w:b/>
          <w:bCs/>
        </w:rPr>
        <w:t>for evaluation of objective 1a</w:t>
      </w:r>
      <w:r>
        <w:rPr>
          <w:b/>
          <w:bCs/>
          <w:lang w:val="en-US"/>
        </w:rPr>
        <w:t>.</w:t>
      </w:r>
    </w:p>
    <w:p w14:paraId="675851B9" w14:textId="77777777" w:rsidR="00A028AC" w:rsidRDefault="00A028AC" w:rsidP="00A028AC">
      <w:pPr>
        <w:rPr>
          <w:b/>
          <w:bCs/>
          <w:lang w:val="en-US"/>
        </w:rPr>
      </w:pPr>
      <w:r w:rsidRPr="00BA54DF">
        <w:rPr>
          <w:b/>
          <w:bCs/>
          <w:lang w:val="en-US"/>
        </w:rPr>
        <w:t xml:space="preserve">Proposal: RAN1 to define the SSBs </w:t>
      </w:r>
      <w:r>
        <w:rPr>
          <w:b/>
          <w:bCs/>
          <w:lang w:val="en-US"/>
        </w:rPr>
        <w:t xml:space="preserve">periodicity to 20 </w:t>
      </w:r>
      <w:proofErr w:type="spellStart"/>
      <w:r>
        <w:rPr>
          <w:b/>
          <w:bCs/>
          <w:lang w:val="en-US"/>
        </w:rPr>
        <w:t>ms</w:t>
      </w:r>
      <w:proofErr w:type="spellEnd"/>
      <w:r w:rsidRPr="00BA54DF">
        <w:rPr>
          <w:b/>
          <w:bCs/>
          <w:lang w:val="en-US"/>
        </w:rPr>
        <w:t xml:space="preserve"> </w:t>
      </w:r>
      <w:r w:rsidRPr="00BA54DF">
        <w:rPr>
          <w:b/>
          <w:bCs/>
        </w:rPr>
        <w:t>for evaluation of objective 1</w:t>
      </w:r>
      <w:r>
        <w:rPr>
          <w:b/>
          <w:bCs/>
        </w:rPr>
        <w:t>a.</w:t>
      </w:r>
    </w:p>
    <w:p w14:paraId="46131A69" w14:textId="77777777" w:rsidR="00A028AC" w:rsidRDefault="00A028AC" w:rsidP="00A028AC">
      <w:pPr>
        <w:rPr>
          <w:lang w:val="en-US"/>
        </w:rPr>
      </w:pPr>
      <w:r w:rsidRPr="00275AED">
        <w:rPr>
          <w:b/>
          <w:bCs/>
          <w:lang w:val="en-US"/>
        </w:rPr>
        <w:t>Observation:</w:t>
      </w:r>
      <w:r>
        <w:rPr>
          <w:lang w:val="en-US"/>
        </w:rPr>
        <w:t xml:space="preserve"> There are two baseline scenarios for paging monitoring power consumption evaluation; where paging monitoring can occur simultaneously with SSB reception (FR2 only) and where these occur in different slots (FR1 mainly).</w:t>
      </w:r>
    </w:p>
    <w:p w14:paraId="37C76183" w14:textId="77777777" w:rsidR="00A028AC" w:rsidRPr="00275AED" w:rsidRDefault="00A028AC" w:rsidP="00A028AC">
      <w:pPr>
        <w:rPr>
          <w:b/>
          <w:bCs/>
          <w:lang w:val="en-US"/>
        </w:rPr>
      </w:pPr>
      <w:r w:rsidRPr="00275AED">
        <w:rPr>
          <w:b/>
          <w:bCs/>
          <w:lang w:val="en-US"/>
        </w:rPr>
        <w:t>Proposal: In terms of PO time locations, consider two configurations; where PO starts in the next half-frame after the SSBs and where PO is in between the SSBs.</w:t>
      </w:r>
    </w:p>
    <w:p w14:paraId="4D0CE583" w14:textId="77777777" w:rsidR="00A028AC" w:rsidRDefault="00A028AC" w:rsidP="00A028AC">
      <w:pPr>
        <w:rPr>
          <w:lang w:val="en-US"/>
        </w:rPr>
      </w:pPr>
      <w:r w:rsidRPr="000518BE">
        <w:rPr>
          <w:b/>
          <w:bCs/>
          <w:lang w:val="en-US"/>
        </w:rPr>
        <w:t>Observation:</w:t>
      </w:r>
      <w:r>
        <w:rPr>
          <w:lang w:val="en-US"/>
        </w:rPr>
        <w:t xml:space="preserve"> When determining the number of wake-ups for </w:t>
      </w:r>
      <w:proofErr w:type="spellStart"/>
      <w:r>
        <w:rPr>
          <w:lang w:val="en-US"/>
        </w:rPr>
        <w:t>synchronisation</w:t>
      </w:r>
      <w:proofErr w:type="spellEnd"/>
      <w:r>
        <w:rPr>
          <w:lang w:val="en-US"/>
        </w:rPr>
        <w:t xml:space="preserve"> to establish the power consumption, different sources for SSB samples would need to be accounted.  </w:t>
      </w:r>
    </w:p>
    <w:p w14:paraId="02CDB26D" w14:textId="77777777" w:rsidR="00A028AC" w:rsidRDefault="00A028AC" w:rsidP="00A028AC">
      <w:pPr>
        <w:rPr>
          <w:b/>
          <w:bCs/>
        </w:rPr>
      </w:pPr>
      <w:r w:rsidRPr="00BA54DF">
        <w:rPr>
          <w:b/>
          <w:bCs/>
          <w:lang w:val="en-US"/>
        </w:rPr>
        <w:t>Proposal: RAN1 to define the number of SSB</w:t>
      </w:r>
      <w:r>
        <w:rPr>
          <w:b/>
          <w:bCs/>
          <w:lang w:val="en-US"/>
        </w:rPr>
        <w:t xml:space="preserve"> samples</w:t>
      </w:r>
      <w:r w:rsidRPr="00BA54DF">
        <w:rPr>
          <w:b/>
          <w:bCs/>
          <w:lang w:val="en-US"/>
        </w:rPr>
        <w:t xml:space="preserve"> required for synchronization prior to PO </w:t>
      </w:r>
      <w:r w:rsidRPr="00BA54DF">
        <w:rPr>
          <w:b/>
          <w:bCs/>
        </w:rPr>
        <w:t>for evaluation of objective 1</w:t>
      </w:r>
      <w:r>
        <w:rPr>
          <w:b/>
          <w:bCs/>
        </w:rPr>
        <w:t>a.</w:t>
      </w:r>
    </w:p>
    <w:p w14:paraId="55141C51" w14:textId="77777777" w:rsidR="00A028AC" w:rsidRPr="00275AED" w:rsidRDefault="00A028AC" w:rsidP="00A028AC">
      <w:pPr>
        <w:rPr>
          <w:b/>
          <w:bCs/>
          <w:lang w:val="en-US"/>
        </w:rPr>
      </w:pPr>
      <w:r>
        <w:rPr>
          <w:b/>
          <w:bCs/>
          <w:lang w:val="en-US"/>
        </w:rPr>
        <w:t>Proposal: RAN1 to define the number of intra- and inter-frequency cells for measurements and cell search.</w:t>
      </w:r>
    </w:p>
    <w:p w14:paraId="36287998" w14:textId="77777777" w:rsidR="00A028AC" w:rsidRDefault="00A028AC" w:rsidP="00A028AC">
      <w:pPr>
        <w:rPr>
          <w:b/>
          <w:bCs/>
          <w:lang w:val="en-US"/>
        </w:rPr>
      </w:pPr>
      <w:r>
        <w:rPr>
          <w:b/>
          <w:bCs/>
          <w:lang w:val="en-US"/>
        </w:rPr>
        <w:t>Proposal: RAN1 to define power consumption values for intra- and inter-frequency neighbor cell measurements and cell search for 20 MHz bandwidth for evaluation of objective 1a.</w:t>
      </w:r>
    </w:p>
    <w:p w14:paraId="7CA1D43E" w14:textId="578CB6D4" w:rsidR="00A028AC" w:rsidRDefault="00A028AC" w:rsidP="001F201D">
      <w:pPr>
        <w:rPr>
          <w:lang w:val="en-US"/>
        </w:rPr>
      </w:pPr>
      <w:r>
        <w:rPr>
          <w:lang w:val="en-US"/>
        </w:rPr>
        <w:t xml:space="preserve">In Section 2.2 we made some observations on the possible </w:t>
      </w:r>
      <w:proofErr w:type="spellStart"/>
      <w:r>
        <w:rPr>
          <w:lang w:val="en-US"/>
        </w:rPr>
        <w:t>mechnisms</w:t>
      </w:r>
      <w:proofErr w:type="spellEnd"/>
      <w:r>
        <w:rPr>
          <w:lang w:val="en-US"/>
        </w:rPr>
        <w:t xml:space="preserve"> to enhance paging monitoring power consumption:-</w:t>
      </w:r>
    </w:p>
    <w:p w14:paraId="4659087D" w14:textId="77777777" w:rsidR="00A028AC" w:rsidRDefault="00A028AC" w:rsidP="00A028AC">
      <w:r w:rsidRPr="00275AED">
        <w:rPr>
          <w:b/>
          <w:bCs/>
        </w:rPr>
        <w:t>Observation:</w:t>
      </w:r>
      <w:r>
        <w:t xml:space="preserve"> Applying e</w:t>
      </w:r>
      <w:r w:rsidRPr="00BC4D0A">
        <w:t>xtended DRX for RRC Inactive and/or Idle</w:t>
      </w:r>
      <w:r>
        <w:t xml:space="preserve"> could be considered to reduce the paging monitoring power consumption.</w:t>
      </w:r>
    </w:p>
    <w:p w14:paraId="13911C88" w14:textId="77777777" w:rsidR="00A028AC" w:rsidRDefault="00A028AC" w:rsidP="00A028AC">
      <w:r w:rsidRPr="00494653">
        <w:rPr>
          <w:b/>
          <w:bCs/>
        </w:rPr>
        <w:t>Observation:</w:t>
      </w:r>
      <w:r>
        <w:t xml:space="preserve"> Possible merits of paging monitoring triggering channel/signal to reduce paging monitoring power consumption through reduced wake-up’s could be evaluated.</w:t>
      </w:r>
    </w:p>
    <w:p w14:paraId="409AFD39" w14:textId="77777777" w:rsidR="00A028AC" w:rsidRPr="00275AED" w:rsidRDefault="00A028AC" w:rsidP="00A028AC">
      <w:r w:rsidRPr="00494653">
        <w:rPr>
          <w:b/>
          <w:bCs/>
        </w:rPr>
        <w:t>Observation:</w:t>
      </w:r>
      <w:r>
        <w:t xml:space="preserve"> Method to reduce the unnecessary paging message reception could be evaluated for power saving.</w:t>
      </w:r>
    </w:p>
    <w:p w14:paraId="5DE87FEC" w14:textId="77777777" w:rsidR="00A028AC" w:rsidRPr="001337A5" w:rsidRDefault="00A028AC" w:rsidP="001F201D">
      <w:pPr>
        <w:rPr>
          <w:lang w:val="en-US"/>
        </w:rPr>
      </w:pPr>
    </w:p>
    <w:p w14:paraId="53CD9119" w14:textId="48C3049E" w:rsidR="00885580" w:rsidRDefault="00885580" w:rsidP="00885580">
      <w:pPr>
        <w:pStyle w:val="Heading1"/>
        <w:numPr>
          <w:ilvl w:val="0"/>
          <w:numId w:val="0"/>
        </w:numPr>
      </w:pPr>
      <w:r>
        <w:t>References</w:t>
      </w:r>
    </w:p>
    <w:p w14:paraId="7C950739" w14:textId="52CEC485" w:rsidR="00211CD3" w:rsidRDefault="00BC4D0A" w:rsidP="00CE184E">
      <w:pPr>
        <w:pStyle w:val="ListParagraph"/>
        <w:numPr>
          <w:ilvl w:val="0"/>
          <w:numId w:val="30"/>
        </w:numPr>
      </w:pPr>
      <w:bookmarkStart w:id="4" w:name="_Ref44586051"/>
      <w:r w:rsidRPr="00211CD3">
        <w:t>RP-193239</w:t>
      </w:r>
      <w:r>
        <w:t>,</w:t>
      </w:r>
      <w:r w:rsidR="00CE184E">
        <w:t xml:space="preserve"> ”New WI: UE Power </w:t>
      </w:r>
      <w:proofErr w:type="spellStart"/>
      <w:r w:rsidR="00CE184E">
        <w:t>Saving</w:t>
      </w:r>
      <w:proofErr w:type="spellEnd"/>
      <w:r w:rsidR="00CE184E">
        <w:t xml:space="preserve"> </w:t>
      </w:r>
      <w:proofErr w:type="spellStart"/>
      <w:r w:rsidR="00CE184E">
        <w:t>Enhancements</w:t>
      </w:r>
      <w:proofErr w:type="spellEnd"/>
      <w:r w:rsidR="00CE184E">
        <w:t xml:space="preserve">”, </w:t>
      </w:r>
      <w:proofErr w:type="spellStart"/>
      <w:r>
        <w:t>Mediatek</w:t>
      </w:r>
      <w:bookmarkEnd w:id="4"/>
      <w:proofErr w:type="spellEnd"/>
    </w:p>
    <w:p w14:paraId="061217D2" w14:textId="08A7853C" w:rsidR="00CE184E" w:rsidRDefault="00CE184E" w:rsidP="00CE184E">
      <w:pPr>
        <w:pStyle w:val="ListParagraph"/>
        <w:numPr>
          <w:ilvl w:val="0"/>
          <w:numId w:val="30"/>
        </w:numPr>
      </w:pPr>
      <w:bookmarkStart w:id="5" w:name="_Ref44586076"/>
      <w:r>
        <w:t xml:space="preserve">3GPP, ”TR 38.840 v16.0.0, </w:t>
      </w:r>
      <w:proofErr w:type="spellStart"/>
      <w:r w:rsidRPr="00CE184E">
        <w:t>Study</w:t>
      </w:r>
      <w:proofErr w:type="spellEnd"/>
      <w:r w:rsidRPr="00CE184E">
        <w:t xml:space="preserve"> on User </w:t>
      </w:r>
      <w:proofErr w:type="spellStart"/>
      <w:r w:rsidRPr="00CE184E">
        <w:t>Equipment</w:t>
      </w:r>
      <w:proofErr w:type="spellEnd"/>
      <w:r w:rsidRPr="00CE184E">
        <w:t xml:space="preserve"> (UE) </w:t>
      </w:r>
      <w:proofErr w:type="spellStart"/>
      <w:r w:rsidRPr="00CE184E">
        <w:t>power</w:t>
      </w:r>
      <w:proofErr w:type="spellEnd"/>
      <w:r w:rsidRPr="00CE184E">
        <w:t xml:space="preserve"> </w:t>
      </w:r>
      <w:proofErr w:type="spellStart"/>
      <w:r w:rsidRPr="00CE184E">
        <w:t>saving</w:t>
      </w:r>
      <w:proofErr w:type="spellEnd"/>
      <w:r w:rsidRPr="00CE184E">
        <w:t xml:space="preserve"> in NR</w:t>
      </w:r>
      <w:r>
        <w:t xml:space="preserve">”, </w:t>
      </w:r>
      <w:proofErr w:type="spellStart"/>
      <w:r>
        <w:t>June</w:t>
      </w:r>
      <w:proofErr w:type="spellEnd"/>
      <w:r>
        <w:t xml:space="preserve"> 2019</w:t>
      </w:r>
      <w:bookmarkEnd w:id="5"/>
    </w:p>
    <w:p w14:paraId="1DAEF337" w14:textId="0D9250C4" w:rsidR="00BC4D0A" w:rsidRPr="00211CD3" w:rsidRDefault="00BC4D0A" w:rsidP="00CE184E">
      <w:pPr>
        <w:pStyle w:val="ListParagraph"/>
        <w:numPr>
          <w:ilvl w:val="0"/>
          <w:numId w:val="30"/>
        </w:numPr>
      </w:pPr>
      <w:bookmarkStart w:id="6" w:name="_Ref47622796"/>
      <w:r w:rsidRPr="00BC4D0A">
        <w:lastRenderedPageBreak/>
        <w:t>RP-201386</w:t>
      </w:r>
      <w:r>
        <w:t>, ”</w:t>
      </w:r>
      <w:proofErr w:type="spellStart"/>
      <w:r>
        <w:t>R</w:t>
      </w:r>
      <w:r w:rsidRPr="00BC4D0A">
        <w:t>evised</w:t>
      </w:r>
      <w:proofErr w:type="spellEnd"/>
      <w:r w:rsidRPr="00BC4D0A">
        <w:t xml:space="preserve"> SID on </w:t>
      </w:r>
      <w:proofErr w:type="spellStart"/>
      <w:r w:rsidRPr="00BC4D0A">
        <w:t>Study</w:t>
      </w:r>
      <w:proofErr w:type="spellEnd"/>
      <w:r w:rsidRPr="00BC4D0A">
        <w:t xml:space="preserve"> on </w:t>
      </w:r>
      <w:proofErr w:type="spellStart"/>
      <w:r w:rsidRPr="00BC4D0A">
        <w:t>support</w:t>
      </w:r>
      <w:proofErr w:type="spellEnd"/>
      <w:r w:rsidRPr="00BC4D0A">
        <w:t xml:space="preserve"> of </w:t>
      </w:r>
      <w:proofErr w:type="spellStart"/>
      <w:r w:rsidRPr="00BC4D0A">
        <w:t>reduced</w:t>
      </w:r>
      <w:proofErr w:type="spellEnd"/>
      <w:r w:rsidRPr="00BC4D0A">
        <w:t xml:space="preserve"> </w:t>
      </w:r>
      <w:proofErr w:type="spellStart"/>
      <w:r w:rsidRPr="00BC4D0A">
        <w:t>capability</w:t>
      </w:r>
      <w:proofErr w:type="spellEnd"/>
      <w:r w:rsidRPr="00BC4D0A">
        <w:t xml:space="preserve"> NR </w:t>
      </w:r>
      <w:proofErr w:type="spellStart"/>
      <w:r w:rsidRPr="00BC4D0A">
        <w:t>devices</w:t>
      </w:r>
      <w:proofErr w:type="spellEnd"/>
      <w:r>
        <w:t>”, Ericsson</w:t>
      </w:r>
      <w:bookmarkEnd w:id="6"/>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2E21C" w14:textId="77777777" w:rsidR="00341947" w:rsidRDefault="00341947">
      <w:r>
        <w:separator/>
      </w:r>
    </w:p>
  </w:endnote>
  <w:endnote w:type="continuationSeparator" w:id="0">
    <w:p w14:paraId="605217F1" w14:textId="77777777" w:rsidR="00341947" w:rsidRDefault="0034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53F35" w14:textId="77777777" w:rsidR="00341947" w:rsidRDefault="00341947">
      <w:r>
        <w:separator/>
      </w:r>
    </w:p>
  </w:footnote>
  <w:footnote w:type="continuationSeparator" w:id="0">
    <w:p w14:paraId="5E97CBF5" w14:textId="77777777" w:rsidR="00341947" w:rsidRDefault="00341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735D5F"/>
    <w:multiLevelType w:val="hybridMultilevel"/>
    <w:tmpl w:val="C55AA3FE"/>
    <w:lvl w:ilvl="0" w:tplc="B53A1F2A">
      <w:start w:val="1"/>
      <w:numFmt w:val="bullet"/>
      <w:lvlText w:val="•"/>
      <w:lvlJc w:val="left"/>
      <w:pPr>
        <w:tabs>
          <w:tab w:val="num" w:pos="720"/>
        </w:tabs>
        <w:ind w:left="720" w:hanging="360"/>
      </w:pPr>
      <w:rPr>
        <w:rFonts w:ascii="Arial" w:hAnsi="Arial" w:hint="default"/>
      </w:rPr>
    </w:lvl>
    <w:lvl w:ilvl="1" w:tplc="DB062582" w:tentative="1">
      <w:start w:val="1"/>
      <w:numFmt w:val="bullet"/>
      <w:lvlText w:val="•"/>
      <w:lvlJc w:val="left"/>
      <w:pPr>
        <w:tabs>
          <w:tab w:val="num" w:pos="1440"/>
        </w:tabs>
        <w:ind w:left="1440" w:hanging="360"/>
      </w:pPr>
      <w:rPr>
        <w:rFonts w:ascii="Arial" w:hAnsi="Arial" w:hint="default"/>
      </w:rPr>
    </w:lvl>
    <w:lvl w:ilvl="2" w:tplc="6F1CE686" w:tentative="1">
      <w:start w:val="1"/>
      <w:numFmt w:val="bullet"/>
      <w:lvlText w:val="•"/>
      <w:lvlJc w:val="left"/>
      <w:pPr>
        <w:tabs>
          <w:tab w:val="num" w:pos="2160"/>
        </w:tabs>
        <w:ind w:left="2160" w:hanging="360"/>
      </w:pPr>
      <w:rPr>
        <w:rFonts w:ascii="Arial" w:hAnsi="Arial" w:hint="default"/>
      </w:rPr>
    </w:lvl>
    <w:lvl w:ilvl="3" w:tplc="504CCB66" w:tentative="1">
      <w:start w:val="1"/>
      <w:numFmt w:val="bullet"/>
      <w:lvlText w:val="•"/>
      <w:lvlJc w:val="left"/>
      <w:pPr>
        <w:tabs>
          <w:tab w:val="num" w:pos="2880"/>
        </w:tabs>
        <w:ind w:left="2880" w:hanging="360"/>
      </w:pPr>
      <w:rPr>
        <w:rFonts w:ascii="Arial" w:hAnsi="Arial" w:hint="default"/>
      </w:rPr>
    </w:lvl>
    <w:lvl w:ilvl="4" w:tplc="A41A023A" w:tentative="1">
      <w:start w:val="1"/>
      <w:numFmt w:val="bullet"/>
      <w:lvlText w:val="•"/>
      <w:lvlJc w:val="left"/>
      <w:pPr>
        <w:tabs>
          <w:tab w:val="num" w:pos="3600"/>
        </w:tabs>
        <w:ind w:left="3600" w:hanging="360"/>
      </w:pPr>
      <w:rPr>
        <w:rFonts w:ascii="Arial" w:hAnsi="Arial" w:hint="default"/>
      </w:rPr>
    </w:lvl>
    <w:lvl w:ilvl="5" w:tplc="A9FE07E4" w:tentative="1">
      <w:start w:val="1"/>
      <w:numFmt w:val="bullet"/>
      <w:lvlText w:val="•"/>
      <w:lvlJc w:val="left"/>
      <w:pPr>
        <w:tabs>
          <w:tab w:val="num" w:pos="4320"/>
        </w:tabs>
        <w:ind w:left="4320" w:hanging="360"/>
      </w:pPr>
      <w:rPr>
        <w:rFonts w:ascii="Arial" w:hAnsi="Arial" w:hint="default"/>
      </w:rPr>
    </w:lvl>
    <w:lvl w:ilvl="6" w:tplc="12E64E3E" w:tentative="1">
      <w:start w:val="1"/>
      <w:numFmt w:val="bullet"/>
      <w:lvlText w:val="•"/>
      <w:lvlJc w:val="left"/>
      <w:pPr>
        <w:tabs>
          <w:tab w:val="num" w:pos="5040"/>
        </w:tabs>
        <w:ind w:left="5040" w:hanging="360"/>
      </w:pPr>
      <w:rPr>
        <w:rFonts w:ascii="Arial" w:hAnsi="Arial" w:hint="default"/>
      </w:rPr>
    </w:lvl>
    <w:lvl w:ilvl="7" w:tplc="2A404934" w:tentative="1">
      <w:start w:val="1"/>
      <w:numFmt w:val="bullet"/>
      <w:lvlText w:val="•"/>
      <w:lvlJc w:val="left"/>
      <w:pPr>
        <w:tabs>
          <w:tab w:val="num" w:pos="5760"/>
        </w:tabs>
        <w:ind w:left="5760" w:hanging="360"/>
      </w:pPr>
      <w:rPr>
        <w:rFonts w:ascii="Arial" w:hAnsi="Arial" w:hint="default"/>
      </w:rPr>
    </w:lvl>
    <w:lvl w:ilvl="8" w:tplc="E676C5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353B99"/>
    <w:multiLevelType w:val="hybridMultilevel"/>
    <w:tmpl w:val="3A263F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A666E2"/>
    <w:multiLevelType w:val="hybridMultilevel"/>
    <w:tmpl w:val="819E213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83DD9"/>
    <w:multiLevelType w:val="hybridMultilevel"/>
    <w:tmpl w:val="FE941CA0"/>
    <w:lvl w:ilvl="0" w:tplc="9A121A10">
      <w:start w:val="1"/>
      <w:numFmt w:val="decimal"/>
      <w:lvlText w:val="%1."/>
      <w:lvlJc w:val="left"/>
      <w:pPr>
        <w:ind w:left="720" w:hanging="360"/>
      </w:pPr>
      <w:rPr>
        <w:lang w:val="en-U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5B42F63"/>
    <w:multiLevelType w:val="hybridMultilevel"/>
    <w:tmpl w:val="FC90BE5A"/>
    <w:lvl w:ilvl="0" w:tplc="1D2A5898">
      <w:start w:val="1"/>
      <w:numFmt w:val="bullet"/>
      <w:lvlText w:val="•"/>
      <w:lvlJc w:val="left"/>
      <w:pPr>
        <w:tabs>
          <w:tab w:val="num" w:pos="720"/>
        </w:tabs>
        <w:ind w:left="720" w:hanging="360"/>
      </w:pPr>
      <w:rPr>
        <w:rFonts w:ascii="Arial" w:hAnsi="Arial" w:hint="default"/>
        <w:lang w:val="en-US"/>
      </w:rPr>
    </w:lvl>
    <w:lvl w:ilvl="1" w:tplc="CA8626EA">
      <w:start w:val="1"/>
      <w:numFmt w:val="bullet"/>
      <w:lvlText w:val="•"/>
      <w:lvlJc w:val="left"/>
      <w:pPr>
        <w:tabs>
          <w:tab w:val="num" w:pos="1440"/>
        </w:tabs>
        <w:ind w:left="1440" w:hanging="360"/>
      </w:pPr>
      <w:rPr>
        <w:rFonts w:ascii="Arial" w:hAnsi="Arial" w:hint="default"/>
      </w:rPr>
    </w:lvl>
    <w:lvl w:ilvl="2" w:tplc="3D10100A" w:tentative="1">
      <w:start w:val="1"/>
      <w:numFmt w:val="bullet"/>
      <w:lvlText w:val="•"/>
      <w:lvlJc w:val="left"/>
      <w:pPr>
        <w:tabs>
          <w:tab w:val="num" w:pos="2160"/>
        </w:tabs>
        <w:ind w:left="2160" w:hanging="360"/>
      </w:pPr>
      <w:rPr>
        <w:rFonts w:ascii="Arial" w:hAnsi="Arial" w:hint="default"/>
      </w:rPr>
    </w:lvl>
    <w:lvl w:ilvl="3" w:tplc="B08685E8" w:tentative="1">
      <w:start w:val="1"/>
      <w:numFmt w:val="bullet"/>
      <w:lvlText w:val="•"/>
      <w:lvlJc w:val="left"/>
      <w:pPr>
        <w:tabs>
          <w:tab w:val="num" w:pos="2880"/>
        </w:tabs>
        <w:ind w:left="2880" w:hanging="360"/>
      </w:pPr>
      <w:rPr>
        <w:rFonts w:ascii="Arial" w:hAnsi="Arial" w:hint="default"/>
      </w:rPr>
    </w:lvl>
    <w:lvl w:ilvl="4" w:tplc="8690E0C8" w:tentative="1">
      <w:start w:val="1"/>
      <w:numFmt w:val="bullet"/>
      <w:lvlText w:val="•"/>
      <w:lvlJc w:val="left"/>
      <w:pPr>
        <w:tabs>
          <w:tab w:val="num" w:pos="3600"/>
        </w:tabs>
        <w:ind w:left="3600" w:hanging="360"/>
      </w:pPr>
      <w:rPr>
        <w:rFonts w:ascii="Arial" w:hAnsi="Arial" w:hint="default"/>
      </w:rPr>
    </w:lvl>
    <w:lvl w:ilvl="5" w:tplc="13203A54" w:tentative="1">
      <w:start w:val="1"/>
      <w:numFmt w:val="bullet"/>
      <w:lvlText w:val="•"/>
      <w:lvlJc w:val="left"/>
      <w:pPr>
        <w:tabs>
          <w:tab w:val="num" w:pos="4320"/>
        </w:tabs>
        <w:ind w:left="4320" w:hanging="360"/>
      </w:pPr>
      <w:rPr>
        <w:rFonts w:ascii="Arial" w:hAnsi="Arial" w:hint="default"/>
      </w:rPr>
    </w:lvl>
    <w:lvl w:ilvl="6" w:tplc="20E8C872" w:tentative="1">
      <w:start w:val="1"/>
      <w:numFmt w:val="bullet"/>
      <w:lvlText w:val="•"/>
      <w:lvlJc w:val="left"/>
      <w:pPr>
        <w:tabs>
          <w:tab w:val="num" w:pos="5040"/>
        </w:tabs>
        <w:ind w:left="5040" w:hanging="360"/>
      </w:pPr>
      <w:rPr>
        <w:rFonts w:ascii="Arial" w:hAnsi="Arial" w:hint="default"/>
      </w:rPr>
    </w:lvl>
    <w:lvl w:ilvl="7" w:tplc="70AA8C4A" w:tentative="1">
      <w:start w:val="1"/>
      <w:numFmt w:val="bullet"/>
      <w:lvlText w:val="•"/>
      <w:lvlJc w:val="left"/>
      <w:pPr>
        <w:tabs>
          <w:tab w:val="num" w:pos="5760"/>
        </w:tabs>
        <w:ind w:left="5760" w:hanging="360"/>
      </w:pPr>
      <w:rPr>
        <w:rFonts w:ascii="Arial" w:hAnsi="Arial" w:hint="default"/>
      </w:rPr>
    </w:lvl>
    <w:lvl w:ilvl="8" w:tplc="640201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5"/>
  </w:num>
  <w:num w:numId="3">
    <w:abstractNumId w:val="0"/>
  </w:num>
  <w:num w:numId="4">
    <w:abstractNumId w:val="2"/>
  </w:num>
  <w:num w:numId="5">
    <w:abstractNumId w:val="12"/>
  </w:num>
  <w:num w:numId="6">
    <w:abstractNumId w:val="26"/>
  </w:num>
  <w:num w:numId="7">
    <w:abstractNumId w:val="16"/>
  </w:num>
  <w:num w:numId="8">
    <w:abstractNumId w:val="11"/>
  </w:num>
  <w:num w:numId="9">
    <w:abstractNumId w:val="30"/>
  </w:num>
  <w:num w:numId="10">
    <w:abstractNumId w:val="4"/>
  </w:num>
  <w:num w:numId="11">
    <w:abstractNumId w:val="18"/>
  </w:num>
  <w:num w:numId="12">
    <w:abstractNumId w:val="3"/>
  </w:num>
  <w:num w:numId="13">
    <w:abstractNumId w:val="9"/>
  </w:num>
  <w:num w:numId="14">
    <w:abstractNumId w:val="22"/>
  </w:num>
  <w:num w:numId="15">
    <w:abstractNumId w:val="14"/>
  </w:num>
  <w:num w:numId="16">
    <w:abstractNumId w:val="1"/>
  </w:num>
  <w:num w:numId="17">
    <w:abstractNumId w:val="20"/>
  </w:num>
  <w:num w:numId="18">
    <w:abstractNumId w:val="10"/>
  </w:num>
  <w:num w:numId="19">
    <w:abstractNumId w:val="17"/>
  </w:num>
  <w:num w:numId="20">
    <w:abstractNumId w:val="29"/>
  </w:num>
  <w:num w:numId="21">
    <w:abstractNumId w:val="31"/>
  </w:num>
  <w:num w:numId="22">
    <w:abstractNumId w:val="19"/>
  </w:num>
  <w:num w:numId="23">
    <w:abstractNumId w:val="8"/>
  </w:num>
  <w:num w:numId="24">
    <w:abstractNumId w:val="6"/>
  </w:num>
  <w:num w:numId="25">
    <w:abstractNumId w:val="27"/>
  </w:num>
  <w:num w:numId="26">
    <w:abstractNumId w:val="24"/>
  </w:num>
  <w:num w:numId="27">
    <w:abstractNumId w:val="15"/>
  </w:num>
  <w:num w:numId="28">
    <w:abstractNumId w:val="23"/>
  </w:num>
  <w:num w:numId="29">
    <w:abstractNumId w:val="13"/>
  </w:num>
  <w:num w:numId="30">
    <w:abstractNumId w:val="28"/>
  </w:num>
  <w:num w:numId="31">
    <w:abstractNumId w:val="21"/>
  </w:num>
  <w:num w:numId="3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D47"/>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941"/>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E85"/>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2AE4"/>
    <w:rsid w:val="000B3B91"/>
    <w:rsid w:val="000B4207"/>
    <w:rsid w:val="000B4B1B"/>
    <w:rsid w:val="000B50C3"/>
    <w:rsid w:val="000B5AC9"/>
    <w:rsid w:val="000B5F0A"/>
    <w:rsid w:val="000B6D65"/>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4D9A"/>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4C7"/>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B8"/>
    <w:rsid w:val="001A02F6"/>
    <w:rsid w:val="001A15C6"/>
    <w:rsid w:val="001A5510"/>
    <w:rsid w:val="001A5C7B"/>
    <w:rsid w:val="001A5E19"/>
    <w:rsid w:val="001A63D8"/>
    <w:rsid w:val="001B01FA"/>
    <w:rsid w:val="001B0832"/>
    <w:rsid w:val="001B09CE"/>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7D3"/>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1CD3"/>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68B"/>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4BD5"/>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2F7E10"/>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64B9"/>
    <w:rsid w:val="00337810"/>
    <w:rsid w:val="00340361"/>
    <w:rsid w:val="00340795"/>
    <w:rsid w:val="0034111C"/>
    <w:rsid w:val="00341947"/>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5F5F"/>
    <w:rsid w:val="00356275"/>
    <w:rsid w:val="00356C0B"/>
    <w:rsid w:val="00357B9C"/>
    <w:rsid w:val="00361412"/>
    <w:rsid w:val="003615CA"/>
    <w:rsid w:val="00363B2C"/>
    <w:rsid w:val="00363DFA"/>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6BBB"/>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4195"/>
    <w:rsid w:val="003F4CAD"/>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13ED"/>
    <w:rsid w:val="004D2629"/>
    <w:rsid w:val="004D26B8"/>
    <w:rsid w:val="004D2C2C"/>
    <w:rsid w:val="004D38C2"/>
    <w:rsid w:val="004D41DC"/>
    <w:rsid w:val="004D41DE"/>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45DB"/>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275"/>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960"/>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1546"/>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4A57"/>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6DA"/>
    <w:rsid w:val="00651854"/>
    <w:rsid w:val="00652578"/>
    <w:rsid w:val="006539E8"/>
    <w:rsid w:val="00656307"/>
    <w:rsid w:val="006565D8"/>
    <w:rsid w:val="00656B96"/>
    <w:rsid w:val="00656F79"/>
    <w:rsid w:val="0065736B"/>
    <w:rsid w:val="006578E4"/>
    <w:rsid w:val="00657AE5"/>
    <w:rsid w:val="006619B0"/>
    <w:rsid w:val="00662012"/>
    <w:rsid w:val="0066209F"/>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ED2"/>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1BB"/>
    <w:rsid w:val="00703571"/>
    <w:rsid w:val="00703989"/>
    <w:rsid w:val="007042E9"/>
    <w:rsid w:val="00704495"/>
    <w:rsid w:val="007108D3"/>
    <w:rsid w:val="0071093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06D2"/>
    <w:rsid w:val="00741EE6"/>
    <w:rsid w:val="00742A6A"/>
    <w:rsid w:val="00742B44"/>
    <w:rsid w:val="0074656E"/>
    <w:rsid w:val="007472D5"/>
    <w:rsid w:val="00750513"/>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30C"/>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5206"/>
    <w:rsid w:val="007A6CFD"/>
    <w:rsid w:val="007A72EE"/>
    <w:rsid w:val="007B0397"/>
    <w:rsid w:val="007B0ADB"/>
    <w:rsid w:val="007B26EE"/>
    <w:rsid w:val="007B2D6A"/>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347"/>
    <w:rsid w:val="007C6A12"/>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181A"/>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689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256A"/>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5677"/>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87A51"/>
    <w:rsid w:val="00990C0E"/>
    <w:rsid w:val="00990D75"/>
    <w:rsid w:val="00991093"/>
    <w:rsid w:val="0099163B"/>
    <w:rsid w:val="00992343"/>
    <w:rsid w:val="0099383D"/>
    <w:rsid w:val="009938B1"/>
    <w:rsid w:val="009948E6"/>
    <w:rsid w:val="00995F89"/>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3CB8"/>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8AC"/>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B2D"/>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10B"/>
    <w:rsid w:val="00A7031E"/>
    <w:rsid w:val="00A70D0A"/>
    <w:rsid w:val="00A71140"/>
    <w:rsid w:val="00A7205E"/>
    <w:rsid w:val="00A72C13"/>
    <w:rsid w:val="00A74692"/>
    <w:rsid w:val="00A75A52"/>
    <w:rsid w:val="00A7618B"/>
    <w:rsid w:val="00A7640B"/>
    <w:rsid w:val="00A773A8"/>
    <w:rsid w:val="00A7778B"/>
    <w:rsid w:val="00A803BC"/>
    <w:rsid w:val="00A80969"/>
    <w:rsid w:val="00A853C7"/>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5D6"/>
    <w:rsid w:val="00AD165F"/>
    <w:rsid w:val="00AD2794"/>
    <w:rsid w:val="00AD2DC5"/>
    <w:rsid w:val="00AD3455"/>
    <w:rsid w:val="00AD3CAD"/>
    <w:rsid w:val="00AD5A99"/>
    <w:rsid w:val="00AD69FF"/>
    <w:rsid w:val="00AD702B"/>
    <w:rsid w:val="00AD72E6"/>
    <w:rsid w:val="00AD7C95"/>
    <w:rsid w:val="00AD7FCD"/>
    <w:rsid w:val="00AE215C"/>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2653"/>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7E4"/>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4DF"/>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D0A"/>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6AFC"/>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607"/>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7A9"/>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6006"/>
    <w:rsid w:val="00CD66E0"/>
    <w:rsid w:val="00CD761D"/>
    <w:rsid w:val="00CD76B5"/>
    <w:rsid w:val="00CD78B9"/>
    <w:rsid w:val="00CE184E"/>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6EEE"/>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B5D"/>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C7B"/>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0985"/>
    <w:rsid w:val="00E61300"/>
    <w:rsid w:val="00E635B9"/>
    <w:rsid w:val="00E65D15"/>
    <w:rsid w:val="00E65D5A"/>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3F6"/>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747"/>
    <w:rsid w:val="00ED6D4A"/>
    <w:rsid w:val="00ED721A"/>
    <w:rsid w:val="00ED738C"/>
    <w:rsid w:val="00ED7918"/>
    <w:rsid w:val="00ED7FD3"/>
    <w:rsid w:val="00EE0E5D"/>
    <w:rsid w:val="00EE11C2"/>
    <w:rsid w:val="00EE2A61"/>
    <w:rsid w:val="00EE359B"/>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1654"/>
    <w:rsid w:val="00F12351"/>
    <w:rsid w:val="00F15193"/>
    <w:rsid w:val="00F16739"/>
    <w:rsid w:val="00F16DE2"/>
    <w:rsid w:val="00F2052B"/>
    <w:rsid w:val="00F22183"/>
    <w:rsid w:val="00F2260F"/>
    <w:rsid w:val="00F242AD"/>
    <w:rsid w:val="00F247F2"/>
    <w:rsid w:val="00F2518F"/>
    <w:rsid w:val="00F252A8"/>
    <w:rsid w:val="00F255D9"/>
    <w:rsid w:val="00F264CF"/>
    <w:rsid w:val="00F265F7"/>
    <w:rsid w:val="00F27FA6"/>
    <w:rsid w:val="00F33DC8"/>
    <w:rsid w:val="00F34444"/>
    <w:rsid w:val="00F378F1"/>
    <w:rsid w:val="00F403A1"/>
    <w:rsid w:val="00F403DB"/>
    <w:rsid w:val="00F4065A"/>
    <w:rsid w:val="00F4275C"/>
    <w:rsid w:val="00F434B2"/>
    <w:rsid w:val="00F438C6"/>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761"/>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65F"/>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AC5"/>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8118D-F9EE-436A-B493-1ABB02482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2098</Words>
  <Characters>11962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2020-08-07T11:52:00Z</dcterms:created>
  <dcterms:modified xsi:type="dcterms:W3CDTF">2020-08-07T11:52:00Z</dcterms:modified>
</cp:coreProperties>
</file>