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5E21FF" w14:textId="386E5C47" w:rsidR="00C73FC1" w:rsidRPr="002C5CDC" w:rsidRDefault="00C73FC1" w:rsidP="00C73FC1">
      <w:pPr>
        <w:tabs>
          <w:tab w:val="center" w:pos="4536"/>
          <w:tab w:val="left" w:pos="6804"/>
          <w:tab w:val="right" w:pos="8280"/>
          <w:tab w:val="right" w:pos="9639"/>
        </w:tabs>
        <w:spacing w:afterLines="50" w:after="156"/>
        <w:ind w:right="2"/>
        <w:rPr>
          <w:rFonts w:ascii="Arial" w:hAnsi="Arial" w:cs="Arial"/>
          <w:b/>
          <w:bCs/>
          <w:sz w:val="24"/>
        </w:rPr>
      </w:pPr>
      <w:bookmarkStart w:id="0" w:name="OLE_LINK87"/>
      <w:bookmarkStart w:id="1" w:name="OLE_LINK88"/>
      <w:bookmarkStart w:id="2" w:name="OLE_LINK3"/>
      <w:r w:rsidRPr="004A36CA">
        <w:rPr>
          <w:rFonts w:ascii="Arial" w:hAnsi="Arial" w:cs="Arial"/>
          <w:b/>
          <w:bCs/>
          <w:sz w:val="24"/>
        </w:rPr>
        <w:t xml:space="preserve">3GPP TSG RAN WG1 </w:t>
      </w:r>
      <w:r>
        <w:rPr>
          <w:rFonts w:ascii="Arial" w:hAnsi="Arial" w:cs="Arial"/>
          <w:b/>
          <w:bCs/>
          <w:sz w:val="24"/>
        </w:rPr>
        <w:t xml:space="preserve">Meeting </w:t>
      </w:r>
      <w:r w:rsidRPr="004A36CA">
        <w:rPr>
          <w:rFonts w:ascii="Arial" w:hAnsi="Arial" w:cs="Arial"/>
          <w:b/>
          <w:bCs/>
          <w:sz w:val="24"/>
        </w:rPr>
        <w:t>#</w:t>
      </w:r>
      <w:r>
        <w:rPr>
          <w:rFonts w:ascii="Arial" w:hAnsi="Arial" w:cs="Arial"/>
          <w:b/>
          <w:bCs/>
          <w:sz w:val="24"/>
        </w:rPr>
        <w:t>10</w:t>
      </w:r>
      <w:r w:rsidR="00CD13EA">
        <w:rPr>
          <w:rFonts w:ascii="Arial" w:hAnsi="Arial" w:cs="Arial" w:hint="eastAsia"/>
          <w:b/>
          <w:bCs/>
          <w:sz w:val="24"/>
        </w:rPr>
        <w:t>2</w:t>
      </w:r>
      <w:r w:rsidRPr="003D18AC">
        <w:rPr>
          <w:rFonts w:ascii="Arial" w:hAnsi="Arial" w:cs="Arial"/>
          <w:b/>
          <w:bCs/>
          <w:sz w:val="24"/>
        </w:rPr>
        <w:t>-e</w:t>
      </w:r>
      <w:r w:rsidRPr="002C5CDC">
        <w:rPr>
          <w:rFonts w:ascii="Arial" w:eastAsia="MS Mincho" w:hAnsi="Arial" w:cs="Arial"/>
          <w:b/>
          <w:bCs/>
          <w:sz w:val="24"/>
          <w:lang w:eastAsia="ja-JP"/>
        </w:rPr>
        <w:tab/>
      </w:r>
      <w:r>
        <w:rPr>
          <w:rFonts w:ascii="Arial" w:hAnsi="Arial" w:cs="Arial"/>
          <w:b/>
          <w:bCs/>
          <w:sz w:val="24"/>
        </w:rPr>
        <w:tab/>
      </w:r>
      <w:r>
        <w:rPr>
          <w:rFonts w:ascii="Arial" w:hAnsi="Arial" w:cs="Arial"/>
          <w:b/>
          <w:bCs/>
          <w:sz w:val="24"/>
        </w:rPr>
        <w:tab/>
      </w:r>
      <w:r>
        <w:rPr>
          <w:rFonts w:ascii="Arial" w:hAnsi="Arial" w:cs="Arial"/>
          <w:b/>
          <w:bCs/>
          <w:sz w:val="24"/>
        </w:rPr>
        <w:tab/>
        <w:t>R1-200</w:t>
      </w:r>
      <w:r w:rsidR="001679C8">
        <w:rPr>
          <w:rFonts w:ascii="Arial" w:hAnsi="Arial" w:cs="Arial" w:hint="eastAsia"/>
          <w:b/>
          <w:bCs/>
          <w:sz w:val="24"/>
        </w:rPr>
        <w:t>685</w:t>
      </w:r>
      <w:r w:rsidR="00E5580C">
        <w:rPr>
          <w:rFonts w:ascii="Arial" w:hAnsi="Arial" w:cs="Arial" w:hint="eastAsia"/>
          <w:b/>
          <w:bCs/>
          <w:sz w:val="24"/>
        </w:rPr>
        <w:t>7</w:t>
      </w:r>
    </w:p>
    <w:p w14:paraId="704AF605" w14:textId="759D3741" w:rsidR="00C73FC1" w:rsidRPr="00291A12" w:rsidRDefault="00C73FC1" w:rsidP="00C73FC1">
      <w:pPr>
        <w:tabs>
          <w:tab w:val="center" w:pos="4536"/>
          <w:tab w:val="right" w:pos="9072"/>
        </w:tabs>
        <w:spacing w:afterLines="50" w:after="156"/>
        <w:rPr>
          <w:rFonts w:ascii="Arial" w:eastAsia="MS Mincho" w:hAnsi="Arial" w:cs="Arial"/>
          <w:b/>
          <w:bCs/>
          <w:sz w:val="24"/>
          <w:lang w:eastAsia="ja-JP"/>
        </w:rPr>
      </w:pPr>
      <w:r>
        <w:rPr>
          <w:rFonts w:ascii="Arial" w:eastAsia="MS Mincho" w:hAnsi="Arial" w:cs="Arial"/>
          <w:b/>
          <w:bCs/>
          <w:sz w:val="24"/>
          <w:lang w:eastAsia="ja-JP"/>
        </w:rPr>
        <w:t>e-Meeting</w:t>
      </w:r>
      <w:r w:rsidRPr="00291A12">
        <w:rPr>
          <w:rFonts w:ascii="Arial" w:eastAsia="MS Mincho" w:hAnsi="Arial" w:cs="Arial"/>
          <w:b/>
          <w:bCs/>
          <w:sz w:val="24"/>
          <w:lang w:eastAsia="ja-JP"/>
        </w:rPr>
        <w:t xml:space="preserve">, </w:t>
      </w:r>
      <w:r w:rsidR="00CD13EA" w:rsidRPr="00CD13EA">
        <w:rPr>
          <w:rFonts w:ascii="Arial" w:eastAsia="MS Mincho" w:hAnsi="Arial" w:cs="Arial"/>
          <w:b/>
          <w:bCs/>
          <w:sz w:val="24"/>
          <w:lang w:eastAsia="ja-JP"/>
        </w:rPr>
        <w:t xml:space="preserve">August </w:t>
      </w:r>
      <w:r w:rsidR="00CD13EA" w:rsidRPr="00CD13EA">
        <w:rPr>
          <w:rFonts w:ascii="Arial" w:eastAsia="MS Mincho" w:hAnsi="Arial" w:cs="Arial" w:hint="eastAsia"/>
          <w:b/>
          <w:bCs/>
          <w:sz w:val="24"/>
          <w:lang w:eastAsia="ja-JP"/>
        </w:rPr>
        <w:t>17</w:t>
      </w:r>
      <w:r w:rsidRPr="00C20890">
        <w:rPr>
          <w:rFonts w:ascii="Arial" w:eastAsia="MS Mincho" w:hAnsi="Arial" w:cs="Arial"/>
          <w:b/>
          <w:bCs/>
          <w:sz w:val="24"/>
          <w:vertAlign w:val="superscript"/>
          <w:lang w:eastAsia="ja-JP"/>
        </w:rPr>
        <w:t>th</w:t>
      </w:r>
      <w:r w:rsidRPr="00291A12">
        <w:rPr>
          <w:rFonts w:ascii="Arial" w:eastAsia="MS Mincho" w:hAnsi="Arial" w:cs="Arial"/>
          <w:b/>
          <w:bCs/>
          <w:sz w:val="24"/>
          <w:lang w:eastAsia="ja-JP"/>
        </w:rPr>
        <w:t>–</w:t>
      </w:r>
      <w:r w:rsidR="005C11EF" w:rsidRPr="00CD13EA">
        <w:rPr>
          <w:rFonts w:ascii="Arial" w:eastAsia="MS Mincho" w:hAnsi="Arial" w:cs="Arial"/>
          <w:b/>
          <w:bCs/>
          <w:sz w:val="24"/>
          <w:lang w:eastAsia="ja-JP"/>
        </w:rPr>
        <w:t>August</w:t>
      </w:r>
      <w:r>
        <w:rPr>
          <w:rFonts w:ascii="Arial" w:eastAsia="MS Mincho" w:hAnsi="Arial" w:cs="Arial"/>
          <w:b/>
          <w:bCs/>
          <w:sz w:val="24"/>
          <w:lang w:eastAsia="ja-JP"/>
        </w:rPr>
        <w:t xml:space="preserve"> </w:t>
      </w:r>
      <w:r w:rsidR="00CD13EA" w:rsidRPr="00CD13EA">
        <w:rPr>
          <w:rFonts w:ascii="Arial" w:eastAsia="MS Mincho" w:hAnsi="Arial" w:cs="Arial" w:hint="eastAsia"/>
          <w:b/>
          <w:bCs/>
          <w:sz w:val="24"/>
          <w:lang w:eastAsia="ja-JP"/>
        </w:rPr>
        <w:t>28</w:t>
      </w:r>
      <w:r w:rsidRPr="00C20890">
        <w:rPr>
          <w:rFonts w:ascii="Arial" w:eastAsia="MS Mincho" w:hAnsi="Arial" w:cs="Arial"/>
          <w:b/>
          <w:bCs/>
          <w:sz w:val="24"/>
          <w:vertAlign w:val="superscript"/>
          <w:lang w:eastAsia="ja-JP"/>
        </w:rPr>
        <w:t>th</w:t>
      </w:r>
      <w:r w:rsidRPr="00291A12">
        <w:rPr>
          <w:rFonts w:ascii="Arial" w:eastAsia="MS Mincho" w:hAnsi="Arial" w:cs="Arial"/>
          <w:b/>
          <w:bCs/>
          <w:sz w:val="24"/>
          <w:lang w:eastAsia="ja-JP"/>
        </w:rPr>
        <w:t>, 20</w:t>
      </w:r>
      <w:r>
        <w:rPr>
          <w:rFonts w:ascii="Arial" w:eastAsia="MS Mincho" w:hAnsi="Arial" w:cs="Arial"/>
          <w:b/>
          <w:bCs/>
          <w:sz w:val="24"/>
          <w:lang w:eastAsia="ja-JP"/>
        </w:rPr>
        <w:t>20</w:t>
      </w:r>
    </w:p>
    <w:p w14:paraId="44A19BC0" w14:textId="77777777"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Source </w:t>
      </w:r>
      <w:r w:rsidRPr="00540B9F">
        <w:rPr>
          <w:rFonts w:ascii="Arial" w:hAnsi="Arial" w:cs="Arial"/>
          <w:b/>
          <w:sz w:val="22"/>
          <w:szCs w:val="22"/>
        </w:rPr>
        <w:tab/>
        <w:t xml:space="preserve">: </w:t>
      </w:r>
      <w:r w:rsidRPr="00540B9F">
        <w:rPr>
          <w:rFonts w:ascii="Arial" w:hAnsi="Arial" w:cs="Arial" w:hint="eastAsia"/>
          <w:b/>
          <w:sz w:val="22"/>
          <w:szCs w:val="22"/>
        </w:rPr>
        <w:t>CA</w:t>
      </w:r>
      <w:r>
        <w:rPr>
          <w:rFonts w:ascii="Arial" w:hAnsi="Arial" w:cs="Arial"/>
          <w:b/>
          <w:sz w:val="22"/>
          <w:szCs w:val="22"/>
        </w:rPr>
        <w:t>ICT</w:t>
      </w:r>
      <w:bookmarkStart w:id="3" w:name="_GoBack"/>
      <w:bookmarkEnd w:id="3"/>
    </w:p>
    <w:p w14:paraId="06E0DB7C" w14:textId="3B2D650C"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 xml:space="preserve">Title </w:t>
      </w:r>
      <w:r w:rsidRPr="00540B9F">
        <w:rPr>
          <w:rFonts w:ascii="Arial" w:hAnsi="Arial" w:cs="Arial"/>
          <w:b/>
          <w:sz w:val="22"/>
          <w:szCs w:val="22"/>
        </w:rPr>
        <w:tab/>
      </w:r>
      <w:r w:rsidRPr="00540B9F">
        <w:rPr>
          <w:rFonts w:ascii="Arial" w:hAnsi="Arial" w:cs="Arial" w:hint="eastAsia"/>
          <w:b/>
          <w:sz w:val="22"/>
          <w:szCs w:val="22"/>
        </w:rPr>
        <w:t xml:space="preserve">: </w:t>
      </w:r>
      <w:r w:rsidR="00B27E17">
        <w:rPr>
          <w:rFonts w:ascii="Arial" w:hAnsi="Arial" w:cs="Arial"/>
          <w:b/>
          <w:sz w:val="22"/>
          <w:szCs w:val="22"/>
        </w:rPr>
        <w:t>E</w:t>
      </w:r>
      <w:r w:rsidR="006D765A" w:rsidRPr="005C789C">
        <w:rPr>
          <w:rFonts w:ascii="Arial" w:hAnsi="Arial" w:cs="Arial"/>
          <w:b/>
          <w:sz w:val="22"/>
          <w:szCs w:val="22"/>
        </w:rPr>
        <w:t>nhancements</w:t>
      </w:r>
      <w:r w:rsidR="00B27E17">
        <w:rPr>
          <w:rFonts w:ascii="Arial" w:hAnsi="Arial" w:cs="Arial"/>
          <w:b/>
          <w:sz w:val="22"/>
          <w:szCs w:val="22"/>
        </w:rPr>
        <w:t xml:space="preserve"> on HARQ</w:t>
      </w:r>
      <w:r w:rsidR="006D765A" w:rsidRPr="005C789C">
        <w:rPr>
          <w:rFonts w:ascii="Arial" w:hAnsi="Arial" w:cs="Arial"/>
          <w:b/>
          <w:sz w:val="22"/>
          <w:szCs w:val="22"/>
        </w:rPr>
        <w:t xml:space="preserve"> to support NTN</w:t>
      </w:r>
    </w:p>
    <w:p w14:paraId="7B50E981" w14:textId="5CCE73CE" w:rsidR="004D41CE" w:rsidRPr="00540B9F" w:rsidRDefault="004D41CE" w:rsidP="004D41CE">
      <w:pPr>
        <w:tabs>
          <w:tab w:val="left" w:pos="1843"/>
        </w:tabs>
        <w:spacing w:afterLines="50" w:after="156"/>
        <w:rPr>
          <w:rFonts w:ascii="Arial" w:hAnsi="Arial" w:cs="Arial"/>
          <w:b/>
          <w:sz w:val="22"/>
          <w:szCs w:val="22"/>
        </w:rPr>
      </w:pPr>
      <w:r w:rsidRPr="00540B9F">
        <w:rPr>
          <w:rFonts w:ascii="Arial" w:hAnsi="Arial" w:cs="Arial"/>
          <w:b/>
          <w:sz w:val="22"/>
          <w:szCs w:val="22"/>
        </w:rPr>
        <w:t>Agenda Item</w:t>
      </w:r>
      <w:bookmarkStart w:id="4" w:name="Source"/>
      <w:bookmarkEnd w:id="4"/>
      <w:r w:rsidRPr="00540B9F">
        <w:rPr>
          <w:rFonts w:ascii="Arial" w:hAnsi="Arial" w:cs="Arial"/>
          <w:b/>
          <w:sz w:val="22"/>
          <w:szCs w:val="22"/>
        </w:rPr>
        <w:tab/>
        <w:t>:</w:t>
      </w:r>
      <w:r w:rsidRPr="00540B9F">
        <w:rPr>
          <w:rFonts w:ascii="Arial" w:hAnsi="Arial" w:cs="Arial" w:hint="eastAsia"/>
          <w:b/>
          <w:sz w:val="22"/>
          <w:szCs w:val="22"/>
        </w:rPr>
        <w:t xml:space="preserve"> </w:t>
      </w:r>
      <w:r w:rsidR="00FE256F">
        <w:rPr>
          <w:rFonts w:ascii="Arial" w:hAnsi="Arial" w:cs="Arial"/>
          <w:b/>
          <w:sz w:val="22"/>
          <w:szCs w:val="22"/>
        </w:rPr>
        <w:t>8</w:t>
      </w:r>
      <w:r>
        <w:rPr>
          <w:rFonts w:ascii="Arial" w:hAnsi="Arial" w:cs="Arial"/>
          <w:b/>
          <w:sz w:val="22"/>
          <w:szCs w:val="22"/>
        </w:rPr>
        <w:t>.</w:t>
      </w:r>
      <w:r w:rsidR="00FE256F">
        <w:rPr>
          <w:rFonts w:ascii="Arial" w:hAnsi="Arial" w:cs="Arial"/>
          <w:b/>
          <w:sz w:val="22"/>
          <w:szCs w:val="22"/>
        </w:rPr>
        <w:t>4</w:t>
      </w:r>
      <w:r>
        <w:rPr>
          <w:rFonts w:ascii="Arial" w:hAnsi="Arial" w:cs="Arial"/>
          <w:b/>
          <w:sz w:val="22"/>
          <w:szCs w:val="22"/>
        </w:rPr>
        <w:t>.</w:t>
      </w:r>
      <w:r w:rsidR="00500C5A">
        <w:rPr>
          <w:rFonts w:ascii="Arial" w:hAnsi="Arial" w:cs="Arial"/>
          <w:b/>
          <w:sz w:val="22"/>
          <w:szCs w:val="22"/>
        </w:rPr>
        <w:t>3</w:t>
      </w:r>
    </w:p>
    <w:p w14:paraId="6A1AE250" w14:textId="77777777" w:rsidR="004D41CE" w:rsidRPr="00540B9F" w:rsidRDefault="004D41CE" w:rsidP="004D41CE">
      <w:pPr>
        <w:widowControl/>
        <w:tabs>
          <w:tab w:val="left" w:pos="1843"/>
        </w:tabs>
        <w:spacing w:afterLines="50" w:after="156"/>
        <w:rPr>
          <w:rFonts w:ascii="Arial" w:eastAsia="MS Mincho" w:hAnsi="Arial" w:cs="Arial"/>
          <w:b/>
          <w:kern w:val="0"/>
          <w:sz w:val="22"/>
          <w:szCs w:val="22"/>
          <w:lang w:val="en-GB" w:eastAsia="en-US"/>
        </w:rPr>
      </w:pPr>
      <w:r w:rsidRPr="00540B9F">
        <w:rPr>
          <w:rFonts w:ascii="Arial" w:eastAsia="MS Mincho" w:hAnsi="Arial" w:cs="Arial"/>
          <w:b/>
          <w:kern w:val="0"/>
          <w:sz w:val="22"/>
          <w:szCs w:val="22"/>
          <w:lang w:val="en-GB" w:eastAsia="en-US"/>
        </w:rPr>
        <w:t>Document for</w:t>
      </w:r>
      <w:r w:rsidRPr="00540B9F">
        <w:rPr>
          <w:rFonts w:ascii="Arial" w:eastAsia="MS Mincho" w:hAnsi="Arial" w:cs="Arial"/>
          <w:b/>
          <w:kern w:val="0"/>
          <w:sz w:val="22"/>
          <w:szCs w:val="22"/>
          <w:lang w:val="en-GB" w:eastAsia="en-US"/>
        </w:rPr>
        <w:tab/>
        <w:t xml:space="preserve">: </w:t>
      </w:r>
      <w:r w:rsidRPr="00540B9F">
        <w:rPr>
          <w:rFonts w:ascii="Arial" w:eastAsia="MS Mincho" w:hAnsi="Arial" w:cs="Arial" w:hint="eastAsia"/>
          <w:b/>
          <w:kern w:val="0"/>
          <w:sz w:val="22"/>
          <w:szCs w:val="22"/>
          <w:lang w:val="en-GB" w:eastAsia="en-US"/>
        </w:rPr>
        <w:t>Discussion / Decision</w:t>
      </w:r>
    </w:p>
    <w:bookmarkEnd w:id="0"/>
    <w:bookmarkEnd w:id="1"/>
    <w:bookmarkEnd w:id="2"/>
    <w:p w14:paraId="2468F8FF" w14:textId="77777777" w:rsidR="001C5D0C" w:rsidRPr="00A90A77" w:rsidRDefault="001C5D0C" w:rsidP="00EF3E91">
      <w:pPr>
        <w:pStyle w:val="1"/>
        <w:keepLines/>
        <w:pBdr>
          <w:top w:val="single" w:sz="12" w:space="3" w:color="auto"/>
        </w:pBdr>
        <w:tabs>
          <w:tab w:val="clear" w:pos="0"/>
          <w:tab w:val="left" w:pos="446"/>
          <w:tab w:val="left" w:pos="858"/>
        </w:tabs>
        <w:spacing w:before="120" w:afterLines="50" w:after="156"/>
        <w:rPr>
          <w:b/>
          <w:sz w:val="30"/>
          <w:szCs w:val="30"/>
        </w:rPr>
      </w:pPr>
      <w:r w:rsidRPr="00A90A77">
        <w:rPr>
          <w:b/>
          <w:sz w:val="30"/>
          <w:szCs w:val="30"/>
        </w:rPr>
        <w:t>Introduction</w:t>
      </w:r>
    </w:p>
    <w:p w14:paraId="5CCB4B40" w14:textId="6BB28A33" w:rsidR="007F6708" w:rsidRPr="003E0842" w:rsidRDefault="00942230" w:rsidP="007F6708">
      <w:pPr>
        <w:rPr>
          <w:rFonts w:eastAsia="PMingLiU"/>
          <w:i/>
          <w:lang w:eastAsia="zh-TW"/>
        </w:rPr>
      </w:pPr>
      <w:r>
        <w:rPr>
          <w:kern w:val="0"/>
          <w:sz w:val="22"/>
          <w:szCs w:val="22"/>
        </w:rPr>
        <w:t>The outcome during the s</w:t>
      </w:r>
      <w:r w:rsidRPr="74AD71AD">
        <w:rPr>
          <w:sz w:val="22"/>
          <w:szCs w:val="22"/>
        </w:rPr>
        <w:t xml:space="preserve">tudy </w:t>
      </w:r>
      <w:r>
        <w:rPr>
          <w:sz w:val="22"/>
          <w:szCs w:val="22"/>
        </w:rPr>
        <w:t>i</w:t>
      </w:r>
      <w:r w:rsidRPr="74AD71AD">
        <w:rPr>
          <w:sz w:val="22"/>
          <w:szCs w:val="22"/>
        </w:rPr>
        <w:t>tem</w:t>
      </w:r>
      <w:r>
        <w:rPr>
          <w:sz w:val="22"/>
          <w:szCs w:val="22"/>
        </w:rPr>
        <w:t xml:space="preserve"> </w:t>
      </w:r>
      <w:r w:rsidRPr="74AD71AD">
        <w:rPr>
          <w:sz w:val="22"/>
          <w:szCs w:val="22"/>
        </w:rPr>
        <w:t>on “</w:t>
      </w:r>
      <w:r w:rsidRPr="00D058AF">
        <w:rPr>
          <w:sz w:val="22"/>
          <w:szCs w:val="22"/>
        </w:rPr>
        <w:t xml:space="preserve">Study </w:t>
      </w:r>
      <w:r>
        <w:rPr>
          <w:sz w:val="22"/>
          <w:szCs w:val="22"/>
        </w:rPr>
        <w:t>on</w:t>
      </w:r>
      <w:r w:rsidRPr="00D058AF">
        <w:rPr>
          <w:sz w:val="22"/>
          <w:szCs w:val="22"/>
        </w:rPr>
        <w:t xml:space="preserve"> </w:t>
      </w:r>
      <w:r>
        <w:rPr>
          <w:sz w:val="22"/>
          <w:szCs w:val="22"/>
        </w:rPr>
        <w:t>S</w:t>
      </w:r>
      <w:r w:rsidRPr="00D058AF">
        <w:rPr>
          <w:sz w:val="22"/>
          <w:szCs w:val="22"/>
        </w:rPr>
        <w:t xml:space="preserve">olutions for NR to </w:t>
      </w:r>
      <w:r>
        <w:rPr>
          <w:sz w:val="22"/>
          <w:szCs w:val="22"/>
        </w:rPr>
        <w:t>S</w:t>
      </w:r>
      <w:r w:rsidRPr="00D058AF">
        <w:rPr>
          <w:sz w:val="22"/>
          <w:szCs w:val="22"/>
        </w:rPr>
        <w:t xml:space="preserve">upport </w:t>
      </w:r>
      <w:r>
        <w:rPr>
          <w:sz w:val="22"/>
          <w:szCs w:val="22"/>
        </w:rPr>
        <w:t>N</w:t>
      </w:r>
      <w:r w:rsidRPr="00D058AF">
        <w:rPr>
          <w:sz w:val="22"/>
          <w:szCs w:val="22"/>
        </w:rPr>
        <w:t>on-</w:t>
      </w:r>
      <w:r>
        <w:rPr>
          <w:sz w:val="22"/>
          <w:szCs w:val="22"/>
        </w:rPr>
        <w:t>T</w:t>
      </w:r>
      <w:r w:rsidRPr="00D058AF">
        <w:rPr>
          <w:sz w:val="22"/>
          <w:szCs w:val="22"/>
        </w:rPr>
        <w:t xml:space="preserve">errestrial </w:t>
      </w:r>
      <w:r>
        <w:rPr>
          <w:sz w:val="22"/>
          <w:szCs w:val="22"/>
        </w:rPr>
        <w:t>N</w:t>
      </w:r>
      <w:r w:rsidRPr="00D058AF">
        <w:rPr>
          <w:sz w:val="22"/>
          <w:szCs w:val="22"/>
        </w:rPr>
        <w:t>etworks</w:t>
      </w:r>
      <w:r>
        <w:rPr>
          <w:sz w:val="22"/>
          <w:szCs w:val="22"/>
        </w:rPr>
        <w:t xml:space="preserve">” was summarized in </w:t>
      </w:r>
      <w:r>
        <w:rPr>
          <w:sz w:val="22"/>
          <w:szCs w:val="22"/>
        </w:rPr>
        <w:fldChar w:fldCharType="begin"/>
      </w:r>
      <w:r>
        <w:rPr>
          <w:sz w:val="22"/>
          <w:szCs w:val="22"/>
        </w:rPr>
        <w:instrText xml:space="preserve"> REF _Ref47431329 \r \h </w:instrText>
      </w:r>
      <w:r>
        <w:rPr>
          <w:sz w:val="22"/>
          <w:szCs w:val="22"/>
        </w:rPr>
      </w:r>
      <w:r>
        <w:rPr>
          <w:sz w:val="22"/>
          <w:szCs w:val="22"/>
        </w:rPr>
        <w:fldChar w:fldCharType="separate"/>
      </w:r>
      <w:r>
        <w:rPr>
          <w:sz w:val="22"/>
          <w:szCs w:val="22"/>
        </w:rPr>
        <w:t>[3]</w:t>
      </w:r>
      <w:r>
        <w:rPr>
          <w:sz w:val="22"/>
          <w:szCs w:val="22"/>
        </w:rPr>
        <w:fldChar w:fldCharType="end"/>
      </w:r>
      <w:r>
        <w:rPr>
          <w:sz w:val="22"/>
          <w:szCs w:val="22"/>
        </w:rPr>
        <w:t xml:space="preserve">. </w:t>
      </w:r>
      <w:r w:rsidR="005C789C">
        <w:rPr>
          <w:sz w:val="22"/>
          <w:szCs w:val="22"/>
        </w:rPr>
        <w:t>The wo</w:t>
      </w:r>
      <w:r w:rsidR="007F6708">
        <w:rPr>
          <w:sz w:val="22"/>
          <w:szCs w:val="22"/>
        </w:rPr>
        <w:t>r</w:t>
      </w:r>
      <w:r w:rsidR="005C789C">
        <w:rPr>
          <w:sz w:val="22"/>
          <w:szCs w:val="22"/>
        </w:rPr>
        <w:t>k item of “</w:t>
      </w:r>
      <w:r w:rsidR="005C789C" w:rsidRPr="005C789C">
        <w:rPr>
          <w:sz w:val="22"/>
          <w:szCs w:val="22"/>
        </w:rPr>
        <w:t>Solutions for NR to support non-terrestrial networks (NTN)</w:t>
      </w:r>
      <w:r w:rsidR="005C789C">
        <w:rPr>
          <w:sz w:val="22"/>
          <w:szCs w:val="22"/>
        </w:rPr>
        <w:t xml:space="preserve">” was approved in </w:t>
      </w:r>
      <w:r w:rsidR="00BA3091" w:rsidRPr="00BA3091">
        <w:rPr>
          <w:sz w:val="22"/>
          <w:szCs w:val="22"/>
        </w:rPr>
        <w:t>RAN meeting #86</w:t>
      </w:r>
      <w:r w:rsidR="00BA3091">
        <w:rPr>
          <w:sz w:val="22"/>
          <w:szCs w:val="22"/>
        </w:rPr>
        <w:t xml:space="preserve"> </w:t>
      </w:r>
      <w:r w:rsidR="007F6708">
        <w:rPr>
          <w:sz w:val="22"/>
          <w:szCs w:val="22"/>
        </w:rPr>
        <w:fldChar w:fldCharType="begin"/>
      </w:r>
      <w:r w:rsidR="007F6708">
        <w:rPr>
          <w:sz w:val="22"/>
          <w:szCs w:val="22"/>
        </w:rPr>
        <w:instrText xml:space="preserve"> REF _Ref47429413 \r \h </w:instrText>
      </w:r>
      <w:r w:rsidR="007F6708">
        <w:rPr>
          <w:sz w:val="22"/>
          <w:szCs w:val="22"/>
        </w:rPr>
      </w:r>
      <w:r w:rsidR="007F6708">
        <w:rPr>
          <w:sz w:val="22"/>
          <w:szCs w:val="22"/>
        </w:rPr>
        <w:fldChar w:fldCharType="separate"/>
      </w:r>
      <w:r w:rsidR="007F6708">
        <w:rPr>
          <w:sz w:val="22"/>
          <w:szCs w:val="22"/>
        </w:rPr>
        <w:t>[1]</w:t>
      </w:r>
      <w:r w:rsidR="007F6708">
        <w:rPr>
          <w:sz w:val="22"/>
          <w:szCs w:val="22"/>
        </w:rPr>
        <w:fldChar w:fldCharType="end"/>
      </w:r>
      <w:r w:rsidR="00BA3091">
        <w:rPr>
          <w:sz w:val="22"/>
          <w:szCs w:val="22"/>
        </w:rPr>
        <w:t xml:space="preserve"> and </w:t>
      </w:r>
      <w:r w:rsidR="009A09EA">
        <w:rPr>
          <w:sz w:val="22"/>
          <w:szCs w:val="22"/>
        </w:rPr>
        <w:t>updated</w:t>
      </w:r>
      <w:r w:rsidR="00BA3091">
        <w:rPr>
          <w:sz w:val="22"/>
          <w:szCs w:val="22"/>
        </w:rPr>
        <w:t xml:space="preserve"> in the past </w:t>
      </w:r>
      <w:r w:rsidR="007F6708" w:rsidRPr="007F6708">
        <w:rPr>
          <w:sz w:val="22"/>
          <w:szCs w:val="22"/>
        </w:rPr>
        <w:t xml:space="preserve">RAN meeting #88e </w:t>
      </w:r>
      <w:r w:rsidR="007F6708">
        <w:rPr>
          <w:sz w:val="22"/>
          <w:szCs w:val="22"/>
        </w:rPr>
        <w:t xml:space="preserve">meeting </w:t>
      </w:r>
      <w:r w:rsidR="007F6708">
        <w:rPr>
          <w:sz w:val="22"/>
          <w:szCs w:val="22"/>
        </w:rPr>
        <w:fldChar w:fldCharType="begin"/>
      </w:r>
      <w:r w:rsidR="007F6708">
        <w:rPr>
          <w:sz w:val="22"/>
          <w:szCs w:val="22"/>
        </w:rPr>
        <w:instrText xml:space="preserve"> REF _Ref47429448 \r \h </w:instrText>
      </w:r>
      <w:r w:rsidR="007F6708">
        <w:rPr>
          <w:sz w:val="22"/>
          <w:szCs w:val="22"/>
        </w:rPr>
      </w:r>
      <w:r w:rsidR="007F6708">
        <w:rPr>
          <w:sz w:val="22"/>
          <w:szCs w:val="22"/>
        </w:rPr>
        <w:fldChar w:fldCharType="separate"/>
      </w:r>
      <w:r w:rsidR="007F6708">
        <w:rPr>
          <w:sz w:val="22"/>
          <w:szCs w:val="22"/>
        </w:rPr>
        <w:t>[2]</w:t>
      </w:r>
      <w:r w:rsidR="007F6708">
        <w:rPr>
          <w:sz w:val="22"/>
          <w:szCs w:val="22"/>
        </w:rPr>
        <w:fldChar w:fldCharType="end"/>
      </w:r>
      <w:r w:rsidR="0040530A">
        <w:rPr>
          <w:kern w:val="0"/>
          <w:sz w:val="22"/>
          <w:szCs w:val="22"/>
        </w:rPr>
        <w:t>.</w:t>
      </w:r>
      <w:r w:rsidR="00BA3091">
        <w:rPr>
          <w:kern w:val="0"/>
          <w:sz w:val="22"/>
          <w:szCs w:val="22"/>
        </w:rPr>
        <w:t xml:space="preserve"> </w:t>
      </w:r>
      <w:r>
        <w:rPr>
          <w:kern w:val="0"/>
          <w:sz w:val="22"/>
          <w:szCs w:val="22"/>
        </w:rPr>
        <w:t xml:space="preserve">As </w:t>
      </w:r>
      <w:r>
        <w:rPr>
          <w:rFonts w:hint="eastAsia"/>
          <w:kern w:val="0"/>
          <w:sz w:val="22"/>
          <w:szCs w:val="22"/>
        </w:rPr>
        <w:t>addressed</w:t>
      </w:r>
      <w:r>
        <w:rPr>
          <w:kern w:val="0"/>
          <w:sz w:val="22"/>
          <w:szCs w:val="22"/>
        </w:rPr>
        <w:t xml:space="preserve"> in </w:t>
      </w:r>
      <w:r>
        <w:rPr>
          <w:sz w:val="22"/>
          <w:szCs w:val="22"/>
        </w:rPr>
        <w:fldChar w:fldCharType="begin"/>
      </w:r>
      <w:r>
        <w:rPr>
          <w:sz w:val="22"/>
          <w:szCs w:val="22"/>
        </w:rPr>
        <w:instrText xml:space="preserve"> REF _Ref47429448 \r \h </w:instrText>
      </w:r>
      <w:r>
        <w:rPr>
          <w:sz w:val="22"/>
          <w:szCs w:val="22"/>
        </w:rPr>
      </w:r>
      <w:r>
        <w:rPr>
          <w:sz w:val="22"/>
          <w:szCs w:val="22"/>
        </w:rPr>
        <w:fldChar w:fldCharType="separate"/>
      </w:r>
      <w:r>
        <w:rPr>
          <w:sz w:val="22"/>
          <w:szCs w:val="22"/>
        </w:rPr>
        <w:t>[2]</w:t>
      </w:r>
      <w:r>
        <w:rPr>
          <w:sz w:val="22"/>
          <w:szCs w:val="22"/>
        </w:rPr>
        <w:fldChar w:fldCharType="end"/>
      </w:r>
      <w:r>
        <w:rPr>
          <w:kern w:val="0"/>
          <w:sz w:val="22"/>
          <w:szCs w:val="22"/>
        </w:rPr>
        <w:t xml:space="preserve">, </w:t>
      </w:r>
      <w:r w:rsidRPr="003E0842">
        <w:rPr>
          <w:i/>
          <w:kern w:val="0"/>
          <w:sz w:val="22"/>
          <w:szCs w:val="22"/>
        </w:rPr>
        <w:t>t</w:t>
      </w:r>
      <w:r w:rsidRPr="003E0842">
        <w:rPr>
          <w:i/>
          <w:lang w:eastAsia="ko-KR"/>
        </w:rPr>
        <w:t>he work item aims to specify the enhancements identified for NR NTN (non-terrestr</w:t>
      </w:r>
      <w:r w:rsidRPr="003E0842">
        <w:rPr>
          <w:bCs/>
          <w:i/>
        </w:rPr>
        <w:t>ial networks</w:t>
      </w:r>
      <w:r w:rsidRPr="003E0842">
        <w:rPr>
          <w:i/>
          <w:lang w:eastAsia="ko-KR"/>
        </w:rPr>
        <w:t>) especially LEO and GEO with implicit compatibility to support HAPS (high altitude platform station) and ATG (air to ground) scenarios according to the following principles:</w:t>
      </w:r>
    </w:p>
    <w:p w14:paraId="7E12C930" w14:textId="77777777" w:rsidR="007F6708" w:rsidRPr="00A502FD" w:rsidRDefault="007F6708" w:rsidP="00A502FD">
      <w:pPr>
        <w:widowControl/>
        <w:numPr>
          <w:ilvl w:val="0"/>
          <w:numId w:val="36"/>
        </w:numPr>
        <w:overflowPunct w:val="0"/>
        <w:autoSpaceDE w:val="0"/>
        <w:autoSpaceDN w:val="0"/>
        <w:adjustRightInd w:val="0"/>
        <w:spacing w:before="100" w:beforeAutospacing="1" w:after="100" w:afterAutospacing="1"/>
        <w:jc w:val="left"/>
        <w:textAlignment w:val="baseline"/>
        <w:rPr>
          <w:i/>
        </w:rPr>
      </w:pPr>
      <w:r w:rsidRPr="00A502FD">
        <w:rPr>
          <w:i/>
        </w:rPr>
        <w:t>FDD is assumed for core specification work for NR-NTN.</w:t>
      </w:r>
    </w:p>
    <w:p w14:paraId="31BD28B4" w14:textId="77777777" w:rsidR="007F6708" w:rsidRPr="003E0842" w:rsidRDefault="007F6708" w:rsidP="007F6708">
      <w:pPr>
        <w:widowControl/>
        <w:numPr>
          <w:ilvl w:val="1"/>
          <w:numId w:val="36"/>
        </w:numPr>
        <w:overflowPunct w:val="0"/>
        <w:autoSpaceDE w:val="0"/>
        <w:autoSpaceDN w:val="0"/>
        <w:adjustRightInd w:val="0"/>
        <w:jc w:val="left"/>
        <w:textAlignment w:val="baseline"/>
        <w:rPr>
          <w:rFonts w:eastAsia="PMingLiU"/>
          <w:i/>
          <w:lang w:eastAsia="zh-TW"/>
        </w:rPr>
      </w:pPr>
      <w:r w:rsidRPr="003E0842">
        <w:rPr>
          <w:rFonts w:eastAsia="PMingLiU"/>
          <w:i/>
          <w:lang w:eastAsia="zh-TW"/>
        </w:rPr>
        <w:t>NOTE: This does not imply that TDD cannot be used for relevant scenarios e.g. HAPS, ATG</w:t>
      </w:r>
    </w:p>
    <w:p w14:paraId="40CF5B61" w14:textId="77777777" w:rsidR="007F6708" w:rsidRPr="003E0842" w:rsidRDefault="007F6708" w:rsidP="007F6708">
      <w:pPr>
        <w:widowControl/>
        <w:numPr>
          <w:ilvl w:val="0"/>
          <w:numId w:val="36"/>
        </w:numPr>
        <w:overflowPunct w:val="0"/>
        <w:autoSpaceDE w:val="0"/>
        <w:autoSpaceDN w:val="0"/>
        <w:adjustRightInd w:val="0"/>
        <w:jc w:val="left"/>
        <w:textAlignment w:val="baseline"/>
        <w:rPr>
          <w:rFonts w:eastAsia="PMingLiU"/>
          <w:i/>
          <w:lang w:eastAsia="zh-TW"/>
        </w:rPr>
      </w:pPr>
      <w:r w:rsidRPr="003E0842">
        <w:rPr>
          <w:rFonts w:eastAsia="PMingLiU"/>
          <w:i/>
          <w:lang w:eastAsia="zh-TW"/>
        </w:rPr>
        <w:t>Earth fixed Tracking area is assumed with Earth fixed and moving cells</w:t>
      </w:r>
    </w:p>
    <w:p w14:paraId="6DF177D8" w14:textId="77777777" w:rsidR="007F6708" w:rsidRPr="00A502FD" w:rsidRDefault="007F6708" w:rsidP="00A502FD">
      <w:pPr>
        <w:widowControl/>
        <w:numPr>
          <w:ilvl w:val="0"/>
          <w:numId w:val="36"/>
        </w:numPr>
        <w:overflowPunct w:val="0"/>
        <w:autoSpaceDE w:val="0"/>
        <w:autoSpaceDN w:val="0"/>
        <w:adjustRightInd w:val="0"/>
        <w:spacing w:before="100" w:beforeAutospacing="1" w:after="100" w:afterAutospacing="1"/>
        <w:jc w:val="left"/>
        <w:textAlignment w:val="baseline"/>
        <w:rPr>
          <w:i/>
        </w:rPr>
      </w:pPr>
      <w:r w:rsidRPr="00A502FD">
        <w:rPr>
          <w:i/>
        </w:rPr>
        <w:t>UEs with GNSS capabilities are assumed.</w:t>
      </w:r>
    </w:p>
    <w:p w14:paraId="19CA4AEA" w14:textId="1A7B4520" w:rsidR="009A09EA" w:rsidRPr="008768E5" w:rsidRDefault="009A09EA" w:rsidP="009A09EA">
      <w:pPr>
        <w:rPr>
          <w:sz w:val="22"/>
          <w:szCs w:val="22"/>
        </w:rPr>
      </w:pPr>
      <w:r>
        <w:rPr>
          <w:sz w:val="22"/>
          <w:szCs w:val="22"/>
        </w:rPr>
        <w:t xml:space="preserve">The following aspects are listed as potential solutions in NTN to handle the issues </w:t>
      </w:r>
      <w:r w:rsidR="0043098C">
        <w:rPr>
          <w:rFonts w:hint="eastAsia"/>
          <w:sz w:val="22"/>
          <w:szCs w:val="22"/>
        </w:rPr>
        <w:t>caused</w:t>
      </w:r>
      <w:r w:rsidR="0043098C">
        <w:rPr>
          <w:sz w:val="22"/>
          <w:szCs w:val="22"/>
        </w:rPr>
        <w:t xml:space="preserve"> by</w:t>
      </w:r>
      <w:r>
        <w:rPr>
          <w:sz w:val="22"/>
          <w:szCs w:val="22"/>
        </w:rPr>
        <w:t xml:space="preserve"> </w:t>
      </w:r>
      <w:r w:rsidRPr="00D94B38">
        <w:t>long propagation delays, large Doppler effects, and moving cells</w:t>
      </w:r>
      <w:r w:rsidR="00A502FD">
        <w:t>:</w:t>
      </w:r>
    </w:p>
    <w:p w14:paraId="29F97DE9" w14:textId="77777777" w:rsidR="00E20AE5" w:rsidRPr="00A502FD" w:rsidRDefault="00E20AE5" w:rsidP="00E20AE5">
      <w:pPr>
        <w:widowControl/>
        <w:numPr>
          <w:ilvl w:val="0"/>
          <w:numId w:val="36"/>
        </w:numPr>
        <w:overflowPunct w:val="0"/>
        <w:autoSpaceDE w:val="0"/>
        <w:autoSpaceDN w:val="0"/>
        <w:adjustRightInd w:val="0"/>
        <w:spacing w:before="100" w:beforeAutospacing="1" w:after="100" w:afterAutospacing="1"/>
        <w:jc w:val="left"/>
        <w:textAlignment w:val="baseline"/>
        <w:rPr>
          <w:i/>
        </w:rPr>
      </w:pPr>
      <w:r w:rsidRPr="00A502FD">
        <w:rPr>
          <w:i/>
        </w:rPr>
        <w:t>Timing relationship enhancements[RAN1,RAN2]</w:t>
      </w:r>
    </w:p>
    <w:p w14:paraId="636023AB" w14:textId="77777777" w:rsidR="00E20AE5" w:rsidRPr="00A502FD" w:rsidRDefault="00E20AE5" w:rsidP="00E20AE5">
      <w:pPr>
        <w:widowControl/>
        <w:numPr>
          <w:ilvl w:val="0"/>
          <w:numId w:val="36"/>
        </w:numPr>
        <w:overflowPunct w:val="0"/>
        <w:autoSpaceDE w:val="0"/>
        <w:autoSpaceDN w:val="0"/>
        <w:adjustRightInd w:val="0"/>
        <w:spacing w:before="100" w:beforeAutospacing="1" w:after="100" w:afterAutospacing="1"/>
        <w:jc w:val="left"/>
        <w:textAlignment w:val="baseline"/>
        <w:rPr>
          <w:i/>
        </w:rPr>
      </w:pPr>
      <w:r w:rsidRPr="00A502FD">
        <w:rPr>
          <w:i/>
        </w:rPr>
        <w:t>Enhancements on UL time and frequency synchronization [RAN1,RAN2]</w:t>
      </w:r>
    </w:p>
    <w:p w14:paraId="7A4530A8" w14:textId="77777777" w:rsidR="00E20AE5" w:rsidRPr="00A502FD" w:rsidRDefault="00E20AE5" w:rsidP="00E20AE5">
      <w:pPr>
        <w:widowControl/>
        <w:numPr>
          <w:ilvl w:val="0"/>
          <w:numId w:val="36"/>
        </w:numPr>
        <w:overflowPunct w:val="0"/>
        <w:autoSpaceDE w:val="0"/>
        <w:autoSpaceDN w:val="0"/>
        <w:adjustRightInd w:val="0"/>
        <w:spacing w:before="100" w:beforeAutospacing="1" w:after="100" w:afterAutospacing="1"/>
        <w:jc w:val="left"/>
        <w:textAlignment w:val="baseline"/>
        <w:rPr>
          <w:i/>
        </w:rPr>
      </w:pPr>
      <w:r w:rsidRPr="00A502FD">
        <w:rPr>
          <w:i/>
        </w:rPr>
        <w:t>HARQ</w:t>
      </w:r>
    </w:p>
    <w:p w14:paraId="4B689F8E" w14:textId="77777777" w:rsidR="00E20AE5" w:rsidRPr="00A502FD" w:rsidRDefault="00E20AE5" w:rsidP="00E20AE5">
      <w:pPr>
        <w:widowControl/>
        <w:numPr>
          <w:ilvl w:val="1"/>
          <w:numId w:val="36"/>
        </w:numPr>
        <w:overflowPunct w:val="0"/>
        <w:autoSpaceDE w:val="0"/>
        <w:autoSpaceDN w:val="0"/>
        <w:adjustRightInd w:val="0"/>
        <w:spacing w:before="100" w:beforeAutospacing="1" w:after="100" w:afterAutospacing="1"/>
        <w:jc w:val="left"/>
        <w:textAlignment w:val="baseline"/>
        <w:rPr>
          <w:i/>
        </w:rPr>
      </w:pPr>
      <w:r w:rsidRPr="00A502FD">
        <w:rPr>
          <w:i/>
        </w:rPr>
        <w:t>Number of HARQ process [RAN1]</w:t>
      </w:r>
    </w:p>
    <w:p w14:paraId="07BDF49D" w14:textId="77777777" w:rsidR="00E20AE5" w:rsidRPr="00A502FD" w:rsidRDefault="00E20AE5" w:rsidP="00E20AE5">
      <w:pPr>
        <w:widowControl/>
        <w:numPr>
          <w:ilvl w:val="1"/>
          <w:numId w:val="36"/>
        </w:numPr>
        <w:overflowPunct w:val="0"/>
        <w:autoSpaceDE w:val="0"/>
        <w:autoSpaceDN w:val="0"/>
        <w:adjustRightInd w:val="0"/>
        <w:spacing w:before="100" w:beforeAutospacing="1" w:after="100" w:afterAutospacing="1"/>
        <w:jc w:val="left"/>
        <w:textAlignment w:val="baseline"/>
        <w:rPr>
          <w:i/>
        </w:rPr>
      </w:pPr>
      <w:r w:rsidRPr="00A502FD">
        <w:rPr>
          <w:i/>
        </w:rPr>
        <w:t xml:space="preserve">Enabling / disabling of HARQ feedback as described in the TR 38.821 </w:t>
      </w:r>
      <w:r w:rsidRPr="00A502FD">
        <w:rPr>
          <w:rFonts w:hint="eastAsia"/>
          <w:i/>
        </w:rPr>
        <w:t>[</w:t>
      </w:r>
      <w:r w:rsidRPr="00A502FD">
        <w:rPr>
          <w:i/>
        </w:rPr>
        <w:t>RAN1&amp;2</w:t>
      </w:r>
      <w:r w:rsidRPr="00A502FD">
        <w:rPr>
          <w:rFonts w:hint="eastAsia"/>
          <w:i/>
        </w:rPr>
        <w:t>]</w:t>
      </w:r>
    </w:p>
    <w:p w14:paraId="5FA76072" w14:textId="03E2CF5C" w:rsidR="00BA3091" w:rsidRDefault="00BA3091" w:rsidP="0094741E">
      <w:pPr>
        <w:rPr>
          <w:kern w:val="0"/>
          <w:sz w:val="22"/>
          <w:szCs w:val="22"/>
        </w:rPr>
      </w:pPr>
      <w:r>
        <w:rPr>
          <w:kern w:val="0"/>
          <w:sz w:val="22"/>
          <w:szCs w:val="22"/>
        </w:rPr>
        <w:t>In this contribution, we will discuss</w:t>
      </w:r>
      <w:r w:rsidR="00A502FD">
        <w:rPr>
          <w:kern w:val="0"/>
          <w:sz w:val="22"/>
          <w:szCs w:val="22"/>
        </w:rPr>
        <w:t xml:space="preserve"> possible </w:t>
      </w:r>
      <w:r w:rsidR="00A502FD" w:rsidRPr="00A502FD">
        <w:rPr>
          <w:kern w:val="0"/>
          <w:sz w:val="22"/>
          <w:szCs w:val="22"/>
        </w:rPr>
        <w:t xml:space="preserve">enhancements </w:t>
      </w:r>
      <w:r w:rsidR="008256D0">
        <w:rPr>
          <w:kern w:val="0"/>
          <w:sz w:val="22"/>
          <w:szCs w:val="22"/>
        </w:rPr>
        <w:t>on HARQ</w:t>
      </w:r>
      <w:r w:rsidR="00BA5BD1">
        <w:t xml:space="preserve"> </w:t>
      </w:r>
      <w:r w:rsidR="00BA5BD1" w:rsidRPr="00BA4263">
        <w:rPr>
          <w:kern w:val="0"/>
          <w:sz w:val="22"/>
          <w:szCs w:val="22"/>
        </w:rPr>
        <w:t>in NTN</w:t>
      </w:r>
      <w:r w:rsidR="00BA5BD1">
        <w:rPr>
          <w:kern w:val="0"/>
          <w:sz w:val="22"/>
          <w:szCs w:val="22"/>
        </w:rPr>
        <w:t>.</w:t>
      </w:r>
    </w:p>
    <w:p w14:paraId="10CEEB55" w14:textId="3276657C" w:rsidR="00063125" w:rsidRDefault="004E4A0F" w:rsidP="00BA4263">
      <w:pPr>
        <w:pStyle w:val="1"/>
        <w:rPr>
          <w:b/>
          <w:sz w:val="30"/>
          <w:szCs w:val="30"/>
        </w:rPr>
      </w:pPr>
      <w:r>
        <w:rPr>
          <w:b/>
          <w:sz w:val="30"/>
          <w:szCs w:val="30"/>
        </w:rPr>
        <w:t>Discussion</w:t>
      </w:r>
    </w:p>
    <w:p w14:paraId="0FBE5C6B" w14:textId="561DD11A" w:rsidR="00A94785" w:rsidRDefault="00A94785" w:rsidP="007122C4">
      <w:pPr>
        <w:spacing w:beforeLines="50" w:before="156" w:afterLines="50" w:after="156"/>
      </w:pPr>
      <w:r>
        <w:t xml:space="preserve">If the number of HARQ process ID is kept 16, there would be </w:t>
      </w:r>
      <w:r w:rsidR="00387E61">
        <w:t>much inevitable blank transmission time</w:t>
      </w:r>
      <w:r w:rsidR="00F35A26">
        <w:t xml:space="preserve"> caused by long propagation delays show</w:t>
      </w:r>
      <w:r>
        <w:t>n</w:t>
      </w:r>
      <w:r w:rsidR="00F35A26">
        <w:t xml:space="preserve"> in the Fig. </w:t>
      </w:r>
      <w:fldSimple w:instr=" SEQ Fig. \* ARABIC ">
        <w:r w:rsidR="00F35A26">
          <w:rPr>
            <w:noProof/>
          </w:rPr>
          <w:t>1</w:t>
        </w:r>
      </w:fldSimple>
      <w:r>
        <w:t>. The peak data rates would obviously be much impacted. Also the system efficiency would be reduced much.</w:t>
      </w:r>
      <w:r w:rsidR="00E352B6" w:rsidRPr="00E352B6">
        <w:t xml:space="preserve"> </w:t>
      </w:r>
      <w:r w:rsidR="00E352B6" w:rsidRPr="009D591D">
        <w:t>Two options were considered</w:t>
      </w:r>
      <w:r w:rsidR="00E352B6">
        <w:t xml:space="preserve"> in the SI timeline:</w:t>
      </w:r>
    </w:p>
    <w:p w14:paraId="7A2FE4C3" w14:textId="63F44221" w:rsidR="00500C5A" w:rsidRPr="008D58FA" w:rsidRDefault="00500C5A" w:rsidP="00500C5A">
      <w:pPr>
        <w:pStyle w:val="a8"/>
        <w:numPr>
          <w:ilvl w:val="0"/>
          <w:numId w:val="41"/>
        </w:numPr>
        <w:spacing w:beforeLines="50" w:before="156" w:afterLines="50" w:after="156"/>
        <w:ind w:firstLineChars="0"/>
        <w:rPr>
          <w:i/>
        </w:rPr>
      </w:pPr>
      <w:r w:rsidRPr="008D58FA">
        <w:rPr>
          <w:rFonts w:eastAsia="Calibri"/>
          <w:i/>
        </w:rPr>
        <w:t>Option 1: Greater than 16 HARQ process IDs with UL HARQ feedback enabled</w:t>
      </w:r>
    </w:p>
    <w:p w14:paraId="2E96B399" w14:textId="2432B193" w:rsidR="00500C5A" w:rsidRPr="008D58FA" w:rsidRDefault="00500C5A" w:rsidP="00500C5A">
      <w:pPr>
        <w:pStyle w:val="a8"/>
        <w:numPr>
          <w:ilvl w:val="0"/>
          <w:numId w:val="41"/>
        </w:numPr>
        <w:spacing w:beforeLines="50" w:before="156" w:afterLines="50" w:after="156"/>
        <w:ind w:firstLineChars="0"/>
        <w:rPr>
          <w:i/>
        </w:rPr>
      </w:pPr>
      <w:r w:rsidRPr="008D58FA">
        <w:rPr>
          <w:i/>
        </w:rPr>
        <w:t>Option 2: Keep 16 HARQ process IDs and rely on RLC ARQ for HARQ processes with UL HARQ feedback disabled via RRC.</w:t>
      </w:r>
    </w:p>
    <w:p w14:paraId="6ED4BFCA" w14:textId="71039018" w:rsidR="00632EF0" w:rsidRPr="00632EF0" w:rsidRDefault="00E352B6" w:rsidP="007122C4">
      <w:pPr>
        <w:spacing w:beforeLines="50" w:before="156" w:afterLines="50" w:after="156"/>
        <w:rPr>
          <w:b/>
          <w:i/>
          <w:u w:val="single"/>
        </w:rPr>
      </w:pPr>
      <w:r w:rsidRPr="00E352B6">
        <w:rPr>
          <w:b/>
          <w:i/>
          <w:u w:val="single"/>
        </w:rPr>
        <w:lastRenderedPageBreak/>
        <w:t>Greater than 16 HARQ process IDs with UL HARQ feedback enabled</w:t>
      </w:r>
    </w:p>
    <w:p w14:paraId="6D607D09" w14:textId="11E3980E" w:rsidR="00E1703D" w:rsidRPr="00E1703D" w:rsidRDefault="00E352B6" w:rsidP="007122C4">
      <w:pPr>
        <w:spacing w:beforeLines="50" w:before="156" w:afterLines="50" w:after="156"/>
        <w:rPr>
          <w:rFonts w:eastAsiaTheme="minorEastAsia"/>
        </w:rPr>
      </w:pPr>
      <w:r>
        <w:t>If g</w:t>
      </w:r>
      <w:r w:rsidRPr="00E352B6">
        <w:t xml:space="preserve">reater than 16 HARQ process IDs </w:t>
      </w:r>
      <w:r>
        <w:t xml:space="preserve">are supported and </w:t>
      </w:r>
      <w:r w:rsidRPr="00E352B6">
        <w:t>UL HARQ feedback enabled</w:t>
      </w:r>
      <w:r>
        <w:t>, the blank transmission could be filled</w:t>
      </w:r>
      <w:r w:rsidR="00D46013">
        <w:t xml:space="preserve"> and corresponding improve the peak data rates and system efficiency. </w:t>
      </w:r>
      <w:r w:rsidR="00632EF0" w:rsidRPr="00E1703D">
        <w:t xml:space="preserve">To our </w:t>
      </w:r>
      <w:r w:rsidR="00D46013">
        <w:t>opinion</w:t>
      </w:r>
      <w:r w:rsidR="00632EF0" w:rsidRPr="00E1703D">
        <w:t>,</w:t>
      </w:r>
      <w:r w:rsidR="00D46013">
        <w:t xml:space="preserve"> i</w:t>
      </w:r>
      <w:r w:rsidR="00D46013" w:rsidRPr="00E1703D">
        <w:t>t is unnecessary to fill all of the blank transmission</w:t>
      </w:r>
      <w:r w:rsidR="00D46013">
        <w:t xml:space="preserve"> with additional HARQ process ID. Since too many supported HARQ process ID may cause hard indication,</w:t>
      </w:r>
      <w:r w:rsidR="002D02F6">
        <w:t xml:space="preserve"> larger </w:t>
      </w:r>
      <w:r w:rsidR="002D02F6" w:rsidRPr="00B923D6">
        <w:rPr>
          <w:rFonts w:eastAsia="Calibri"/>
        </w:rPr>
        <w:t>HARQ buffer size,</w:t>
      </w:r>
      <w:r w:rsidR="002D02F6">
        <w:t xml:space="preserve"> and etc, </w:t>
      </w:r>
      <w:r w:rsidR="00D46013">
        <w:t xml:space="preserve">it is enough that </w:t>
      </w:r>
      <w:r w:rsidR="00632EF0" w:rsidRPr="00E1703D">
        <w:t xml:space="preserve">the supported number of HARQ process </w:t>
      </w:r>
      <w:r w:rsidR="00D46013">
        <w:t>is</w:t>
      </w:r>
      <w:r w:rsidR="00632EF0" w:rsidRPr="00E1703D">
        <w:t xml:space="preserve"> decided by the requirement of peak data rates in NTN. </w:t>
      </w:r>
    </w:p>
    <w:p w14:paraId="6FAE6D8F" w14:textId="012DF7C6" w:rsidR="00632EF0" w:rsidRDefault="00CE652F" w:rsidP="00B0174E">
      <w:pPr>
        <w:spacing w:beforeLines="50" w:before="156" w:afterLines="50" w:after="156"/>
        <w:jc w:val="center"/>
        <w:rPr>
          <w:rFonts w:eastAsia="Calibri"/>
        </w:rPr>
      </w:pPr>
      <w:r>
        <w:object w:dxaOrig="6165" w:dyaOrig="2574" w14:anchorId="70E5F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91.5pt" o:ole="">
            <v:imagedata r:id="rId8" o:title=""/>
          </v:shape>
          <o:OLEObject Type="Embed" ProgID="Visio.Drawing.11" ShapeID="_x0000_i1025" DrawAspect="Content" ObjectID="_1658324238" r:id="rId9"/>
        </w:object>
      </w:r>
    </w:p>
    <w:p w14:paraId="52F2FEF9" w14:textId="14ED4A5C" w:rsidR="00B0174E" w:rsidRPr="00B0174E" w:rsidRDefault="00E1703D" w:rsidP="00B0174E">
      <w:pPr>
        <w:pStyle w:val="aa"/>
        <w:jc w:val="center"/>
        <w:rPr>
          <w:rFonts w:ascii="Times New Roman" w:eastAsia="Calibri" w:hAnsi="Times New Roman" w:cs="Times New Roman"/>
          <w:sz w:val="21"/>
        </w:rPr>
      </w:pPr>
      <w:r w:rsidRPr="00E1703D">
        <w:rPr>
          <w:rFonts w:ascii="Times New Roman" w:eastAsia="Calibri" w:hAnsi="Times New Roman" w:cs="Times New Roman"/>
          <w:sz w:val="21"/>
        </w:rPr>
        <w:t xml:space="preserve">Fig. </w:t>
      </w:r>
      <w:r w:rsidRPr="00E1703D">
        <w:rPr>
          <w:rFonts w:ascii="Times New Roman" w:eastAsia="Calibri" w:hAnsi="Times New Roman" w:cs="Times New Roman"/>
          <w:sz w:val="21"/>
        </w:rPr>
        <w:fldChar w:fldCharType="begin"/>
      </w:r>
      <w:r w:rsidRPr="00E1703D">
        <w:rPr>
          <w:rFonts w:ascii="Times New Roman" w:eastAsia="Calibri" w:hAnsi="Times New Roman" w:cs="Times New Roman"/>
          <w:sz w:val="21"/>
        </w:rPr>
        <w:instrText xml:space="preserve"> SEQ Fig. \* ARABIC </w:instrText>
      </w:r>
      <w:r w:rsidRPr="00E1703D">
        <w:rPr>
          <w:rFonts w:ascii="Times New Roman" w:eastAsia="Calibri" w:hAnsi="Times New Roman" w:cs="Times New Roman"/>
          <w:sz w:val="21"/>
        </w:rPr>
        <w:fldChar w:fldCharType="separate"/>
      </w:r>
      <w:r w:rsidRPr="00E1703D">
        <w:rPr>
          <w:rFonts w:ascii="Times New Roman" w:eastAsia="Calibri" w:hAnsi="Times New Roman" w:cs="Times New Roman"/>
          <w:sz w:val="21"/>
        </w:rPr>
        <w:t>1</w:t>
      </w:r>
      <w:r w:rsidRPr="00E1703D">
        <w:rPr>
          <w:rFonts w:ascii="Times New Roman" w:eastAsia="Calibri" w:hAnsi="Times New Roman" w:cs="Times New Roman"/>
          <w:sz w:val="21"/>
        </w:rPr>
        <w:fldChar w:fldCharType="end"/>
      </w:r>
      <w:r w:rsidR="00B0174E" w:rsidRPr="00B0174E">
        <w:rPr>
          <w:rFonts w:ascii="Times New Roman" w:eastAsia="Calibri" w:hAnsi="Times New Roman" w:cs="Times New Roman"/>
          <w:sz w:val="21"/>
        </w:rPr>
        <w:t xml:space="preserve">  </w:t>
      </w:r>
      <w:r w:rsidR="00B0174E">
        <w:rPr>
          <w:rFonts w:ascii="Times New Roman" w:eastAsia="Calibri" w:hAnsi="Times New Roman" w:cs="Times New Roman"/>
          <w:sz w:val="21"/>
        </w:rPr>
        <w:t>P</w:t>
      </w:r>
      <w:r w:rsidR="00B0174E" w:rsidRPr="00B0174E">
        <w:rPr>
          <w:rFonts w:ascii="Times New Roman" w:eastAsia="Calibri" w:hAnsi="Times New Roman" w:cs="Times New Roman"/>
          <w:sz w:val="21"/>
        </w:rPr>
        <w:t>eak data rate</w:t>
      </w:r>
      <w:r w:rsidR="00B0174E">
        <w:rPr>
          <w:rFonts w:ascii="Times New Roman" w:eastAsia="Calibri" w:hAnsi="Times New Roman" w:cs="Times New Roman"/>
          <w:sz w:val="21"/>
        </w:rPr>
        <w:t xml:space="preserve"> impact caused by </w:t>
      </w:r>
      <w:r w:rsidR="00B0174E" w:rsidRPr="00B0174E">
        <w:rPr>
          <w:rFonts w:ascii="Times New Roman" w:eastAsia="Calibri" w:hAnsi="Times New Roman" w:cs="Times New Roman"/>
          <w:sz w:val="21"/>
        </w:rPr>
        <w:t>blank transmission</w:t>
      </w:r>
      <w:r w:rsidR="00B0174E">
        <w:rPr>
          <w:rFonts w:ascii="Times New Roman" w:eastAsia="Calibri" w:hAnsi="Times New Roman" w:cs="Times New Roman"/>
          <w:sz w:val="21"/>
        </w:rPr>
        <w:t xml:space="preserve"> due to HARQ process number limitation</w:t>
      </w:r>
    </w:p>
    <w:p w14:paraId="2E69347C" w14:textId="77777777" w:rsidR="000A2CD0" w:rsidRDefault="000A2CD0" w:rsidP="007122C4">
      <w:pPr>
        <w:spacing w:beforeLines="50" w:before="156" w:afterLines="50" w:after="156"/>
      </w:pPr>
      <w:r>
        <w:t>As for how to support the indication of more than 16 HARQ process, there are two alternatives.</w:t>
      </w:r>
    </w:p>
    <w:p w14:paraId="44F94BBD" w14:textId="5E816CB8" w:rsidR="000A2CD0" w:rsidRPr="000A2CD0" w:rsidRDefault="000A2CD0" w:rsidP="000A2CD0">
      <w:pPr>
        <w:pStyle w:val="a8"/>
        <w:numPr>
          <w:ilvl w:val="0"/>
          <w:numId w:val="42"/>
        </w:numPr>
        <w:spacing w:beforeLines="50" w:before="156" w:afterLines="50" w:after="156"/>
        <w:ind w:firstLineChars="0"/>
        <w:rPr>
          <w:rFonts w:eastAsia="Calibri"/>
        </w:rPr>
      </w:pPr>
      <w:r>
        <w:t>Alt 1: K</w:t>
      </w:r>
      <w:r w:rsidRPr="000A2CD0">
        <w:rPr>
          <w:rFonts w:eastAsia="Calibri"/>
        </w:rPr>
        <w:t>eep 4-bit HARQ process ID field in DCI and use other predefined implicit indication.</w:t>
      </w:r>
    </w:p>
    <w:p w14:paraId="580B2651" w14:textId="120661BB" w:rsidR="00632EF0" w:rsidRPr="00B0174E" w:rsidRDefault="000A2CD0" w:rsidP="000A2CD0">
      <w:pPr>
        <w:pStyle w:val="a8"/>
        <w:numPr>
          <w:ilvl w:val="0"/>
          <w:numId w:val="42"/>
        </w:numPr>
        <w:spacing w:beforeLines="50" w:before="156" w:afterLines="50" w:after="156"/>
        <w:ind w:firstLineChars="0"/>
      </w:pPr>
      <w:r>
        <w:t>Alt 2: I</w:t>
      </w:r>
      <w:r w:rsidRPr="000A2CD0">
        <w:rPr>
          <w:rFonts w:eastAsia="Calibri"/>
        </w:rPr>
        <w:t>ntroduce additional bit field in the DCI.</w:t>
      </w:r>
    </w:p>
    <w:p w14:paraId="36A9001A" w14:textId="6902C62E" w:rsidR="00632EF0" w:rsidRDefault="008D58FA" w:rsidP="007122C4">
      <w:pPr>
        <w:spacing w:beforeLines="50" w:before="156" w:afterLines="50" w:after="156"/>
      </w:pPr>
      <w:r>
        <w:rPr>
          <w:rFonts w:hint="eastAsia"/>
        </w:rPr>
        <w:t>F</w:t>
      </w:r>
      <w:r>
        <w:t xml:space="preserve">or Alt 1, the scheduling flexibility </w:t>
      </w:r>
      <w:r w:rsidR="001C4C8C">
        <w:t>would</w:t>
      </w:r>
      <w:r w:rsidR="006F3900">
        <w:t xml:space="preserve"> somehow</w:t>
      </w:r>
      <w:r w:rsidR="001C4C8C">
        <w:t xml:space="preserve"> be impacted while the DL coverage may be impacted with Alt</w:t>
      </w:r>
      <w:r w:rsidR="00263BB9">
        <w:t xml:space="preserve"> </w:t>
      </w:r>
      <w:r w:rsidR="001C4C8C">
        <w:t xml:space="preserve">2. </w:t>
      </w:r>
      <w:r w:rsidR="00F23FF4">
        <w:t xml:space="preserve">To our opinion, we should decide the maximum </w:t>
      </w:r>
      <w:r w:rsidR="00F23FF4" w:rsidRPr="00E1703D">
        <w:t xml:space="preserve">supported number of HARQ process </w:t>
      </w:r>
      <w:r w:rsidR="00F23FF4">
        <w:t>firstly. And then consider whether Alt 1, Alt2, or combination of them should be used.</w:t>
      </w:r>
    </w:p>
    <w:p w14:paraId="183FAB81" w14:textId="162B4B54" w:rsidR="00A22E63" w:rsidRPr="00472859" w:rsidRDefault="00A22E63" w:rsidP="00A22E63">
      <w:pPr>
        <w:spacing w:beforeLines="50" w:before="156" w:afterLines="50" w:after="156"/>
        <w:rPr>
          <w:b/>
          <w:i/>
        </w:rPr>
      </w:pPr>
      <w:r w:rsidRPr="00172C7E">
        <w:rPr>
          <w:b/>
          <w:i/>
        </w:rPr>
        <w:t xml:space="preserve">Proposal </w:t>
      </w:r>
      <w:r>
        <w:rPr>
          <w:b/>
          <w:i/>
        </w:rPr>
        <w:t>1</w:t>
      </w:r>
      <w:r w:rsidRPr="00172C7E">
        <w:rPr>
          <w:b/>
          <w:i/>
        </w:rPr>
        <w:t xml:space="preserve">: </w:t>
      </w:r>
      <w:r w:rsidRPr="00A22E63">
        <w:rPr>
          <w:b/>
          <w:i/>
        </w:rPr>
        <w:t xml:space="preserve">Decide the maximum supported number of HARQ process number </w:t>
      </w:r>
      <w:r w:rsidR="00AE20DA">
        <w:rPr>
          <w:b/>
          <w:i/>
        </w:rPr>
        <w:t>before discuss</w:t>
      </w:r>
      <w:r w:rsidR="00385304">
        <w:rPr>
          <w:b/>
          <w:i/>
        </w:rPr>
        <w:t>ing</w:t>
      </w:r>
      <w:r w:rsidR="00AE20DA">
        <w:rPr>
          <w:b/>
          <w:i/>
        </w:rPr>
        <w:t xml:space="preserve"> the indication method</w:t>
      </w:r>
      <w:r w:rsidRPr="00205363">
        <w:rPr>
          <w:b/>
          <w:i/>
        </w:rPr>
        <w:t>.</w:t>
      </w:r>
      <w:r w:rsidR="008806BD">
        <w:rPr>
          <w:b/>
          <w:i/>
        </w:rPr>
        <w:t xml:space="preserve"> </w:t>
      </w:r>
      <w:r w:rsidR="008806BD" w:rsidRPr="008806BD">
        <w:rPr>
          <w:b/>
          <w:i/>
        </w:rPr>
        <w:t>The supported number of HARQ process number</w:t>
      </w:r>
      <w:r w:rsidR="007921BD">
        <w:rPr>
          <w:b/>
          <w:i/>
        </w:rPr>
        <w:t xml:space="preserve"> is determined </w:t>
      </w:r>
      <w:r w:rsidR="008806BD" w:rsidRPr="008806BD">
        <w:rPr>
          <w:b/>
          <w:i/>
        </w:rPr>
        <w:t>by the requirement of peak data rates in NTN.</w:t>
      </w:r>
    </w:p>
    <w:p w14:paraId="415CBF04" w14:textId="1B4EA157" w:rsidR="00632EF0" w:rsidRPr="00632EF0" w:rsidRDefault="00632EF0" w:rsidP="00632EF0">
      <w:pPr>
        <w:spacing w:beforeLines="50" w:before="156" w:afterLines="50" w:after="156"/>
        <w:rPr>
          <w:b/>
          <w:i/>
          <w:u w:val="single"/>
        </w:rPr>
      </w:pPr>
      <w:r w:rsidRPr="00632EF0">
        <w:rPr>
          <w:b/>
          <w:i/>
          <w:u w:val="single"/>
        </w:rPr>
        <w:t>HARQ</w:t>
      </w:r>
      <w:r>
        <w:rPr>
          <w:b/>
          <w:i/>
          <w:u w:val="single"/>
        </w:rPr>
        <w:t>-ACK disable/enable</w:t>
      </w:r>
    </w:p>
    <w:p w14:paraId="7BC11676" w14:textId="77777777" w:rsidR="00C20930" w:rsidRDefault="007921BD" w:rsidP="007122C4">
      <w:pPr>
        <w:spacing w:beforeLines="50" w:before="156" w:afterLines="50" w:after="156"/>
        <w:rPr>
          <w:kern w:val="0"/>
          <w:sz w:val="22"/>
        </w:rPr>
      </w:pPr>
      <w:r w:rsidRPr="00C20930">
        <w:rPr>
          <w:rFonts w:hint="eastAsia"/>
          <w:kern w:val="0"/>
          <w:sz w:val="22"/>
        </w:rPr>
        <w:t>H</w:t>
      </w:r>
      <w:r w:rsidRPr="00C20930">
        <w:rPr>
          <w:kern w:val="0"/>
          <w:sz w:val="22"/>
        </w:rPr>
        <w:t xml:space="preserve">ARQ-ACK disable was discussed in RAN1 and RAN2 in the SI timeline. </w:t>
      </w:r>
      <w:r w:rsidR="00C20930">
        <w:rPr>
          <w:kern w:val="0"/>
          <w:sz w:val="22"/>
        </w:rPr>
        <w:t>In RAN2, i</w:t>
      </w:r>
      <w:r w:rsidR="00552405" w:rsidRPr="0031591B">
        <w:rPr>
          <w:kern w:val="0"/>
          <w:sz w:val="22"/>
        </w:rPr>
        <w:t>t was agreed that</w:t>
      </w:r>
      <w:r w:rsidR="00552405">
        <w:rPr>
          <w:kern w:val="0"/>
          <w:sz w:val="22"/>
        </w:rPr>
        <w:t xml:space="preserve"> </w:t>
      </w:r>
      <w:r w:rsidR="00552405" w:rsidRPr="0031591B">
        <w:rPr>
          <w:kern w:val="0"/>
          <w:sz w:val="22"/>
        </w:rPr>
        <w:t>enabling/disabling of HARQ feedback should be configurable on per UE and per HARQ process basis</w:t>
      </w:r>
      <w:r w:rsidR="00FD472B">
        <w:rPr>
          <w:kern w:val="0"/>
          <w:sz w:val="22"/>
        </w:rPr>
        <w:t xml:space="preserve"> </w:t>
      </w:r>
      <w:r w:rsidR="00FD472B" w:rsidRPr="00C20930">
        <w:rPr>
          <w:kern w:val="0"/>
          <w:sz w:val="22"/>
        </w:rPr>
        <w:t xml:space="preserve">via RRC </w:t>
      </w:r>
      <w:r w:rsidR="00C20930" w:rsidRPr="00C20930">
        <w:rPr>
          <w:kern w:val="0"/>
          <w:sz w:val="22"/>
        </w:rPr>
        <w:t>signaling</w:t>
      </w:r>
      <w:r w:rsidR="00552405" w:rsidRPr="0031591B">
        <w:rPr>
          <w:kern w:val="0"/>
          <w:sz w:val="22"/>
        </w:rPr>
        <w:t>.</w:t>
      </w:r>
      <w:r w:rsidR="001F671D">
        <w:rPr>
          <w:kern w:val="0"/>
          <w:sz w:val="22"/>
        </w:rPr>
        <w:t xml:space="preserve"> In RAN1, there was no </w:t>
      </w:r>
      <w:r w:rsidR="001F671D" w:rsidRPr="00C20930">
        <w:rPr>
          <w:kern w:val="0"/>
          <w:sz w:val="22"/>
        </w:rPr>
        <w:t>convergence on the necessity of supporting HARQ-ACK feedback disable/enable dynamically</w:t>
      </w:r>
      <w:r w:rsidR="00FD472B" w:rsidRPr="00C20930">
        <w:rPr>
          <w:kern w:val="0"/>
          <w:sz w:val="22"/>
        </w:rPr>
        <w:t xml:space="preserve"> via DCI in new/re-interpreted field</w:t>
      </w:r>
      <w:r w:rsidR="001F671D" w:rsidRPr="00C20930">
        <w:rPr>
          <w:kern w:val="0"/>
          <w:sz w:val="22"/>
        </w:rPr>
        <w:t xml:space="preserve">. </w:t>
      </w:r>
    </w:p>
    <w:p w14:paraId="19BCE1C6" w14:textId="57DCE5D1" w:rsidR="00632EF0" w:rsidRPr="00C20930" w:rsidRDefault="003E293C" w:rsidP="007122C4">
      <w:pPr>
        <w:spacing w:beforeLines="50" w:before="156" w:afterLines="50" w:after="156"/>
        <w:rPr>
          <w:kern w:val="0"/>
          <w:sz w:val="22"/>
        </w:rPr>
      </w:pPr>
      <w:r>
        <w:rPr>
          <w:kern w:val="0"/>
          <w:sz w:val="22"/>
        </w:rPr>
        <w:t>Su</w:t>
      </w:r>
      <w:r w:rsidR="00FD472B" w:rsidRPr="00C20930">
        <w:rPr>
          <w:kern w:val="0"/>
          <w:sz w:val="22"/>
        </w:rPr>
        <w:t>ppose</w:t>
      </w:r>
      <w:r w:rsidR="001F671D" w:rsidRPr="00C20930">
        <w:rPr>
          <w:kern w:val="0"/>
          <w:sz w:val="22"/>
        </w:rPr>
        <w:t xml:space="preserve"> two subset of HARQ process ID configured through RRC signal, one </w:t>
      </w:r>
      <w:r w:rsidR="00FD472B" w:rsidRPr="00C20930">
        <w:rPr>
          <w:kern w:val="0"/>
          <w:sz w:val="22"/>
        </w:rPr>
        <w:t xml:space="preserve">for disabled HARQ processes </w:t>
      </w:r>
      <w:r w:rsidR="00C20930">
        <w:rPr>
          <w:kern w:val="0"/>
          <w:sz w:val="22"/>
        </w:rPr>
        <w:t xml:space="preserve">and </w:t>
      </w:r>
      <w:r w:rsidR="00FD472B" w:rsidRPr="00C20930">
        <w:rPr>
          <w:kern w:val="0"/>
          <w:sz w:val="22"/>
        </w:rPr>
        <w:t>the other</w:t>
      </w:r>
      <w:r w:rsidR="001F671D" w:rsidRPr="00C20930">
        <w:rPr>
          <w:kern w:val="0"/>
          <w:sz w:val="22"/>
        </w:rPr>
        <w:t xml:space="preserve"> for enabled HARQ processes</w:t>
      </w:r>
      <w:r w:rsidR="00FD472B" w:rsidRPr="00C20930">
        <w:rPr>
          <w:kern w:val="0"/>
          <w:sz w:val="22"/>
        </w:rPr>
        <w:t>, dynamic HARQ-ACK feedback disable/enable has be realized to some extent with dynamic indication of used HARQ process ID in the DCI.</w:t>
      </w:r>
      <w:r w:rsidR="00443611" w:rsidRPr="00C20930">
        <w:rPr>
          <w:kern w:val="0"/>
          <w:sz w:val="22"/>
        </w:rPr>
        <w:t xml:space="preserve"> Therefore,</w:t>
      </w:r>
      <w:r w:rsidR="0003733B">
        <w:rPr>
          <w:kern w:val="0"/>
          <w:sz w:val="22"/>
        </w:rPr>
        <w:t xml:space="preserve"> t</w:t>
      </w:r>
      <w:r w:rsidR="0003733B" w:rsidRPr="00C20930">
        <w:rPr>
          <w:kern w:val="0"/>
          <w:sz w:val="22"/>
        </w:rPr>
        <w:t>o our opinion,</w:t>
      </w:r>
      <w:r w:rsidR="0003733B">
        <w:rPr>
          <w:kern w:val="0"/>
          <w:sz w:val="22"/>
        </w:rPr>
        <w:t xml:space="preserve"> </w:t>
      </w:r>
      <w:r w:rsidR="00443611" w:rsidRPr="00C20930">
        <w:rPr>
          <w:kern w:val="0"/>
          <w:sz w:val="22"/>
        </w:rPr>
        <w:t>i</w:t>
      </w:r>
      <w:r w:rsidR="00F4166A" w:rsidRPr="00C20930">
        <w:rPr>
          <w:kern w:val="0"/>
          <w:sz w:val="22"/>
        </w:rPr>
        <w:t>t is proposed to</w:t>
      </w:r>
      <w:r w:rsidR="001F671D" w:rsidRPr="00C20930">
        <w:rPr>
          <w:kern w:val="0"/>
          <w:sz w:val="22"/>
        </w:rPr>
        <w:t xml:space="preserve"> have the RAN 2 agreements as </w:t>
      </w:r>
      <w:r w:rsidR="00F4166A" w:rsidRPr="00C20930">
        <w:rPr>
          <w:kern w:val="0"/>
          <w:sz w:val="22"/>
        </w:rPr>
        <w:t xml:space="preserve">basic assumption </w:t>
      </w:r>
      <w:r w:rsidR="00246C97" w:rsidRPr="00C20930">
        <w:rPr>
          <w:kern w:val="0"/>
          <w:sz w:val="22"/>
        </w:rPr>
        <w:t>to support</w:t>
      </w:r>
      <w:r w:rsidR="00F4166A" w:rsidRPr="00C20930">
        <w:rPr>
          <w:kern w:val="0"/>
          <w:sz w:val="22"/>
        </w:rPr>
        <w:t xml:space="preserve"> HARQ-ACK disable/enable.</w:t>
      </w:r>
    </w:p>
    <w:p w14:paraId="5CBE9CC5" w14:textId="5DE326CA" w:rsidR="00F4166A" w:rsidRPr="00472859" w:rsidRDefault="00F4166A" w:rsidP="00F4166A">
      <w:pPr>
        <w:spacing w:beforeLines="50" w:before="156" w:afterLines="50" w:after="156"/>
        <w:rPr>
          <w:b/>
          <w:i/>
        </w:rPr>
      </w:pPr>
      <w:r w:rsidRPr="00172C7E">
        <w:rPr>
          <w:b/>
          <w:i/>
        </w:rPr>
        <w:t xml:space="preserve">Proposal </w:t>
      </w:r>
      <w:r>
        <w:rPr>
          <w:b/>
          <w:i/>
        </w:rPr>
        <w:t>2</w:t>
      </w:r>
      <w:r w:rsidRPr="00172C7E">
        <w:rPr>
          <w:b/>
          <w:i/>
        </w:rPr>
        <w:t>:</w:t>
      </w:r>
      <w:r w:rsidR="00426887" w:rsidRPr="00426887">
        <w:rPr>
          <w:b/>
          <w:i/>
        </w:rPr>
        <w:t xml:space="preserve"> </w:t>
      </w:r>
      <w:r w:rsidRPr="00F4166A">
        <w:rPr>
          <w:b/>
          <w:i/>
        </w:rPr>
        <w:t xml:space="preserve">Basic assumption for </w:t>
      </w:r>
      <w:r w:rsidR="00426887">
        <w:rPr>
          <w:b/>
          <w:i/>
        </w:rPr>
        <w:t xml:space="preserve">supporting </w:t>
      </w:r>
      <w:r w:rsidRPr="00F4166A">
        <w:rPr>
          <w:b/>
          <w:i/>
        </w:rPr>
        <w:t>HARQ-ACK disable/enable is to configure two subsets of HARQ processes for enabled HARQ processes</w:t>
      </w:r>
      <w:r>
        <w:rPr>
          <w:b/>
          <w:i/>
        </w:rPr>
        <w:t xml:space="preserve"> </w:t>
      </w:r>
      <w:r w:rsidRPr="00F4166A">
        <w:rPr>
          <w:b/>
          <w:i/>
        </w:rPr>
        <w:t>and disabled HARQ processes respectively</w:t>
      </w:r>
      <w:r w:rsidR="00635273">
        <w:rPr>
          <w:b/>
          <w:i/>
        </w:rPr>
        <w:t xml:space="preserve"> via RRC signaling</w:t>
      </w:r>
      <w:r>
        <w:rPr>
          <w:b/>
          <w:i/>
        </w:rPr>
        <w:t xml:space="preserve">. </w:t>
      </w:r>
      <w:r w:rsidR="00426887">
        <w:rPr>
          <w:b/>
          <w:i/>
        </w:rPr>
        <w:t>To d</w:t>
      </w:r>
      <w:r w:rsidRPr="00F4166A">
        <w:rPr>
          <w:b/>
          <w:i/>
        </w:rPr>
        <w:t>ecide the HARQ-ACK disable/enable</w:t>
      </w:r>
      <w:r>
        <w:rPr>
          <w:b/>
          <w:i/>
        </w:rPr>
        <w:t xml:space="preserve"> state with </w:t>
      </w:r>
      <w:r w:rsidRPr="00F4166A">
        <w:rPr>
          <w:b/>
          <w:i/>
        </w:rPr>
        <w:t>HARQ process ID indication in the scheduling DCI.</w:t>
      </w:r>
    </w:p>
    <w:p w14:paraId="33E25E29" w14:textId="557EDF41" w:rsidR="00F4166A" w:rsidRPr="00F4166A" w:rsidRDefault="001D439F" w:rsidP="007122C4">
      <w:pPr>
        <w:spacing w:beforeLines="50" w:before="156" w:afterLines="50" w:after="156"/>
      </w:pPr>
      <w:r>
        <w:t>F</w:t>
      </w:r>
      <w:r w:rsidR="00426887">
        <w:t xml:space="preserve">or DL SPS or UL configured grant, </w:t>
      </w:r>
      <w:r w:rsidR="00761032">
        <w:t xml:space="preserve">there is no bit field for HARQ process ID indication in DCI and the HARQ process ID is calculated </w:t>
      </w:r>
      <w:r w:rsidR="00467B9A">
        <w:t>by</w:t>
      </w:r>
      <w:r w:rsidR="00761032">
        <w:t xml:space="preserve"> the</w:t>
      </w:r>
      <w:r w:rsidR="00BC7B16">
        <w:t xml:space="preserve"> location of </w:t>
      </w:r>
      <w:r w:rsidR="004C2B76">
        <w:t xml:space="preserve">transmission </w:t>
      </w:r>
      <w:r w:rsidR="00761032">
        <w:t xml:space="preserve">resource in time domain. </w:t>
      </w:r>
      <w:r w:rsidR="00F5491E">
        <w:t>It is possible that HARQ processes in one DL SPS/UL CG</w:t>
      </w:r>
      <w:r w:rsidR="00E06FF9">
        <w:t xml:space="preserve"> configuration</w:t>
      </w:r>
      <w:r w:rsidR="00F5491E">
        <w:t xml:space="preserve"> are </w:t>
      </w:r>
      <w:r w:rsidR="0047346E">
        <w:t>s</w:t>
      </w:r>
      <w:r w:rsidR="00F5491E" w:rsidRPr="004C559D">
        <w:rPr>
          <w:rFonts w:hint="eastAsia"/>
        </w:rPr>
        <w:t>eparate</w:t>
      </w:r>
      <w:r w:rsidR="00F5491E" w:rsidRPr="004C559D">
        <w:t>d</w:t>
      </w:r>
      <w:r w:rsidR="00F5491E">
        <w:t xml:space="preserve"> in different</w:t>
      </w:r>
      <w:r w:rsidR="00B74224">
        <w:t xml:space="preserve"> preconfigured HARQ process ID</w:t>
      </w:r>
      <w:r w:rsidR="00F5491E">
        <w:t xml:space="preserve"> subset</w:t>
      </w:r>
      <w:r w:rsidR="0047346E">
        <w:t>s</w:t>
      </w:r>
      <w:r w:rsidR="00F5491E">
        <w:t xml:space="preserve">. </w:t>
      </w:r>
      <w:r w:rsidR="00B7505D">
        <w:t xml:space="preserve">It is strange that in one DL SPS/UL CG configuration some of the transmissions are HARQ-ACK disabled and some of the transmissions are </w:t>
      </w:r>
      <w:r w:rsidR="00B7505D">
        <w:lastRenderedPageBreak/>
        <w:t xml:space="preserve">HARQ-ACK enabled. </w:t>
      </w:r>
      <w:r w:rsidR="00B534CF">
        <w:t xml:space="preserve">In Rel.16, more than one DL SPS/UL CG is supported to support different kinds of service type. </w:t>
      </w:r>
      <w:r w:rsidR="00B7505D">
        <w:t xml:space="preserve">Therefore, it is improper to decide HARQ-ACK disable/enable state of one HARQ process through the configured HARQ process ID subset since one DL SPS/UL CG configuration is usually used for one service type. </w:t>
      </w:r>
      <w:r w:rsidR="003D6340">
        <w:t>I</w:t>
      </w:r>
      <w:r w:rsidR="000102ED">
        <w:t xml:space="preserve">t is proposed that </w:t>
      </w:r>
      <w:r w:rsidR="000102ED" w:rsidRPr="0031591B">
        <w:rPr>
          <w:kern w:val="0"/>
          <w:sz w:val="22"/>
        </w:rPr>
        <w:t xml:space="preserve">enabling/disabling of HARQ feedback </w:t>
      </w:r>
      <w:r w:rsidR="000102ED">
        <w:t xml:space="preserve">for DL SPS/UL CG is </w:t>
      </w:r>
      <w:r w:rsidR="004C2B76">
        <w:t xml:space="preserve">configured per configuration. </w:t>
      </w:r>
    </w:p>
    <w:p w14:paraId="10A0767C" w14:textId="5EDE89A2" w:rsidR="00B534CF" w:rsidRPr="00472859" w:rsidRDefault="00B534CF" w:rsidP="00B534CF">
      <w:pPr>
        <w:spacing w:beforeLines="50" w:before="156" w:afterLines="50" w:after="156"/>
        <w:rPr>
          <w:b/>
          <w:i/>
        </w:rPr>
      </w:pPr>
      <w:r w:rsidRPr="00172C7E">
        <w:rPr>
          <w:b/>
          <w:i/>
        </w:rPr>
        <w:t xml:space="preserve">Proposal </w:t>
      </w:r>
      <w:r>
        <w:rPr>
          <w:b/>
          <w:i/>
        </w:rPr>
        <w:t>3</w:t>
      </w:r>
      <w:r w:rsidRPr="00172C7E">
        <w:rPr>
          <w:b/>
          <w:i/>
        </w:rPr>
        <w:t>:</w:t>
      </w:r>
      <w:r w:rsidRPr="00426887">
        <w:rPr>
          <w:b/>
          <w:i/>
        </w:rPr>
        <w:t xml:space="preserve"> </w:t>
      </w:r>
      <w:r>
        <w:rPr>
          <w:b/>
          <w:i/>
        </w:rPr>
        <w:t>E</w:t>
      </w:r>
      <w:r w:rsidRPr="00B534CF">
        <w:rPr>
          <w:b/>
          <w:i/>
        </w:rPr>
        <w:t>nabling/disabling of HARQ feedback for DL SPS/UL CG is configured per configuration</w:t>
      </w:r>
      <w:r w:rsidRPr="00F4166A">
        <w:rPr>
          <w:b/>
          <w:i/>
        </w:rPr>
        <w:t>.</w:t>
      </w:r>
    </w:p>
    <w:p w14:paraId="11D8EBD8" w14:textId="56CDEB31" w:rsidR="00EC18A1" w:rsidRDefault="007D59F8" w:rsidP="00EC18A1">
      <w:pPr>
        <w:rPr>
          <w:rFonts w:eastAsia="Calibri"/>
        </w:rPr>
      </w:pPr>
      <w:r>
        <w:t>For disabled HARQ-</w:t>
      </w:r>
      <w:r w:rsidR="00D60DC5">
        <w:t>ACK</w:t>
      </w:r>
      <w:r>
        <w:t>, s</w:t>
      </w:r>
      <w:r w:rsidR="00032C5C">
        <w:t xml:space="preserve">ince there is no HARQ-ACK based retransmission, HARQ </w:t>
      </w:r>
      <w:r w:rsidR="00B7505D">
        <w:t>performance</w:t>
      </w:r>
      <w:r w:rsidR="00032C5C">
        <w:t xml:space="preserve"> would be degraded. </w:t>
      </w:r>
      <w:r w:rsidR="00C20BAA">
        <w:t xml:space="preserve">According to </w:t>
      </w:r>
      <w:r w:rsidR="00C20BAA">
        <w:fldChar w:fldCharType="begin"/>
      </w:r>
      <w:r w:rsidR="00C20BAA">
        <w:instrText xml:space="preserve"> REF _Ref47467135 \r \h </w:instrText>
      </w:r>
      <w:r w:rsidR="00C20BAA">
        <w:fldChar w:fldCharType="separate"/>
      </w:r>
      <w:r w:rsidR="00C20BAA">
        <w:t>[3]</w:t>
      </w:r>
      <w:r w:rsidR="00C20BAA">
        <w:fldChar w:fldCharType="end"/>
      </w:r>
      <w:r w:rsidR="00C20BAA">
        <w:t xml:space="preserve">, </w:t>
      </w:r>
      <w:r w:rsidR="00EC18A1" w:rsidRPr="00B923D6">
        <w:rPr>
          <w:rFonts w:eastAsia="Calibri"/>
        </w:rPr>
        <w:t>slot-aggregation or blind repetitions were considered</w:t>
      </w:r>
      <w:r w:rsidR="00EC18A1">
        <w:rPr>
          <w:rFonts w:eastAsia="Calibri"/>
        </w:rPr>
        <w:t xml:space="preserve"> </w:t>
      </w:r>
      <w:r w:rsidR="00456B64">
        <w:rPr>
          <w:rFonts w:eastAsia="Calibri"/>
        </w:rPr>
        <w:t xml:space="preserve">as </w:t>
      </w:r>
      <w:r w:rsidR="00456B64" w:rsidRPr="00B923D6">
        <w:rPr>
          <w:rFonts w:eastAsia="Calibri"/>
        </w:rPr>
        <w:t xml:space="preserve">possible enhancements </w:t>
      </w:r>
      <w:r w:rsidR="00EC18A1">
        <w:rPr>
          <w:rFonts w:eastAsia="Calibri"/>
        </w:rPr>
        <w:t>which includes:</w:t>
      </w:r>
    </w:p>
    <w:p w14:paraId="0EE0B827" w14:textId="64CC805A" w:rsidR="00EC18A1" w:rsidRPr="00EC18A1" w:rsidRDefault="00EC18A1" w:rsidP="00EC18A1">
      <w:pPr>
        <w:pStyle w:val="a8"/>
        <w:numPr>
          <w:ilvl w:val="0"/>
          <w:numId w:val="42"/>
        </w:numPr>
        <w:spacing w:beforeLines="50" w:before="156" w:afterLines="50" w:after="156"/>
        <w:ind w:firstLineChars="0"/>
      </w:pPr>
      <w:r w:rsidRPr="00EC18A1">
        <w:t>Greater than 8 slot-aggregation</w:t>
      </w:r>
    </w:p>
    <w:p w14:paraId="5E0557BB" w14:textId="1464DD0E" w:rsidR="00EC18A1" w:rsidRPr="00EC18A1" w:rsidRDefault="00EC18A1" w:rsidP="00EC18A1">
      <w:pPr>
        <w:pStyle w:val="a8"/>
        <w:numPr>
          <w:ilvl w:val="0"/>
          <w:numId w:val="42"/>
        </w:numPr>
        <w:spacing w:beforeLines="50" w:before="156" w:afterLines="50" w:after="156"/>
        <w:ind w:firstLineChars="0"/>
      </w:pPr>
      <w:r w:rsidRPr="00EC18A1">
        <w:t>Time-interleaved slot aggregation</w:t>
      </w:r>
    </w:p>
    <w:p w14:paraId="07834C16" w14:textId="619AB5EA" w:rsidR="007921BD" w:rsidRPr="00EC18A1" w:rsidRDefault="00EC18A1" w:rsidP="00EC18A1">
      <w:pPr>
        <w:pStyle w:val="a8"/>
        <w:numPr>
          <w:ilvl w:val="0"/>
          <w:numId w:val="42"/>
        </w:numPr>
        <w:spacing w:beforeLines="50" w:before="156" w:afterLines="50" w:after="156"/>
        <w:ind w:firstLineChars="0"/>
      </w:pPr>
      <w:r>
        <w:t>New MCS table</w:t>
      </w:r>
    </w:p>
    <w:p w14:paraId="3FA6BB64" w14:textId="6181B66F" w:rsidR="007D59F8" w:rsidRPr="007D59F8" w:rsidRDefault="007D59F8" w:rsidP="007D59F8">
      <w:pPr>
        <w:pStyle w:val="a8"/>
        <w:numPr>
          <w:ilvl w:val="0"/>
          <w:numId w:val="42"/>
        </w:numPr>
        <w:spacing w:beforeLines="50" w:before="156" w:afterLines="50" w:after="156"/>
        <w:ind w:firstLineChars="0"/>
      </w:pPr>
      <w:r w:rsidRPr="007D59F8">
        <w:t>New UCI feedback for reporting DL transmission disruption and or requesting DL scheduling changes</w:t>
      </w:r>
    </w:p>
    <w:p w14:paraId="505113D6" w14:textId="7B991120" w:rsidR="007D59F8" w:rsidRPr="007D59F8" w:rsidRDefault="007D59F8" w:rsidP="007122C4">
      <w:pPr>
        <w:spacing w:beforeLines="50" w:before="156" w:afterLines="50" w:after="156"/>
        <w:rPr>
          <w:lang w:val="en-GB"/>
        </w:rPr>
      </w:pPr>
      <w:r>
        <w:rPr>
          <w:lang w:val="en-GB"/>
        </w:rPr>
        <w:t>To</w:t>
      </w:r>
      <w:r w:rsidR="0010205D">
        <w:rPr>
          <w:lang w:val="en-GB"/>
        </w:rPr>
        <w:t xml:space="preserve"> our opinion, </w:t>
      </w:r>
      <w:r w:rsidR="00D60DC5">
        <w:rPr>
          <w:lang w:val="en-GB"/>
        </w:rPr>
        <w:t xml:space="preserve">the </w:t>
      </w:r>
      <w:r w:rsidR="000D582B">
        <w:rPr>
          <w:lang w:val="en-GB"/>
        </w:rPr>
        <w:t>solutions</w:t>
      </w:r>
      <w:r w:rsidR="00D60DC5">
        <w:rPr>
          <w:lang w:val="en-GB"/>
        </w:rPr>
        <w:t xml:space="preserve"> with less speciation impacts should be considered firstly. For the solutions with much standardization work</w:t>
      </w:r>
      <w:r w:rsidR="00064963">
        <w:rPr>
          <w:lang w:val="en-GB"/>
        </w:rPr>
        <w:t xml:space="preserve">, the </w:t>
      </w:r>
      <w:r w:rsidR="000D582B">
        <w:rPr>
          <w:lang w:val="en-GB"/>
        </w:rPr>
        <w:t>benefits should be justified.</w:t>
      </w:r>
    </w:p>
    <w:p w14:paraId="7363D809" w14:textId="0229934C" w:rsidR="007D59F8" w:rsidRDefault="007D59F8" w:rsidP="00F90F8A">
      <w:pPr>
        <w:spacing w:beforeLines="50" w:before="156" w:afterLines="50" w:after="156"/>
        <w:rPr>
          <w:sz w:val="22"/>
        </w:rPr>
      </w:pPr>
      <w:r w:rsidRPr="00172C7E">
        <w:rPr>
          <w:b/>
          <w:i/>
        </w:rPr>
        <w:t xml:space="preserve">Proposal </w:t>
      </w:r>
      <w:r>
        <w:rPr>
          <w:b/>
          <w:i/>
        </w:rPr>
        <w:t>4</w:t>
      </w:r>
      <w:r w:rsidRPr="00172C7E">
        <w:rPr>
          <w:b/>
          <w:i/>
        </w:rPr>
        <w:t>:</w:t>
      </w:r>
      <w:r w:rsidRPr="00426887">
        <w:rPr>
          <w:b/>
          <w:i/>
        </w:rPr>
        <w:t xml:space="preserve"> </w:t>
      </w:r>
      <w:r w:rsidR="000D582B">
        <w:rPr>
          <w:b/>
          <w:i/>
        </w:rPr>
        <w:t xml:space="preserve">For performance improvements for disabled HARQ-ACK, </w:t>
      </w:r>
      <w:r w:rsidR="000D582B" w:rsidRPr="000D582B">
        <w:rPr>
          <w:b/>
          <w:i/>
        </w:rPr>
        <w:t>solutions with less speciation impacts should be considered firstly</w:t>
      </w:r>
      <w:r w:rsidRPr="00F4166A">
        <w:rPr>
          <w:b/>
          <w:i/>
        </w:rPr>
        <w:t>.</w:t>
      </w:r>
      <w:r w:rsidR="000D582B" w:rsidRPr="000D582B">
        <w:rPr>
          <w:b/>
          <w:i/>
        </w:rPr>
        <w:t xml:space="preserve"> For the solutions with much standardization work, the benefits should be justified.</w:t>
      </w:r>
    </w:p>
    <w:p w14:paraId="062771A9" w14:textId="77777777" w:rsidR="00805EB0" w:rsidRPr="00806AD7" w:rsidRDefault="00805EB0" w:rsidP="00806AD7">
      <w:pPr>
        <w:pStyle w:val="1"/>
        <w:rPr>
          <w:b/>
          <w:sz w:val="30"/>
          <w:szCs w:val="30"/>
        </w:rPr>
      </w:pPr>
      <w:r w:rsidRPr="00806AD7">
        <w:rPr>
          <w:rFonts w:hint="eastAsia"/>
          <w:b/>
          <w:sz w:val="30"/>
          <w:szCs w:val="30"/>
        </w:rPr>
        <w:t>Conclusion</w:t>
      </w:r>
    </w:p>
    <w:p w14:paraId="32400410" w14:textId="1732CB4C" w:rsidR="00805EB0" w:rsidRPr="00D20FD9" w:rsidRDefault="00805EB0" w:rsidP="00805EB0">
      <w:pPr>
        <w:spacing w:afterLines="50" w:after="156"/>
        <w:rPr>
          <w:sz w:val="22"/>
          <w:szCs w:val="22"/>
        </w:rPr>
      </w:pPr>
      <w:r w:rsidRPr="00D20FD9">
        <w:rPr>
          <w:sz w:val="22"/>
          <w:szCs w:val="22"/>
        </w:rPr>
        <w:t>In this contribution, we discuss</w:t>
      </w:r>
      <w:r>
        <w:rPr>
          <w:sz w:val="22"/>
          <w:szCs w:val="22"/>
        </w:rPr>
        <w:t>ed</w:t>
      </w:r>
      <w:r w:rsidRPr="00D20FD9">
        <w:rPr>
          <w:sz w:val="22"/>
          <w:szCs w:val="22"/>
        </w:rPr>
        <w:t xml:space="preserve"> </w:t>
      </w:r>
      <w:r w:rsidR="00CE652F">
        <w:rPr>
          <w:kern w:val="0"/>
          <w:sz w:val="22"/>
          <w:szCs w:val="22"/>
        </w:rPr>
        <w:t xml:space="preserve">possible </w:t>
      </w:r>
      <w:r w:rsidR="00CE652F" w:rsidRPr="00A502FD">
        <w:rPr>
          <w:kern w:val="0"/>
          <w:sz w:val="22"/>
          <w:szCs w:val="22"/>
        </w:rPr>
        <w:t xml:space="preserve">enhancements </w:t>
      </w:r>
      <w:r w:rsidR="00CE652F">
        <w:rPr>
          <w:kern w:val="0"/>
          <w:sz w:val="22"/>
          <w:szCs w:val="22"/>
        </w:rPr>
        <w:t>on HARQ</w:t>
      </w:r>
      <w:r w:rsidR="00CE652F">
        <w:t xml:space="preserve"> </w:t>
      </w:r>
      <w:r w:rsidR="00CE652F" w:rsidRPr="00BA4263">
        <w:rPr>
          <w:kern w:val="0"/>
          <w:sz w:val="22"/>
          <w:szCs w:val="22"/>
        </w:rPr>
        <w:t>in NTN</w:t>
      </w:r>
      <w:r>
        <w:rPr>
          <w:sz w:val="22"/>
          <w:szCs w:val="22"/>
        </w:rPr>
        <w:t>.</w:t>
      </w:r>
      <w:r w:rsidRPr="00D20FD9">
        <w:rPr>
          <w:sz w:val="22"/>
          <w:szCs w:val="22"/>
        </w:rPr>
        <w:t xml:space="preserve"> The following proposals are reached:</w:t>
      </w:r>
    </w:p>
    <w:p w14:paraId="4501E2B4" w14:textId="77777777" w:rsidR="00456B64" w:rsidRPr="00472859" w:rsidRDefault="00456B64" w:rsidP="00456B64">
      <w:pPr>
        <w:spacing w:beforeLines="50" w:before="156" w:afterLines="50" w:after="156"/>
        <w:rPr>
          <w:b/>
          <w:i/>
        </w:rPr>
      </w:pPr>
      <w:r w:rsidRPr="00172C7E">
        <w:rPr>
          <w:b/>
          <w:i/>
        </w:rPr>
        <w:t xml:space="preserve">Proposal </w:t>
      </w:r>
      <w:r>
        <w:rPr>
          <w:b/>
          <w:i/>
        </w:rPr>
        <w:t>1</w:t>
      </w:r>
      <w:r w:rsidRPr="00172C7E">
        <w:rPr>
          <w:b/>
          <w:i/>
        </w:rPr>
        <w:t xml:space="preserve">: </w:t>
      </w:r>
      <w:r w:rsidRPr="00A22E63">
        <w:rPr>
          <w:b/>
          <w:i/>
        </w:rPr>
        <w:t xml:space="preserve">Decide the maximum supported number of HARQ process number </w:t>
      </w:r>
      <w:r>
        <w:rPr>
          <w:b/>
          <w:i/>
        </w:rPr>
        <w:t>before discussing the indication method</w:t>
      </w:r>
      <w:r w:rsidRPr="00205363">
        <w:rPr>
          <w:b/>
          <w:i/>
        </w:rPr>
        <w:t>.</w:t>
      </w:r>
      <w:r>
        <w:rPr>
          <w:b/>
          <w:i/>
        </w:rPr>
        <w:t xml:space="preserve"> </w:t>
      </w:r>
      <w:r w:rsidRPr="008806BD">
        <w:rPr>
          <w:b/>
          <w:i/>
        </w:rPr>
        <w:t>The supported number of HARQ process number</w:t>
      </w:r>
      <w:r>
        <w:rPr>
          <w:b/>
          <w:i/>
        </w:rPr>
        <w:t xml:space="preserve"> is determined </w:t>
      </w:r>
      <w:r w:rsidRPr="008806BD">
        <w:rPr>
          <w:b/>
          <w:i/>
        </w:rPr>
        <w:t>by the requirement of peak data rates in NTN.</w:t>
      </w:r>
    </w:p>
    <w:p w14:paraId="7462F864" w14:textId="77777777" w:rsidR="00456B64" w:rsidRPr="00472859" w:rsidRDefault="00456B64" w:rsidP="00456B64">
      <w:pPr>
        <w:spacing w:beforeLines="50" w:before="156" w:afterLines="50" w:after="156"/>
        <w:rPr>
          <w:b/>
          <w:i/>
        </w:rPr>
      </w:pPr>
      <w:r w:rsidRPr="00172C7E">
        <w:rPr>
          <w:b/>
          <w:i/>
        </w:rPr>
        <w:t xml:space="preserve">Proposal </w:t>
      </w:r>
      <w:r>
        <w:rPr>
          <w:b/>
          <w:i/>
        </w:rPr>
        <w:t>2</w:t>
      </w:r>
      <w:r w:rsidRPr="00172C7E">
        <w:rPr>
          <w:b/>
          <w:i/>
        </w:rPr>
        <w:t>:</w:t>
      </w:r>
      <w:r w:rsidRPr="00426887">
        <w:rPr>
          <w:b/>
          <w:i/>
        </w:rPr>
        <w:t xml:space="preserve"> </w:t>
      </w:r>
      <w:r w:rsidRPr="00F4166A">
        <w:rPr>
          <w:b/>
          <w:i/>
        </w:rPr>
        <w:t xml:space="preserve">Basic assumption for </w:t>
      </w:r>
      <w:r>
        <w:rPr>
          <w:b/>
          <w:i/>
        </w:rPr>
        <w:t xml:space="preserve">supporting </w:t>
      </w:r>
      <w:r w:rsidRPr="00F4166A">
        <w:rPr>
          <w:b/>
          <w:i/>
        </w:rPr>
        <w:t>HARQ-ACK disable/enable is to configure two subsets of HARQ processes for enabled HARQ processes</w:t>
      </w:r>
      <w:r>
        <w:rPr>
          <w:b/>
          <w:i/>
        </w:rPr>
        <w:t xml:space="preserve"> </w:t>
      </w:r>
      <w:r w:rsidRPr="00F4166A">
        <w:rPr>
          <w:b/>
          <w:i/>
        </w:rPr>
        <w:t>and disabled HARQ processes respectively</w:t>
      </w:r>
      <w:r>
        <w:rPr>
          <w:b/>
          <w:i/>
        </w:rPr>
        <w:t xml:space="preserve"> via RRC signaling. To d</w:t>
      </w:r>
      <w:r w:rsidRPr="00F4166A">
        <w:rPr>
          <w:b/>
          <w:i/>
        </w:rPr>
        <w:t>ecide the HARQ-ACK disable/enable</w:t>
      </w:r>
      <w:r>
        <w:rPr>
          <w:b/>
          <w:i/>
        </w:rPr>
        <w:t xml:space="preserve"> state with </w:t>
      </w:r>
      <w:r w:rsidRPr="00F4166A">
        <w:rPr>
          <w:b/>
          <w:i/>
        </w:rPr>
        <w:t>HARQ process ID indication in the scheduling DCI.</w:t>
      </w:r>
    </w:p>
    <w:p w14:paraId="13E00ED7" w14:textId="77777777" w:rsidR="00456B64" w:rsidRPr="00472859" w:rsidRDefault="00456B64" w:rsidP="00456B64">
      <w:pPr>
        <w:spacing w:beforeLines="50" w:before="156" w:afterLines="50" w:after="156"/>
        <w:rPr>
          <w:b/>
          <w:i/>
        </w:rPr>
      </w:pPr>
      <w:r w:rsidRPr="00172C7E">
        <w:rPr>
          <w:b/>
          <w:i/>
        </w:rPr>
        <w:t xml:space="preserve">Proposal </w:t>
      </w:r>
      <w:r>
        <w:rPr>
          <w:b/>
          <w:i/>
        </w:rPr>
        <w:t>3</w:t>
      </w:r>
      <w:r w:rsidRPr="00172C7E">
        <w:rPr>
          <w:b/>
          <w:i/>
        </w:rPr>
        <w:t>:</w:t>
      </w:r>
      <w:r w:rsidRPr="00426887">
        <w:rPr>
          <w:b/>
          <w:i/>
        </w:rPr>
        <w:t xml:space="preserve"> </w:t>
      </w:r>
      <w:r>
        <w:rPr>
          <w:b/>
          <w:i/>
        </w:rPr>
        <w:t>E</w:t>
      </w:r>
      <w:r w:rsidRPr="00B534CF">
        <w:rPr>
          <w:b/>
          <w:i/>
        </w:rPr>
        <w:t>nabling/disabling of HARQ feedback for DL SPS/UL CG is configured per configuration</w:t>
      </w:r>
      <w:r w:rsidRPr="00F4166A">
        <w:rPr>
          <w:b/>
          <w:i/>
        </w:rPr>
        <w:t>.</w:t>
      </w:r>
    </w:p>
    <w:p w14:paraId="15A600FC" w14:textId="77777777" w:rsidR="00456B64" w:rsidRDefault="00456B64" w:rsidP="00456B64">
      <w:pPr>
        <w:spacing w:beforeLines="50" w:before="156" w:afterLines="50" w:after="156"/>
        <w:rPr>
          <w:sz w:val="22"/>
        </w:rPr>
      </w:pPr>
      <w:r w:rsidRPr="00172C7E">
        <w:rPr>
          <w:b/>
          <w:i/>
        </w:rPr>
        <w:t xml:space="preserve">Proposal </w:t>
      </w:r>
      <w:r>
        <w:rPr>
          <w:b/>
          <w:i/>
        </w:rPr>
        <w:t>4</w:t>
      </w:r>
      <w:r w:rsidRPr="00172C7E">
        <w:rPr>
          <w:b/>
          <w:i/>
        </w:rPr>
        <w:t>:</w:t>
      </w:r>
      <w:r w:rsidRPr="00426887">
        <w:rPr>
          <w:b/>
          <w:i/>
        </w:rPr>
        <w:t xml:space="preserve"> </w:t>
      </w:r>
      <w:r>
        <w:rPr>
          <w:b/>
          <w:i/>
        </w:rPr>
        <w:t xml:space="preserve">For performance improvements for disabled HARQ-ACK, </w:t>
      </w:r>
      <w:r w:rsidRPr="000D582B">
        <w:rPr>
          <w:b/>
          <w:i/>
        </w:rPr>
        <w:t>solutions with less speciation impacts should be considered firstly</w:t>
      </w:r>
      <w:r w:rsidRPr="00F4166A">
        <w:rPr>
          <w:b/>
          <w:i/>
        </w:rPr>
        <w:t>.</w:t>
      </w:r>
      <w:r w:rsidRPr="000D582B">
        <w:rPr>
          <w:b/>
          <w:i/>
        </w:rPr>
        <w:t xml:space="preserve"> For the solutions with much standardization work, the benefits should be justified.</w:t>
      </w:r>
    </w:p>
    <w:p w14:paraId="3E130199" w14:textId="77777777" w:rsidR="001C5D0C" w:rsidRDefault="001C5D0C" w:rsidP="001C5D0C">
      <w:pPr>
        <w:pStyle w:val="1"/>
        <w:keepLines/>
        <w:numPr>
          <w:ilvl w:val="0"/>
          <w:numId w:val="0"/>
        </w:numPr>
        <w:pBdr>
          <w:top w:val="single" w:sz="12" w:space="3" w:color="auto"/>
        </w:pBdr>
        <w:tabs>
          <w:tab w:val="clear" w:pos="0"/>
          <w:tab w:val="left" w:pos="858"/>
        </w:tabs>
        <w:spacing w:before="120" w:afterLines="50" w:after="156"/>
        <w:ind w:left="425" w:hanging="425"/>
        <w:rPr>
          <w:rFonts w:eastAsia="宋体"/>
          <w:sz w:val="30"/>
          <w:szCs w:val="30"/>
          <w:lang w:eastAsia="zh-CN"/>
        </w:rPr>
      </w:pPr>
      <w:r>
        <w:rPr>
          <w:rFonts w:eastAsia="宋体" w:hint="eastAsia"/>
          <w:sz w:val="30"/>
          <w:szCs w:val="30"/>
          <w:lang w:eastAsia="zh-CN"/>
        </w:rPr>
        <w:t>Reference</w:t>
      </w:r>
    </w:p>
    <w:p w14:paraId="3BB02865" w14:textId="58027C86" w:rsidR="008C6FF0" w:rsidRDefault="008C6FF0" w:rsidP="005C789C">
      <w:pPr>
        <w:pStyle w:val="a8"/>
        <w:numPr>
          <w:ilvl w:val="0"/>
          <w:numId w:val="1"/>
        </w:numPr>
        <w:ind w:firstLineChars="0"/>
        <w:rPr>
          <w:sz w:val="22"/>
          <w:szCs w:val="22"/>
        </w:rPr>
      </w:pPr>
      <w:bookmarkStart w:id="5" w:name="_Ref47429413"/>
      <w:bookmarkStart w:id="6" w:name="_Ref16867189"/>
      <w:r w:rsidRPr="008C6FF0">
        <w:rPr>
          <w:sz w:val="22"/>
          <w:szCs w:val="22"/>
        </w:rPr>
        <w:t>RP-193234</w:t>
      </w:r>
      <w:r w:rsidRPr="000D13D1">
        <w:rPr>
          <w:sz w:val="22"/>
          <w:szCs w:val="22"/>
        </w:rPr>
        <w:t>, “</w:t>
      </w:r>
      <w:r w:rsidR="005C789C" w:rsidRPr="005C789C">
        <w:rPr>
          <w:sz w:val="22"/>
          <w:szCs w:val="22"/>
        </w:rPr>
        <w:t>Solutions for NR to support non-terrestrial networks (NTN)</w:t>
      </w:r>
      <w:r w:rsidRPr="000D13D1">
        <w:rPr>
          <w:sz w:val="22"/>
          <w:szCs w:val="22"/>
        </w:rPr>
        <w:t>”</w:t>
      </w:r>
      <w:r>
        <w:rPr>
          <w:sz w:val="22"/>
          <w:szCs w:val="22"/>
        </w:rPr>
        <w:t xml:space="preserve">, </w:t>
      </w:r>
      <w:r w:rsidRPr="00B75CF5">
        <w:rPr>
          <w:sz w:val="22"/>
          <w:szCs w:val="22"/>
        </w:rPr>
        <w:t>Thales</w:t>
      </w:r>
      <w:bookmarkEnd w:id="5"/>
    </w:p>
    <w:p w14:paraId="4A8E5210" w14:textId="37D5DB73" w:rsidR="00C85187" w:rsidRDefault="00B75CF5" w:rsidP="00B75CF5">
      <w:pPr>
        <w:pStyle w:val="a8"/>
        <w:numPr>
          <w:ilvl w:val="0"/>
          <w:numId w:val="1"/>
        </w:numPr>
        <w:ind w:firstLineChars="0"/>
        <w:rPr>
          <w:sz w:val="22"/>
          <w:szCs w:val="22"/>
        </w:rPr>
      </w:pPr>
      <w:bookmarkStart w:id="7" w:name="_Ref47429448"/>
      <w:r w:rsidRPr="00B75CF5">
        <w:rPr>
          <w:sz w:val="22"/>
          <w:szCs w:val="22"/>
        </w:rPr>
        <w:t>RP-200600</w:t>
      </w:r>
      <w:r w:rsidR="0045069D" w:rsidRPr="000D13D1">
        <w:rPr>
          <w:sz w:val="22"/>
          <w:szCs w:val="22"/>
        </w:rPr>
        <w:t>, “</w:t>
      </w:r>
      <w:r w:rsidRPr="00B75CF5">
        <w:rPr>
          <w:sz w:val="22"/>
          <w:szCs w:val="22"/>
        </w:rPr>
        <w:t>Solutions for NR to support non-terrestrial networks (NTN)</w:t>
      </w:r>
      <w:r w:rsidR="0045069D" w:rsidRPr="000D13D1">
        <w:rPr>
          <w:sz w:val="22"/>
          <w:szCs w:val="22"/>
        </w:rPr>
        <w:t>”</w:t>
      </w:r>
      <w:bookmarkEnd w:id="6"/>
      <w:r>
        <w:rPr>
          <w:sz w:val="22"/>
          <w:szCs w:val="22"/>
        </w:rPr>
        <w:t xml:space="preserve">, </w:t>
      </w:r>
      <w:r w:rsidRPr="00B75CF5">
        <w:rPr>
          <w:sz w:val="22"/>
          <w:szCs w:val="22"/>
        </w:rPr>
        <w:t>Thales</w:t>
      </w:r>
      <w:bookmarkEnd w:id="7"/>
    </w:p>
    <w:p w14:paraId="22509D20" w14:textId="1B077749" w:rsidR="005E045F" w:rsidRDefault="003A4119" w:rsidP="00E415C0">
      <w:pPr>
        <w:pStyle w:val="a8"/>
        <w:numPr>
          <w:ilvl w:val="0"/>
          <w:numId w:val="1"/>
        </w:numPr>
        <w:ind w:firstLineChars="0"/>
        <w:rPr>
          <w:sz w:val="22"/>
          <w:szCs w:val="22"/>
        </w:rPr>
      </w:pPr>
      <w:bookmarkStart w:id="8" w:name="_Ref47467135"/>
      <w:bookmarkStart w:id="9" w:name="_Ref47431329"/>
      <w:r w:rsidRPr="00E415C0">
        <w:rPr>
          <w:sz w:val="22"/>
          <w:szCs w:val="22"/>
        </w:rPr>
        <w:t>3GPP TR 38.821</w:t>
      </w:r>
      <w:r>
        <w:rPr>
          <w:sz w:val="22"/>
          <w:szCs w:val="22"/>
        </w:rPr>
        <w:t xml:space="preserve"> </w:t>
      </w:r>
      <w:r w:rsidRPr="00E415C0">
        <w:rPr>
          <w:sz w:val="22"/>
          <w:szCs w:val="22"/>
        </w:rPr>
        <w:t>V16.0.0, “Solutions for NR to support non-terrestrial networks (NTN)”</w:t>
      </w:r>
      <w:bookmarkEnd w:id="8"/>
      <w:bookmarkEnd w:id="9"/>
    </w:p>
    <w:p w14:paraId="28BCD740" w14:textId="2CFD5F54" w:rsidR="00E9277F" w:rsidRDefault="003A4119" w:rsidP="00C12122">
      <w:pPr>
        <w:pStyle w:val="a8"/>
        <w:numPr>
          <w:ilvl w:val="0"/>
          <w:numId w:val="1"/>
        </w:numPr>
        <w:ind w:firstLineChars="0"/>
        <w:rPr>
          <w:sz w:val="22"/>
          <w:szCs w:val="22"/>
        </w:rPr>
      </w:pPr>
      <w:bookmarkStart w:id="10" w:name="_Ref47599297"/>
      <w:r w:rsidRPr="00E415C0">
        <w:rPr>
          <w:sz w:val="22"/>
          <w:szCs w:val="22"/>
        </w:rPr>
        <w:t>3GPP TR 38.</w:t>
      </w:r>
      <w:r>
        <w:rPr>
          <w:sz w:val="22"/>
          <w:szCs w:val="22"/>
        </w:rPr>
        <w:t xml:space="preserve">213 </w:t>
      </w:r>
      <w:r w:rsidRPr="00E415C0">
        <w:rPr>
          <w:sz w:val="22"/>
          <w:szCs w:val="22"/>
        </w:rPr>
        <w:t>V16.</w:t>
      </w:r>
      <w:r>
        <w:rPr>
          <w:sz w:val="22"/>
          <w:szCs w:val="22"/>
        </w:rPr>
        <w:t>2</w:t>
      </w:r>
      <w:r w:rsidRPr="00E415C0">
        <w:rPr>
          <w:sz w:val="22"/>
          <w:szCs w:val="22"/>
        </w:rPr>
        <w:t>.0, “</w:t>
      </w:r>
      <w:r w:rsidRPr="00C12122">
        <w:rPr>
          <w:sz w:val="22"/>
          <w:szCs w:val="22"/>
        </w:rPr>
        <w:t>Physical layer procedures for control</w:t>
      </w:r>
      <w:r w:rsidRPr="00E415C0">
        <w:rPr>
          <w:sz w:val="22"/>
          <w:szCs w:val="22"/>
        </w:rPr>
        <w:t>”</w:t>
      </w:r>
      <w:bookmarkEnd w:id="10"/>
    </w:p>
    <w:p w14:paraId="570E29A9" w14:textId="24C916C0" w:rsidR="00792274" w:rsidRDefault="001A1994" w:rsidP="001A1994">
      <w:pPr>
        <w:pStyle w:val="a8"/>
        <w:numPr>
          <w:ilvl w:val="0"/>
          <w:numId w:val="1"/>
        </w:numPr>
        <w:ind w:firstLineChars="0"/>
        <w:rPr>
          <w:sz w:val="22"/>
          <w:szCs w:val="22"/>
        </w:rPr>
      </w:pPr>
      <w:bookmarkStart w:id="11" w:name="_Ref47551540"/>
      <w:r w:rsidRPr="00E415C0">
        <w:rPr>
          <w:sz w:val="22"/>
          <w:szCs w:val="22"/>
        </w:rPr>
        <w:t>3GPP TR 38.</w:t>
      </w:r>
      <w:r>
        <w:rPr>
          <w:rFonts w:hint="eastAsia"/>
          <w:sz w:val="22"/>
          <w:szCs w:val="22"/>
        </w:rPr>
        <w:t>3</w:t>
      </w:r>
      <w:r w:rsidRPr="00E415C0">
        <w:rPr>
          <w:sz w:val="22"/>
          <w:szCs w:val="22"/>
        </w:rPr>
        <w:t>21</w:t>
      </w:r>
      <w:r>
        <w:rPr>
          <w:sz w:val="22"/>
          <w:szCs w:val="22"/>
        </w:rPr>
        <w:t xml:space="preserve"> </w:t>
      </w:r>
      <w:r w:rsidRPr="00E415C0">
        <w:rPr>
          <w:sz w:val="22"/>
          <w:szCs w:val="22"/>
        </w:rPr>
        <w:t>V16.</w:t>
      </w:r>
      <w:r w:rsidR="002908D0">
        <w:rPr>
          <w:sz w:val="22"/>
          <w:szCs w:val="22"/>
        </w:rPr>
        <w:t>1</w:t>
      </w:r>
      <w:r w:rsidRPr="00E415C0">
        <w:rPr>
          <w:sz w:val="22"/>
          <w:szCs w:val="22"/>
        </w:rPr>
        <w:t>.0, “</w:t>
      </w:r>
      <w:r w:rsidRPr="001A1994">
        <w:rPr>
          <w:sz w:val="22"/>
          <w:szCs w:val="22"/>
        </w:rPr>
        <w:t>Medium Access Control (MAC) protocol specification</w:t>
      </w:r>
      <w:r w:rsidRPr="00E415C0">
        <w:rPr>
          <w:sz w:val="22"/>
          <w:szCs w:val="22"/>
        </w:rPr>
        <w:t>”</w:t>
      </w:r>
      <w:bookmarkEnd w:id="11"/>
    </w:p>
    <w:sectPr w:rsidR="00792274" w:rsidSect="002843CE">
      <w:footerReference w:type="even" r:id="rId10"/>
      <w:pgSz w:w="11906" w:h="16838"/>
      <w:pgMar w:top="1418" w:right="849" w:bottom="1418"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3B350" w14:textId="77777777" w:rsidR="00C833D9" w:rsidRDefault="00C833D9" w:rsidP="001C5D0C">
      <w:r>
        <w:separator/>
      </w:r>
    </w:p>
  </w:endnote>
  <w:endnote w:type="continuationSeparator" w:id="0">
    <w:p w14:paraId="66F9593C" w14:textId="77777777" w:rsidR="00C833D9" w:rsidRDefault="00C833D9" w:rsidP="001C5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1" w:usb1="08070000" w:usb2="00000010" w:usb3="00000000" w:csb0="00020000" w:csb1="00000000"/>
  </w:font>
  <w:font w:name="PMingLiU">
    <w:altName w:val="Arial Unicode MS"/>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D8C88" w14:textId="77777777" w:rsidR="00E65E45" w:rsidRDefault="00E65E45">
    <w:pPr>
      <w:pStyle w:val="a5"/>
      <w:framePr w:h="0" w:wrap="around" w:vAnchor="text" w:hAnchor="margin" w:xAlign="right" w:y="1"/>
      <w:rPr>
        <w:rStyle w:val="a7"/>
      </w:rPr>
    </w:pPr>
    <w:r>
      <w:fldChar w:fldCharType="begin"/>
    </w:r>
    <w:r>
      <w:rPr>
        <w:rStyle w:val="a7"/>
      </w:rPr>
      <w:instrText xml:space="preserve">PAGE  </w:instrText>
    </w:r>
    <w:r>
      <w:fldChar w:fldCharType="end"/>
    </w:r>
  </w:p>
  <w:p w14:paraId="6424EA36" w14:textId="77777777" w:rsidR="00E65E45" w:rsidRDefault="00E65E45">
    <w:pPr>
      <w:pStyle w:val="a5"/>
      <w:ind w:right="360"/>
    </w:pPr>
  </w:p>
  <w:p w14:paraId="773A0B48" w14:textId="77777777" w:rsidR="00E65E45" w:rsidRDefault="00E65E4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A1998" w14:textId="77777777" w:rsidR="00C833D9" w:rsidRDefault="00C833D9" w:rsidP="001C5D0C">
      <w:r>
        <w:separator/>
      </w:r>
    </w:p>
  </w:footnote>
  <w:footnote w:type="continuationSeparator" w:id="0">
    <w:p w14:paraId="526D4E37" w14:textId="77777777" w:rsidR="00C833D9" w:rsidRDefault="00C833D9" w:rsidP="001C5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A6FB4"/>
    <w:multiLevelType w:val="hybridMultilevel"/>
    <w:tmpl w:val="4DF8B7E2"/>
    <w:lvl w:ilvl="0" w:tplc="AC84B880">
      <w:start w:val="1"/>
      <w:numFmt w:val="bullet"/>
      <w:lvlText w:val="‒"/>
      <w:lvlJc w:val="left"/>
      <w:pPr>
        <w:ind w:left="944" w:hanging="420"/>
      </w:pPr>
      <w:rPr>
        <w:rFonts w:ascii="Calibri" w:hAnsi="Calibri"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 w15:restartNumberingAfterBreak="0">
    <w:nsid w:val="0A04739D"/>
    <w:multiLevelType w:val="hybridMultilevel"/>
    <w:tmpl w:val="08FCF6EC"/>
    <w:lvl w:ilvl="0" w:tplc="04090001">
      <w:start w:val="1"/>
      <w:numFmt w:val="bullet"/>
      <w:lvlText w:val=""/>
      <w:lvlJc w:val="left"/>
      <w:pPr>
        <w:ind w:left="630" w:hanging="420"/>
      </w:pPr>
      <w:rPr>
        <w:rFonts w:ascii="Symbol" w:hAnsi="Symbol" w:hint="default"/>
      </w:rPr>
    </w:lvl>
    <w:lvl w:ilvl="1" w:tplc="418AA112">
      <w:numFmt w:val="bullet"/>
      <w:lvlText w:val=""/>
      <w:lvlJc w:val="left"/>
      <w:pPr>
        <w:ind w:left="1050" w:hanging="420"/>
      </w:pPr>
      <w:rPr>
        <w:rFonts w:ascii="Wingdings" w:eastAsia="宋体" w:hAnsi="Wingdings"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06B1B02"/>
    <w:multiLevelType w:val="hybridMultilevel"/>
    <w:tmpl w:val="4A98421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2D5771E"/>
    <w:multiLevelType w:val="hybridMultilevel"/>
    <w:tmpl w:val="F888FD3A"/>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AC84B880">
      <w:start w:val="1"/>
      <w:numFmt w:val="bullet"/>
      <w:lvlText w:val="‒"/>
      <w:lvlJc w:val="left"/>
      <w:pPr>
        <w:ind w:left="2400" w:hanging="400"/>
      </w:pPr>
      <w:rPr>
        <w:rFonts w:ascii="Calibri" w:hAnsi="Calibri"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4273D4"/>
    <w:multiLevelType w:val="hybridMultilevel"/>
    <w:tmpl w:val="D5166314"/>
    <w:lvl w:ilvl="0" w:tplc="AC84B880">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2191B39"/>
    <w:multiLevelType w:val="hybridMultilevel"/>
    <w:tmpl w:val="A282F4F6"/>
    <w:lvl w:ilvl="0" w:tplc="C8144AD8">
      <w:numFmt w:val="bullet"/>
      <w:lvlText w:val="-"/>
      <w:lvlJc w:val="left"/>
      <w:pPr>
        <w:ind w:left="2160" w:hanging="360"/>
      </w:pPr>
      <w:rPr>
        <w:rFonts w:ascii="Times New Roman" w:eastAsia="宋体"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37492283"/>
    <w:multiLevelType w:val="hybridMultilevel"/>
    <w:tmpl w:val="67E63EFE"/>
    <w:lvl w:ilvl="0" w:tplc="FD2E98E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B0DD1"/>
    <w:multiLevelType w:val="multilevel"/>
    <w:tmpl w:val="446B0DD1"/>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955E43"/>
    <w:multiLevelType w:val="hybridMultilevel"/>
    <w:tmpl w:val="03B48386"/>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58D41F44">
      <w:start w:val="1"/>
      <w:numFmt w:val="bullet"/>
      <w:lvlText w:val="○"/>
      <w:lvlJc w:val="left"/>
      <w:pPr>
        <w:ind w:left="2000" w:hanging="400"/>
      </w:pPr>
      <w:rPr>
        <w:rFonts w:ascii="Arial" w:hAnsi="Arial"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1C0003D"/>
    <w:multiLevelType w:val="hybridMultilevel"/>
    <w:tmpl w:val="A3EAE52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857A0B"/>
    <w:multiLevelType w:val="hybridMultilevel"/>
    <w:tmpl w:val="94728438"/>
    <w:lvl w:ilvl="0" w:tplc="FD2E98E2">
      <w:numFmt w:val="bullet"/>
      <w:lvlText w:val="-"/>
      <w:lvlJc w:val="left"/>
      <w:pPr>
        <w:ind w:left="1215" w:hanging="360"/>
      </w:pPr>
      <w:rPr>
        <w:rFonts w:ascii="Arial" w:eastAsia="宋体" w:hAnsi="Arial" w:cs="Aria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3"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CA0956"/>
    <w:multiLevelType w:val="hybridMultilevel"/>
    <w:tmpl w:val="98103204"/>
    <w:lvl w:ilvl="0" w:tplc="7DD614F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CD329D"/>
    <w:multiLevelType w:val="hybridMultilevel"/>
    <w:tmpl w:val="D88AA86E"/>
    <w:lvl w:ilvl="0" w:tplc="1DAA71A4">
      <w:start w:val="1"/>
      <w:numFmt w:val="bullet"/>
      <w:lvlText w:val=""/>
      <w:lvlJc w:val="left"/>
      <w:pPr>
        <w:tabs>
          <w:tab w:val="num" w:pos="720"/>
        </w:tabs>
        <w:ind w:left="720" w:hanging="360"/>
      </w:pPr>
      <w:rPr>
        <w:rFonts w:ascii="Wingdings" w:hAnsi="Wingdings" w:hint="default"/>
      </w:rPr>
    </w:lvl>
    <w:lvl w:ilvl="1" w:tplc="2CB2F364" w:tentative="1">
      <w:start w:val="1"/>
      <w:numFmt w:val="bullet"/>
      <w:lvlText w:val=""/>
      <w:lvlJc w:val="left"/>
      <w:pPr>
        <w:tabs>
          <w:tab w:val="num" w:pos="1440"/>
        </w:tabs>
        <w:ind w:left="1440" w:hanging="360"/>
      </w:pPr>
      <w:rPr>
        <w:rFonts w:ascii="Wingdings" w:hAnsi="Wingdings" w:hint="default"/>
      </w:rPr>
    </w:lvl>
    <w:lvl w:ilvl="2" w:tplc="D4BE3DAC" w:tentative="1">
      <w:start w:val="1"/>
      <w:numFmt w:val="bullet"/>
      <w:lvlText w:val=""/>
      <w:lvlJc w:val="left"/>
      <w:pPr>
        <w:tabs>
          <w:tab w:val="num" w:pos="2160"/>
        </w:tabs>
        <w:ind w:left="2160" w:hanging="360"/>
      </w:pPr>
      <w:rPr>
        <w:rFonts w:ascii="Wingdings" w:hAnsi="Wingdings" w:hint="default"/>
      </w:rPr>
    </w:lvl>
    <w:lvl w:ilvl="3" w:tplc="77264782">
      <w:start w:val="1"/>
      <w:numFmt w:val="bullet"/>
      <w:lvlText w:val=""/>
      <w:lvlJc w:val="left"/>
      <w:pPr>
        <w:tabs>
          <w:tab w:val="num" w:pos="2880"/>
        </w:tabs>
        <w:ind w:left="2880" w:hanging="360"/>
      </w:pPr>
      <w:rPr>
        <w:rFonts w:ascii="Wingdings" w:hAnsi="Wingdings" w:hint="default"/>
      </w:rPr>
    </w:lvl>
    <w:lvl w:ilvl="4" w:tplc="A47A45F2" w:tentative="1">
      <w:start w:val="1"/>
      <w:numFmt w:val="bullet"/>
      <w:lvlText w:val=""/>
      <w:lvlJc w:val="left"/>
      <w:pPr>
        <w:tabs>
          <w:tab w:val="num" w:pos="3600"/>
        </w:tabs>
        <w:ind w:left="3600" w:hanging="360"/>
      </w:pPr>
      <w:rPr>
        <w:rFonts w:ascii="Wingdings" w:hAnsi="Wingdings" w:hint="default"/>
      </w:rPr>
    </w:lvl>
    <w:lvl w:ilvl="5" w:tplc="ACAE0B9E" w:tentative="1">
      <w:start w:val="1"/>
      <w:numFmt w:val="bullet"/>
      <w:lvlText w:val=""/>
      <w:lvlJc w:val="left"/>
      <w:pPr>
        <w:tabs>
          <w:tab w:val="num" w:pos="4320"/>
        </w:tabs>
        <w:ind w:left="4320" w:hanging="360"/>
      </w:pPr>
      <w:rPr>
        <w:rFonts w:ascii="Wingdings" w:hAnsi="Wingdings" w:hint="default"/>
      </w:rPr>
    </w:lvl>
    <w:lvl w:ilvl="6" w:tplc="FCC49772" w:tentative="1">
      <w:start w:val="1"/>
      <w:numFmt w:val="bullet"/>
      <w:lvlText w:val=""/>
      <w:lvlJc w:val="left"/>
      <w:pPr>
        <w:tabs>
          <w:tab w:val="num" w:pos="5040"/>
        </w:tabs>
        <w:ind w:left="5040" w:hanging="360"/>
      </w:pPr>
      <w:rPr>
        <w:rFonts w:ascii="Wingdings" w:hAnsi="Wingdings" w:hint="default"/>
      </w:rPr>
    </w:lvl>
    <w:lvl w:ilvl="7" w:tplc="9C305D8E" w:tentative="1">
      <w:start w:val="1"/>
      <w:numFmt w:val="bullet"/>
      <w:lvlText w:val=""/>
      <w:lvlJc w:val="left"/>
      <w:pPr>
        <w:tabs>
          <w:tab w:val="num" w:pos="5760"/>
        </w:tabs>
        <w:ind w:left="5760" w:hanging="360"/>
      </w:pPr>
      <w:rPr>
        <w:rFonts w:ascii="Wingdings" w:hAnsi="Wingdings" w:hint="default"/>
      </w:rPr>
    </w:lvl>
    <w:lvl w:ilvl="8" w:tplc="93E2E84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CB22B27"/>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760"/>
        </w:tabs>
        <w:ind w:left="760" w:hanging="360"/>
      </w:pPr>
      <w:rPr>
        <w:rFonts w:ascii="Symbol" w:hAnsi="Symbol" w:hint="default"/>
        <w:b/>
        <w:i w:val="0"/>
        <w:color w:val="auto"/>
        <w:sz w:val="22"/>
      </w:rPr>
    </w:lvl>
    <w:lvl w:ilvl="1" w:tplc="04090003">
      <w:start w:val="1"/>
      <w:numFmt w:val="bullet"/>
      <w:lvlText w:val="o"/>
      <w:lvlJc w:val="left"/>
      <w:pPr>
        <w:tabs>
          <w:tab w:val="num" w:pos="581"/>
        </w:tabs>
        <w:ind w:left="581" w:hanging="360"/>
      </w:pPr>
      <w:rPr>
        <w:rFonts w:ascii="Courier New" w:hAnsi="Courier New" w:cs="Courier New" w:hint="default"/>
      </w:rPr>
    </w:lvl>
    <w:lvl w:ilvl="2" w:tplc="04090005">
      <w:start w:val="1"/>
      <w:numFmt w:val="bullet"/>
      <w:lvlText w:val=""/>
      <w:lvlJc w:val="left"/>
      <w:pPr>
        <w:tabs>
          <w:tab w:val="num" w:pos="1301"/>
        </w:tabs>
        <w:ind w:left="1301" w:hanging="360"/>
      </w:pPr>
      <w:rPr>
        <w:rFonts w:ascii="Wingdings" w:hAnsi="Wingdings" w:hint="default"/>
      </w:rPr>
    </w:lvl>
    <w:lvl w:ilvl="3" w:tplc="04090001">
      <w:start w:val="1"/>
      <w:numFmt w:val="bullet"/>
      <w:lvlText w:val=""/>
      <w:lvlJc w:val="left"/>
      <w:pPr>
        <w:tabs>
          <w:tab w:val="num" w:pos="2021"/>
        </w:tabs>
        <w:ind w:left="2021" w:hanging="360"/>
      </w:pPr>
      <w:rPr>
        <w:rFonts w:ascii="Symbol" w:hAnsi="Symbol" w:hint="default"/>
      </w:rPr>
    </w:lvl>
    <w:lvl w:ilvl="4" w:tplc="04090003">
      <w:start w:val="1"/>
      <w:numFmt w:val="bullet"/>
      <w:lvlText w:val="o"/>
      <w:lvlJc w:val="left"/>
      <w:pPr>
        <w:tabs>
          <w:tab w:val="num" w:pos="2741"/>
        </w:tabs>
        <w:ind w:left="2741" w:hanging="360"/>
      </w:pPr>
      <w:rPr>
        <w:rFonts w:ascii="Courier New" w:hAnsi="Courier New" w:cs="Courier New" w:hint="default"/>
      </w:rPr>
    </w:lvl>
    <w:lvl w:ilvl="5" w:tplc="04090005">
      <w:start w:val="1"/>
      <w:numFmt w:val="bullet"/>
      <w:lvlText w:val=""/>
      <w:lvlJc w:val="left"/>
      <w:pPr>
        <w:tabs>
          <w:tab w:val="num" w:pos="3461"/>
        </w:tabs>
        <w:ind w:left="3461" w:hanging="360"/>
      </w:pPr>
      <w:rPr>
        <w:rFonts w:ascii="Wingdings" w:hAnsi="Wingdings" w:hint="default"/>
      </w:rPr>
    </w:lvl>
    <w:lvl w:ilvl="6" w:tplc="04090001">
      <w:start w:val="1"/>
      <w:numFmt w:val="bullet"/>
      <w:lvlText w:val=""/>
      <w:lvlJc w:val="left"/>
      <w:pPr>
        <w:tabs>
          <w:tab w:val="num" w:pos="4181"/>
        </w:tabs>
        <w:ind w:left="4181" w:hanging="360"/>
      </w:pPr>
      <w:rPr>
        <w:rFonts w:ascii="Symbol" w:hAnsi="Symbol" w:hint="default"/>
      </w:rPr>
    </w:lvl>
    <w:lvl w:ilvl="7" w:tplc="04090003">
      <w:start w:val="1"/>
      <w:numFmt w:val="bullet"/>
      <w:lvlText w:val="o"/>
      <w:lvlJc w:val="left"/>
      <w:pPr>
        <w:tabs>
          <w:tab w:val="num" w:pos="4901"/>
        </w:tabs>
        <w:ind w:left="4901" w:hanging="360"/>
      </w:pPr>
      <w:rPr>
        <w:rFonts w:ascii="Courier New" w:hAnsi="Courier New" w:cs="Courier New" w:hint="default"/>
      </w:rPr>
    </w:lvl>
    <w:lvl w:ilvl="8" w:tplc="04090005">
      <w:start w:val="1"/>
      <w:numFmt w:val="bullet"/>
      <w:lvlText w:val=""/>
      <w:lvlJc w:val="left"/>
      <w:pPr>
        <w:tabs>
          <w:tab w:val="num" w:pos="5621"/>
        </w:tabs>
        <w:ind w:left="5621" w:hanging="360"/>
      </w:pPr>
      <w:rPr>
        <w:rFonts w:ascii="Wingdings" w:hAnsi="Wingdings" w:hint="default"/>
      </w:rPr>
    </w:lvl>
  </w:abstractNum>
  <w:abstractNum w:abstractNumId="33"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91E3CEA"/>
    <w:multiLevelType w:val="hybridMultilevel"/>
    <w:tmpl w:val="2696A71E"/>
    <w:lvl w:ilvl="0" w:tplc="D8F2763A">
      <w:start w:val="1"/>
      <w:numFmt w:val="decimal"/>
      <w:lvlText w:val="[%1]"/>
      <w:lvlJc w:val="left"/>
      <w:pPr>
        <w:ind w:left="522" w:hanging="420"/>
      </w:pPr>
      <w:rPr>
        <w:rFonts w:hint="eastAsia"/>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5"/>
  </w:num>
  <w:num w:numId="2">
    <w:abstractNumId w:val="30"/>
  </w:num>
  <w:num w:numId="3">
    <w:abstractNumId w:val="2"/>
  </w:num>
  <w:num w:numId="4">
    <w:abstractNumId w:val="4"/>
  </w:num>
  <w:num w:numId="5">
    <w:abstractNumId w:val="27"/>
  </w:num>
  <w:num w:numId="6">
    <w:abstractNumId w:val="7"/>
  </w:num>
  <w:num w:numId="7">
    <w:abstractNumId w:val="13"/>
  </w:num>
  <w:num w:numId="8">
    <w:abstractNumId w:val="6"/>
  </w:num>
  <w:num w:numId="9">
    <w:abstractNumId w:val="5"/>
  </w:num>
  <w:num w:numId="10">
    <w:abstractNumId w:val="33"/>
  </w:num>
  <w:num w:numId="11">
    <w:abstractNumId w:val="20"/>
  </w:num>
  <w:num w:numId="12">
    <w:abstractNumId w:val="16"/>
  </w:num>
  <w:num w:numId="13">
    <w:abstractNumId w:val="8"/>
  </w:num>
  <w:num w:numId="14">
    <w:abstractNumId w:val="22"/>
  </w:num>
  <w:num w:numId="15">
    <w:abstractNumId w:val="32"/>
  </w:num>
  <w:num w:numId="16">
    <w:abstractNumId w:val="34"/>
  </w:num>
  <w:num w:numId="17">
    <w:abstractNumId w:val="16"/>
  </w:num>
  <w:num w:numId="18">
    <w:abstractNumId w:val="11"/>
  </w:num>
  <w:num w:numId="19">
    <w:abstractNumId w:val="31"/>
  </w:num>
  <w:num w:numId="20">
    <w:abstractNumId w:val="30"/>
  </w:num>
  <w:num w:numId="21">
    <w:abstractNumId w:val="30"/>
  </w:num>
  <w:num w:numId="22">
    <w:abstractNumId w:val="30"/>
  </w:num>
  <w:num w:numId="23">
    <w:abstractNumId w:val="25"/>
  </w:num>
  <w:num w:numId="24">
    <w:abstractNumId w:val="23"/>
  </w:num>
  <w:num w:numId="25">
    <w:abstractNumId w:val="14"/>
  </w:num>
  <w:num w:numId="26">
    <w:abstractNumId w:val="10"/>
  </w:num>
  <w:num w:numId="27">
    <w:abstractNumId w:val="9"/>
  </w:num>
  <w:num w:numId="28">
    <w:abstractNumId w:val="18"/>
  </w:num>
  <w:num w:numId="29">
    <w:abstractNumId w:val="19"/>
  </w:num>
  <w:num w:numId="30">
    <w:abstractNumId w:val="17"/>
  </w:num>
  <w:num w:numId="31">
    <w:abstractNumId w:val="0"/>
  </w:num>
  <w:num w:numId="32">
    <w:abstractNumId w:val="1"/>
  </w:num>
  <w:num w:numId="33">
    <w:abstractNumId w:val="12"/>
  </w:num>
  <w:num w:numId="34">
    <w:abstractNumId w:val="28"/>
  </w:num>
  <w:num w:numId="35">
    <w:abstractNumId w:val="29"/>
  </w:num>
  <w:num w:numId="36">
    <w:abstractNumId w:val="3"/>
  </w:num>
  <w:num w:numId="37">
    <w:abstractNumId w:val="30"/>
  </w:num>
  <w:num w:numId="38">
    <w:abstractNumId w:val="24"/>
  </w:num>
  <w:num w:numId="39">
    <w:abstractNumId w:val="26"/>
  </w:num>
  <w:num w:numId="40">
    <w:abstractNumId w:val="30"/>
  </w:num>
  <w:num w:numId="41">
    <w:abstractNumId w:val="15"/>
  </w:num>
  <w:num w:numId="4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9E3"/>
    <w:rsid w:val="0000145B"/>
    <w:rsid w:val="0000274F"/>
    <w:rsid w:val="0000444B"/>
    <w:rsid w:val="000060CC"/>
    <w:rsid w:val="000060E2"/>
    <w:rsid w:val="000102ED"/>
    <w:rsid w:val="0001120F"/>
    <w:rsid w:val="00013C25"/>
    <w:rsid w:val="00014CC4"/>
    <w:rsid w:val="000158D6"/>
    <w:rsid w:val="00020301"/>
    <w:rsid w:val="00020729"/>
    <w:rsid w:val="00021151"/>
    <w:rsid w:val="00023302"/>
    <w:rsid w:val="00023808"/>
    <w:rsid w:val="000239E0"/>
    <w:rsid w:val="00025243"/>
    <w:rsid w:val="00025DBA"/>
    <w:rsid w:val="0003171A"/>
    <w:rsid w:val="000320E1"/>
    <w:rsid w:val="00032C5C"/>
    <w:rsid w:val="000333B2"/>
    <w:rsid w:val="0003733B"/>
    <w:rsid w:val="000408FD"/>
    <w:rsid w:val="000418EA"/>
    <w:rsid w:val="000428D0"/>
    <w:rsid w:val="00042930"/>
    <w:rsid w:val="00043C3B"/>
    <w:rsid w:val="000442C4"/>
    <w:rsid w:val="00044ED2"/>
    <w:rsid w:val="00045E67"/>
    <w:rsid w:val="0005061F"/>
    <w:rsid w:val="0005076C"/>
    <w:rsid w:val="000508A7"/>
    <w:rsid w:val="0005095E"/>
    <w:rsid w:val="00051376"/>
    <w:rsid w:val="00053447"/>
    <w:rsid w:val="000535E2"/>
    <w:rsid w:val="00053BC9"/>
    <w:rsid w:val="00056212"/>
    <w:rsid w:val="00057952"/>
    <w:rsid w:val="00057F6F"/>
    <w:rsid w:val="00060C84"/>
    <w:rsid w:val="000614EC"/>
    <w:rsid w:val="0006191D"/>
    <w:rsid w:val="00062736"/>
    <w:rsid w:val="00063125"/>
    <w:rsid w:val="00064963"/>
    <w:rsid w:val="00064C76"/>
    <w:rsid w:val="0006670A"/>
    <w:rsid w:val="0007262D"/>
    <w:rsid w:val="0008028F"/>
    <w:rsid w:val="00084BED"/>
    <w:rsid w:val="00086916"/>
    <w:rsid w:val="000876E6"/>
    <w:rsid w:val="00090425"/>
    <w:rsid w:val="00091868"/>
    <w:rsid w:val="000920C0"/>
    <w:rsid w:val="00092F85"/>
    <w:rsid w:val="0009363D"/>
    <w:rsid w:val="00094088"/>
    <w:rsid w:val="000954F4"/>
    <w:rsid w:val="00096493"/>
    <w:rsid w:val="000971C2"/>
    <w:rsid w:val="0009763E"/>
    <w:rsid w:val="000A0A16"/>
    <w:rsid w:val="000A0D96"/>
    <w:rsid w:val="000A178F"/>
    <w:rsid w:val="000A2768"/>
    <w:rsid w:val="000A2CD0"/>
    <w:rsid w:val="000A4E4A"/>
    <w:rsid w:val="000B0877"/>
    <w:rsid w:val="000B3FB6"/>
    <w:rsid w:val="000B4039"/>
    <w:rsid w:val="000B5B4C"/>
    <w:rsid w:val="000C1C05"/>
    <w:rsid w:val="000C207E"/>
    <w:rsid w:val="000C2105"/>
    <w:rsid w:val="000C4BEE"/>
    <w:rsid w:val="000C5254"/>
    <w:rsid w:val="000C5C23"/>
    <w:rsid w:val="000C6DA0"/>
    <w:rsid w:val="000D09B9"/>
    <w:rsid w:val="000D0F88"/>
    <w:rsid w:val="000D13D1"/>
    <w:rsid w:val="000D19E3"/>
    <w:rsid w:val="000D25CC"/>
    <w:rsid w:val="000D2DC0"/>
    <w:rsid w:val="000D3502"/>
    <w:rsid w:val="000D582B"/>
    <w:rsid w:val="000D7065"/>
    <w:rsid w:val="000E032E"/>
    <w:rsid w:val="000E1C54"/>
    <w:rsid w:val="000E7060"/>
    <w:rsid w:val="000E796F"/>
    <w:rsid w:val="000E7E4B"/>
    <w:rsid w:val="000F0686"/>
    <w:rsid w:val="000F16BF"/>
    <w:rsid w:val="000F360B"/>
    <w:rsid w:val="000F4A14"/>
    <w:rsid w:val="000F4A98"/>
    <w:rsid w:val="000F4DF4"/>
    <w:rsid w:val="000F4E8C"/>
    <w:rsid w:val="000F5398"/>
    <w:rsid w:val="000F72E4"/>
    <w:rsid w:val="0010016B"/>
    <w:rsid w:val="00101C9D"/>
    <w:rsid w:val="00101FFB"/>
    <w:rsid w:val="0010205D"/>
    <w:rsid w:val="00104AE6"/>
    <w:rsid w:val="0010501C"/>
    <w:rsid w:val="001079E4"/>
    <w:rsid w:val="00112A48"/>
    <w:rsid w:val="00112B89"/>
    <w:rsid w:val="00113126"/>
    <w:rsid w:val="00115992"/>
    <w:rsid w:val="00117369"/>
    <w:rsid w:val="00117BD7"/>
    <w:rsid w:val="00121017"/>
    <w:rsid w:val="0012197D"/>
    <w:rsid w:val="001241FA"/>
    <w:rsid w:val="00125352"/>
    <w:rsid w:val="00127E3F"/>
    <w:rsid w:val="00134C51"/>
    <w:rsid w:val="001351F3"/>
    <w:rsid w:val="00136A95"/>
    <w:rsid w:val="00143F02"/>
    <w:rsid w:val="00144858"/>
    <w:rsid w:val="00144FC6"/>
    <w:rsid w:val="001469E0"/>
    <w:rsid w:val="0015149A"/>
    <w:rsid w:val="001518B2"/>
    <w:rsid w:val="001537C8"/>
    <w:rsid w:val="00153B61"/>
    <w:rsid w:val="00157CD5"/>
    <w:rsid w:val="001602AB"/>
    <w:rsid w:val="001602BC"/>
    <w:rsid w:val="00160801"/>
    <w:rsid w:val="00161A83"/>
    <w:rsid w:val="00161D37"/>
    <w:rsid w:val="001629C2"/>
    <w:rsid w:val="00167638"/>
    <w:rsid w:val="001678F0"/>
    <w:rsid w:val="001679C8"/>
    <w:rsid w:val="00170201"/>
    <w:rsid w:val="00172C7E"/>
    <w:rsid w:val="00173DD2"/>
    <w:rsid w:val="0017413A"/>
    <w:rsid w:val="001753D1"/>
    <w:rsid w:val="001760F0"/>
    <w:rsid w:val="001811AD"/>
    <w:rsid w:val="00181359"/>
    <w:rsid w:val="001819AD"/>
    <w:rsid w:val="00183618"/>
    <w:rsid w:val="001848BE"/>
    <w:rsid w:val="0018636C"/>
    <w:rsid w:val="001923D5"/>
    <w:rsid w:val="0019378C"/>
    <w:rsid w:val="00193C03"/>
    <w:rsid w:val="00194BCF"/>
    <w:rsid w:val="00197053"/>
    <w:rsid w:val="001A10F2"/>
    <w:rsid w:val="001A1994"/>
    <w:rsid w:val="001A1F94"/>
    <w:rsid w:val="001A206E"/>
    <w:rsid w:val="001A3C96"/>
    <w:rsid w:val="001A7220"/>
    <w:rsid w:val="001A7E51"/>
    <w:rsid w:val="001B109B"/>
    <w:rsid w:val="001B2F11"/>
    <w:rsid w:val="001B30C4"/>
    <w:rsid w:val="001B4BC9"/>
    <w:rsid w:val="001C0968"/>
    <w:rsid w:val="001C0FDA"/>
    <w:rsid w:val="001C4C8C"/>
    <w:rsid w:val="001C5D0C"/>
    <w:rsid w:val="001C5FA8"/>
    <w:rsid w:val="001C6939"/>
    <w:rsid w:val="001D07D4"/>
    <w:rsid w:val="001D0F02"/>
    <w:rsid w:val="001D1328"/>
    <w:rsid w:val="001D3CE2"/>
    <w:rsid w:val="001D439F"/>
    <w:rsid w:val="001D5B92"/>
    <w:rsid w:val="001D7B6F"/>
    <w:rsid w:val="001D7E64"/>
    <w:rsid w:val="001D7FEA"/>
    <w:rsid w:val="001E0075"/>
    <w:rsid w:val="001E236B"/>
    <w:rsid w:val="001F2BB5"/>
    <w:rsid w:val="001F4785"/>
    <w:rsid w:val="001F4A04"/>
    <w:rsid w:val="001F671D"/>
    <w:rsid w:val="001F7A6C"/>
    <w:rsid w:val="001F7E12"/>
    <w:rsid w:val="00200EC7"/>
    <w:rsid w:val="002010DC"/>
    <w:rsid w:val="002018DC"/>
    <w:rsid w:val="00201EAD"/>
    <w:rsid w:val="002025C3"/>
    <w:rsid w:val="00203F19"/>
    <w:rsid w:val="00205363"/>
    <w:rsid w:val="00211539"/>
    <w:rsid w:val="00211DC3"/>
    <w:rsid w:val="00212D2D"/>
    <w:rsid w:val="00214B4F"/>
    <w:rsid w:val="002159F6"/>
    <w:rsid w:val="0021610D"/>
    <w:rsid w:val="00216FEB"/>
    <w:rsid w:val="00221E30"/>
    <w:rsid w:val="00221F02"/>
    <w:rsid w:val="0022218D"/>
    <w:rsid w:val="00223C06"/>
    <w:rsid w:val="00225091"/>
    <w:rsid w:val="0022599F"/>
    <w:rsid w:val="00231D0C"/>
    <w:rsid w:val="002332A8"/>
    <w:rsid w:val="0023696F"/>
    <w:rsid w:val="00236C6B"/>
    <w:rsid w:val="002406DD"/>
    <w:rsid w:val="00240B07"/>
    <w:rsid w:val="002434A5"/>
    <w:rsid w:val="00246C97"/>
    <w:rsid w:val="00247303"/>
    <w:rsid w:val="00247420"/>
    <w:rsid w:val="002524BF"/>
    <w:rsid w:val="00257984"/>
    <w:rsid w:val="002622B4"/>
    <w:rsid w:val="00263BB9"/>
    <w:rsid w:val="00265D2D"/>
    <w:rsid w:val="002663F7"/>
    <w:rsid w:val="00267AEA"/>
    <w:rsid w:val="00270C00"/>
    <w:rsid w:val="002718FB"/>
    <w:rsid w:val="002723D7"/>
    <w:rsid w:val="0027387D"/>
    <w:rsid w:val="0027487B"/>
    <w:rsid w:val="00275CE2"/>
    <w:rsid w:val="0027644F"/>
    <w:rsid w:val="002774FA"/>
    <w:rsid w:val="00277F1D"/>
    <w:rsid w:val="002810F2"/>
    <w:rsid w:val="00281FF3"/>
    <w:rsid w:val="00283B92"/>
    <w:rsid w:val="002843CE"/>
    <w:rsid w:val="00285411"/>
    <w:rsid w:val="0028598C"/>
    <w:rsid w:val="0028695F"/>
    <w:rsid w:val="00286A0E"/>
    <w:rsid w:val="0028702C"/>
    <w:rsid w:val="0028716D"/>
    <w:rsid w:val="002876D3"/>
    <w:rsid w:val="002900E7"/>
    <w:rsid w:val="00290761"/>
    <w:rsid w:val="002908D0"/>
    <w:rsid w:val="002915DC"/>
    <w:rsid w:val="00291E3C"/>
    <w:rsid w:val="00292310"/>
    <w:rsid w:val="002930DD"/>
    <w:rsid w:val="00297841"/>
    <w:rsid w:val="002A0933"/>
    <w:rsid w:val="002A0A1D"/>
    <w:rsid w:val="002A0B7D"/>
    <w:rsid w:val="002A2BB6"/>
    <w:rsid w:val="002A421E"/>
    <w:rsid w:val="002A4E2B"/>
    <w:rsid w:val="002A688F"/>
    <w:rsid w:val="002B06C5"/>
    <w:rsid w:val="002B1AD7"/>
    <w:rsid w:val="002B21A2"/>
    <w:rsid w:val="002C5E07"/>
    <w:rsid w:val="002C5FC1"/>
    <w:rsid w:val="002C6324"/>
    <w:rsid w:val="002D0037"/>
    <w:rsid w:val="002D02F6"/>
    <w:rsid w:val="002D0611"/>
    <w:rsid w:val="002D1216"/>
    <w:rsid w:val="002E0FD0"/>
    <w:rsid w:val="002E1400"/>
    <w:rsid w:val="002E147F"/>
    <w:rsid w:val="002E1664"/>
    <w:rsid w:val="002E3625"/>
    <w:rsid w:val="002E3A10"/>
    <w:rsid w:val="002E3D53"/>
    <w:rsid w:val="002E4080"/>
    <w:rsid w:val="002E58C3"/>
    <w:rsid w:val="002E59F3"/>
    <w:rsid w:val="002E62BB"/>
    <w:rsid w:val="002E6505"/>
    <w:rsid w:val="002F042C"/>
    <w:rsid w:val="002F0720"/>
    <w:rsid w:val="002F32F1"/>
    <w:rsid w:val="002F44D2"/>
    <w:rsid w:val="002F50A8"/>
    <w:rsid w:val="002F5781"/>
    <w:rsid w:val="002F6344"/>
    <w:rsid w:val="002F70E4"/>
    <w:rsid w:val="002F7657"/>
    <w:rsid w:val="00302100"/>
    <w:rsid w:val="00302B49"/>
    <w:rsid w:val="00302B59"/>
    <w:rsid w:val="00302CC8"/>
    <w:rsid w:val="0030359E"/>
    <w:rsid w:val="00303BF5"/>
    <w:rsid w:val="00304864"/>
    <w:rsid w:val="0030548E"/>
    <w:rsid w:val="00312753"/>
    <w:rsid w:val="003143A0"/>
    <w:rsid w:val="003167F6"/>
    <w:rsid w:val="00316D1B"/>
    <w:rsid w:val="00317A3F"/>
    <w:rsid w:val="00320E96"/>
    <w:rsid w:val="00321962"/>
    <w:rsid w:val="00321A0F"/>
    <w:rsid w:val="00326A7F"/>
    <w:rsid w:val="003273E3"/>
    <w:rsid w:val="003333C7"/>
    <w:rsid w:val="003348BE"/>
    <w:rsid w:val="00335853"/>
    <w:rsid w:val="00335D41"/>
    <w:rsid w:val="003366BD"/>
    <w:rsid w:val="003421B1"/>
    <w:rsid w:val="00343B9C"/>
    <w:rsid w:val="00343D8F"/>
    <w:rsid w:val="00343EAA"/>
    <w:rsid w:val="003444EF"/>
    <w:rsid w:val="00345280"/>
    <w:rsid w:val="0034596D"/>
    <w:rsid w:val="0034619A"/>
    <w:rsid w:val="00346B64"/>
    <w:rsid w:val="00346F2E"/>
    <w:rsid w:val="00354C54"/>
    <w:rsid w:val="003550A8"/>
    <w:rsid w:val="00357F5D"/>
    <w:rsid w:val="0036256A"/>
    <w:rsid w:val="003643C3"/>
    <w:rsid w:val="00364C97"/>
    <w:rsid w:val="0036510B"/>
    <w:rsid w:val="003677AE"/>
    <w:rsid w:val="00367881"/>
    <w:rsid w:val="00367B4F"/>
    <w:rsid w:val="003729D8"/>
    <w:rsid w:val="0037339E"/>
    <w:rsid w:val="00373E30"/>
    <w:rsid w:val="003779C1"/>
    <w:rsid w:val="00382085"/>
    <w:rsid w:val="0038439C"/>
    <w:rsid w:val="00385304"/>
    <w:rsid w:val="00386180"/>
    <w:rsid w:val="0038667A"/>
    <w:rsid w:val="00386B00"/>
    <w:rsid w:val="00387E61"/>
    <w:rsid w:val="00390A79"/>
    <w:rsid w:val="00390F29"/>
    <w:rsid w:val="00391617"/>
    <w:rsid w:val="003973B3"/>
    <w:rsid w:val="0039756F"/>
    <w:rsid w:val="003A00EC"/>
    <w:rsid w:val="003A05B8"/>
    <w:rsid w:val="003A0C9E"/>
    <w:rsid w:val="003A18E7"/>
    <w:rsid w:val="003A30B9"/>
    <w:rsid w:val="003A38AD"/>
    <w:rsid w:val="003A3B9E"/>
    <w:rsid w:val="003A4119"/>
    <w:rsid w:val="003A553C"/>
    <w:rsid w:val="003A77D7"/>
    <w:rsid w:val="003B062A"/>
    <w:rsid w:val="003B7AC9"/>
    <w:rsid w:val="003C16FF"/>
    <w:rsid w:val="003C22D4"/>
    <w:rsid w:val="003C39AC"/>
    <w:rsid w:val="003C42F3"/>
    <w:rsid w:val="003C6204"/>
    <w:rsid w:val="003C66CD"/>
    <w:rsid w:val="003C67DB"/>
    <w:rsid w:val="003C6DA1"/>
    <w:rsid w:val="003C707F"/>
    <w:rsid w:val="003D0297"/>
    <w:rsid w:val="003D0F54"/>
    <w:rsid w:val="003D1395"/>
    <w:rsid w:val="003D2681"/>
    <w:rsid w:val="003D5852"/>
    <w:rsid w:val="003D6340"/>
    <w:rsid w:val="003D79D1"/>
    <w:rsid w:val="003E0842"/>
    <w:rsid w:val="003E0DAA"/>
    <w:rsid w:val="003E293C"/>
    <w:rsid w:val="003E2985"/>
    <w:rsid w:val="003E32A2"/>
    <w:rsid w:val="003E4951"/>
    <w:rsid w:val="003F28C2"/>
    <w:rsid w:val="003F4BCB"/>
    <w:rsid w:val="003F4EC3"/>
    <w:rsid w:val="003F5918"/>
    <w:rsid w:val="003F6EFF"/>
    <w:rsid w:val="00400B05"/>
    <w:rsid w:val="00401B1E"/>
    <w:rsid w:val="00403301"/>
    <w:rsid w:val="00403814"/>
    <w:rsid w:val="00404C6B"/>
    <w:rsid w:val="0040530A"/>
    <w:rsid w:val="0040672C"/>
    <w:rsid w:val="004070A9"/>
    <w:rsid w:val="00410AA2"/>
    <w:rsid w:val="00411DF9"/>
    <w:rsid w:val="00414256"/>
    <w:rsid w:val="00414D15"/>
    <w:rsid w:val="00414D1E"/>
    <w:rsid w:val="00415752"/>
    <w:rsid w:val="00415F54"/>
    <w:rsid w:val="00417A33"/>
    <w:rsid w:val="004201D1"/>
    <w:rsid w:val="00424C76"/>
    <w:rsid w:val="00426887"/>
    <w:rsid w:val="00427B90"/>
    <w:rsid w:val="00427D55"/>
    <w:rsid w:val="00430578"/>
    <w:rsid w:val="0043098C"/>
    <w:rsid w:val="00430F8D"/>
    <w:rsid w:val="0043319A"/>
    <w:rsid w:val="0043407E"/>
    <w:rsid w:val="00434BAA"/>
    <w:rsid w:val="00436C9B"/>
    <w:rsid w:val="004373CE"/>
    <w:rsid w:val="00437A1E"/>
    <w:rsid w:val="004416B4"/>
    <w:rsid w:val="00442640"/>
    <w:rsid w:val="00443611"/>
    <w:rsid w:val="00443758"/>
    <w:rsid w:val="00446CA4"/>
    <w:rsid w:val="00447E79"/>
    <w:rsid w:val="004501C4"/>
    <w:rsid w:val="0045069D"/>
    <w:rsid w:val="004519E3"/>
    <w:rsid w:val="00453817"/>
    <w:rsid w:val="00453B69"/>
    <w:rsid w:val="00454AF1"/>
    <w:rsid w:val="00455FA7"/>
    <w:rsid w:val="00456093"/>
    <w:rsid w:val="00456B64"/>
    <w:rsid w:val="0046084E"/>
    <w:rsid w:val="004608DF"/>
    <w:rsid w:val="00464038"/>
    <w:rsid w:val="00464B4E"/>
    <w:rsid w:val="00464E24"/>
    <w:rsid w:val="00465EE6"/>
    <w:rsid w:val="00467B9A"/>
    <w:rsid w:val="00467BA7"/>
    <w:rsid w:val="00467FBB"/>
    <w:rsid w:val="00471D7E"/>
    <w:rsid w:val="00472859"/>
    <w:rsid w:val="004729BD"/>
    <w:rsid w:val="0047346E"/>
    <w:rsid w:val="004751FE"/>
    <w:rsid w:val="004759D8"/>
    <w:rsid w:val="00476014"/>
    <w:rsid w:val="00476F6A"/>
    <w:rsid w:val="00480E4D"/>
    <w:rsid w:val="0048172D"/>
    <w:rsid w:val="004825F5"/>
    <w:rsid w:val="004827E9"/>
    <w:rsid w:val="00491D86"/>
    <w:rsid w:val="00492A7E"/>
    <w:rsid w:val="00494A1F"/>
    <w:rsid w:val="00494C9A"/>
    <w:rsid w:val="00495498"/>
    <w:rsid w:val="00496569"/>
    <w:rsid w:val="00496803"/>
    <w:rsid w:val="004A3E18"/>
    <w:rsid w:val="004A7D6D"/>
    <w:rsid w:val="004B129D"/>
    <w:rsid w:val="004B16ED"/>
    <w:rsid w:val="004B3B8E"/>
    <w:rsid w:val="004C2B76"/>
    <w:rsid w:val="004C31B6"/>
    <w:rsid w:val="004C347C"/>
    <w:rsid w:val="004C4461"/>
    <w:rsid w:val="004C559D"/>
    <w:rsid w:val="004D0FE5"/>
    <w:rsid w:val="004D1BB2"/>
    <w:rsid w:val="004D33EE"/>
    <w:rsid w:val="004D37B0"/>
    <w:rsid w:val="004D3E62"/>
    <w:rsid w:val="004D4103"/>
    <w:rsid w:val="004D41CE"/>
    <w:rsid w:val="004E0876"/>
    <w:rsid w:val="004E4A0F"/>
    <w:rsid w:val="004E4BB7"/>
    <w:rsid w:val="004E4E46"/>
    <w:rsid w:val="004E66A0"/>
    <w:rsid w:val="004E77EF"/>
    <w:rsid w:val="004E7A14"/>
    <w:rsid w:val="004F2361"/>
    <w:rsid w:val="004F4303"/>
    <w:rsid w:val="004F4DAB"/>
    <w:rsid w:val="004F597B"/>
    <w:rsid w:val="004F720A"/>
    <w:rsid w:val="00500564"/>
    <w:rsid w:val="00500C5A"/>
    <w:rsid w:val="00500E41"/>
    <w:rsid w:val="00503EBE"/>
    <w:rsid w:val="00504112"/>
    <w:rsid w:val="00505BDC"/>
    <w:rsid w:val="00512615"/>
    <w:rsid w:val="0051324B"/>
    <w:rsid w:val="00515383"/>
    <w:rsid w:val="0051754D"/>
    <w:rsid w:val="00520C54"/>
    <w:rsid w:val="005214C4"/>
    <w:rsid w:val="00522296"/>
    <w:rsid w:val="005238FA"/>
    <w:rsid w:val="00523B0F"/>
    <w:rsid w:val="005253BF"/>
    <w:rsid w:val="00526241"/>
    <w:rsid w:val="005322B2"/>
    <w:rsid w:val="00533A5B"/>
    <w:rsid w:val="00536DAB"/>
    <w:rsid w:val="005373E5"/>
    <w:rsid w:val="00540B9F"/>
    <w:rsid w:val="005460C0"/>
    <w:rsid w:val="005471CA"/>
    <w:rsid w:val="005508B3"/>
    <w:rsid w:val="00550BD2"/>
    <w:rsid w:val="00552405"/>
    <w:rsid w:val="005544BC"/>
    <w:rsid w:val="00554946"/>
    <w:rsid w:val="005606F1"/>
    <w:rsid w:val="00560E0B"/>
    <w:rsid w:val="00571008"/>
    <w:rsid w:val="005711A7"/>
    <w:rsid w:val="005725E1"/>
    <w:rsid w:val="00573D03"/>
    <w:rsid w:val="005776E9"/>
    <w:rsid w:val="0058190E"/>
    <w:rsid w:val="00581E04"/>
    <w:rsid w:val="00582421"/>
    <w:rsid w:val="00586AA0"/>
    <w:rsid w:val="00586D25"/>
    <w:rsid w:val="005907BC"/>
    <w:rsid w:val="0059123A"/>
    <w:rsid w:val="005912ED"/>
    <w:rsid w:val="005918FF"/>
    <w:rsid w:val="00594798"/>
    <w:rsid w:val="00594BB3"/>
    <w:rsid w:val="0059534F"/>
    <w:rsid w:val="00595DEE"/>
    <w:rsid w:val="00595E68"/>
    <w:rsid w:val="005966DE"/>
    <w:rsid w:val="005967B4"/>
    <w:rsid w:val="00596972"/>
    <w:rsid w:val="00596DC5"/>
    <w:rsid w:val="005A1C1A"/>
    <w:rsid w:val="005A1D1D"/>
    <w:rsid w:val="005A2BDA"/>
    <w:rsid w:val="005A2D15"/>
    <w:rsid w:val="005A2D28"/>
    <w:rsid w:val="005A305B"/>
    <w:rsid w:val="005A6711"/>
    <w:rsid w:val="005A7D30"/>
    <w:rsid w:val="005B2D5B"/>
    <w:rsid w:val="005B39EE"/>
    <w:rsid w:val="005B3DCF"/>
    <w:rsid w:val="005B4CA6"/>
    <w:rsid w:val="005C0AD8"/>
    <w:rsid w:val="005C11EF"/>
    <w:rsid w:val="005C2130"/>
    <w:rsid w:val="005C2CD8"/>
    <w:rsid w:val="005C5376"/>
    <w:rsid w:val="005C594A"/>
    <w:rsid w:val="005C789C"/>
    <w:rsid w:val="005D2015"/>
    <w:rsid w:val="005D2163"/>
    <w:rsid w:val="005D5BBF"/>
    <w:rsid w:val="005D7AB5"/>
    <w:rsid w:val="005E045F"/>
    <w:rsid w:val="005E1674"/>
    <w:rsid w:val="005E1B0C"/>
    <w:rsid w:val="005E1F18"/>
    <w:rsid w:val="005E4BA2"/>
    <w:rsid w:val="005E7CA4"/>
    <w:rsid w:val="005E7FC8"/>
    <w:rsid w:val="005F073D"/>
    <w:rsid w:val="005F1150"/>
    <w:rsid w:val="005F5530"/>
    <w:rsid w:val="005F6CDD"/>
    <w:rsid w:val="00602500"/>
    <w:rsid w:val="00603812"/>
    <w:rsid w:val="00604F72"/>
    <w:rsid w:val="006067ED"/>
    <w:rsid w:val="00610991"/>
    <w:rsid w:val="0061176D"/>
    <w:rsid w:val="00612997"/>
    <w:rsid w:val="00613580"/>
    <w:rsid w:val="006151D9"/>
    <w:rsid w:val="00615EB6"/>
    <w:rsid w:val="006226BF"/>
    <w:rsid w:val="00624E91"/>
    <w:rsid w:val="0062583D"/>
    <w:rsid w:val="006259A1"/>
    <w:rsid w:val="00626296"/>
    <w:rsid w:val="006274D7"/>
    <w:rsid w:val="00627A8D"/>
    <w:rsid w:val="00630272"/>
    <w:rsid w:val="00632EF0"/>
    <w:rsid w:val="00633DA2"/>
    <w:rsid w:val="006343C3"/>
    <w:rsid w:val="00634B72"/>
    <w:rsid w:val="00635273"/>
    <w:rsid w:val="00637C84"/>
    <w:rsid w:val="00637F06"/>
    <w:rsid w:val="006401A9"/>
    <w:rsid w:val="006435C1"/>
    <w:rsid w:val="0064420C"/>
    <w:rsid w:val="00644E0B"/>
    <w:rsid w:val="0064526B"/>
    <w:rsid w:val="0064551B"/>
    <w:rsid w:val="00646A68"/>
    <w:rsid w:val="0064728E"/>
    <w:rsid w:val="00647ED5"/>
    <w:rsid w:val="00656397"/>
    <w:rsid w:val="00656F27"/>
    <w:rsid w:val="0066173A"/>
    <w:rsid w:val="00661CCB"/>
    <w:rsid w:val="006651AA"/>
    <w:rsid w:val="00666102"/>
    <w:rsid w:val="0066682D"/>
    <w:rsid w:val="006702E9"/>
    <w:rsid w:val="00672895"/>
    <w:rsid w:val="00672E4F"/>
    <w:rsid w:val="006750EF"/>
    <w:rsid w:val="00677591"/>
    <w:rsid w:val="006829B8"/>
    <w:rsid w:val="00683982"/>
    <w:rsid w:val="0068535C"/>
    <w:rsid w:val="00686127"/>
    <w:rsid w:val="00687A10"/>
    <w:rsid w:val="006905F6"/>
    <w:rsid w:val="006906B4"/>
    <w:rsid w:val="0069166E"/>
    <w:rsid w:val="00693CCF"/>
    <w:rsid w:val="00695346"/>
    <w:rsid w:val="006967F7"/>
    <w:rsid w:val="006A0557"/>
    <w:rsid w:val="006A0F53"/>
    <w:rsid w:val="006A17F9"/>
    <w:rsid w:val="006A3BD8"/>
    <w:rsid w:val="006A3BF3"/>
    <w:rsid w:val="006A6D37"/>
    <w:rsid w:val="006B23AC"/>
    <w:rsid w:val="006B3C4C"/>
    <w:rsid w:val="006B4284"/>
    <w:rsid w:val="006B4F69"/>
    <w:rsid w:val="006B539A"/>
    <w:rsid w:val="006B6FB4"/>
    <w:rsid w:val="006C1F6C"/>
    <w:rsid w:val="006C2D0C"/>
    <w:rsid w:val="006C337E"/>
    <w:rsid w:val="006C59D4"/>
    <w:rsid w:val="006C6AFF"/>
    <w:rsid w:val="006D1525"/>
    <w:rsid w:val="006D2B13"/>
    <w:rsid w:val="006D4E44"/>
    <w:rsid w:val="006D6AD4"/>
    <w:rsid w:val="006D765A"/>
    <w:rsid w:val="006E0F24"/>
    <w:rsid w:val="006E1B6A"/>
    <w:rsid w:val="006E3579"/>
    <w:rsid w:val="006E44A6"/>
    <w:rsid w:val="006E52B3"/>
    <w:rsid w:val="006F0243"/>
    <w:rsid w:val="006F0B60"/>
    <w:rsid w:val="006F0DC9"/>
    <w:rsid w:val="006F25EF"/>
    <w:rsid w:val="006F25FD"/>
    <w:rsid w:val="006F3900"/>
    <w:rsid w:val="006F41A3"/>
    <w:rsid w:val="006F6754"/>
    <w:rsid w:val="006F77D4"/>
    <w:rsid w:val="006F7A76"/>
    <w:rsid w:val="00700D2A"/>
    <w:rsid w:val="00700D67"/>
    <w:rsid w:val="00701176"/>
    <w:rsid w:val="00702E88"/>
    <w:rsid w:val="007051EE"/>
    <w:rsid w:val="00705AE7"/>
    <w:rsid w:val="0070633F"/>
    <w:rsid w:val="0071046C"/>
    <w:rsid w:val="0071143A"/>
    <w:rsid w:val="007122C4"/>
    <w:rsid w:val="00713438"/>
    <w:rsid w:val="00713B06"/>
    <w:rsid w:val="00714F74"/>
    <w:rsid w:val="0072073D"/>
    <w:rsid w:val="00720AF2"/>
    <w:rsid w:val="00721548"/>
    <w:rsid w:val="007226E0"/>
    <w:rsid w:val="00722952"/>
    <w:rsid w:val="007250B7"/>
    <w:rsid w:val="00725728"/>
    <w:rsid w:val="0072591E"/>
    <w:rsid w:val="00726CBD"/>
    <w:rsid w:val="007307EC"/>
    <w:rsid w:val="00734E3B"/>
    <w:rsid w:val="00736703"/>
    <w:rsid w:val="007411E8"/>
    <w:rsid w:val="00741648"/>
    <w:rsid w:val="007423DE"/>
    <w:rsid w:val="007427F3"/>
    <w:rsid w:val="007430E3"/>
    <w:rsid w:val="00746B70"/>
    <w:rsid w:val="00750484"/>
    <w:rsid w:val="007514C8"/>
    <w:rsid w:val="00751C43"/>
    <w:rsid w:val="007542DB"/>
    <w:rsid w:val="007578A8"/>
    <w:rsid w:val="00757F69"/>
    <w:rsid w:val="00760215"/>
    <w:rsid w:val="00760A3D"/>
    <w:rsid w:val="00761032"/>
    <w:rsid w:val="00761E06"/>
    <w:rsid w:val="00762807"/>
    <w:rsid w:val="00762C4E"/>
    <w:rsid w:val="00765A27"/>
    <w:rsid w:val="00766400"/>
    <w:rsid w:val="00766551"/>
    <w:rsid w:val="00771406"/>
    <w:rsid w:val="00771F24"/>
    <w:rsid w:val="00775525"/>
    <w:rsid w:val="00777826"/>
    <w:rsid w:val="00777C47"/>
    <w:rsid w:val="00777D53"/>
    <w:rsid w:val="00781AFA"/>
    <w:rsid w:val="00784851"/>
    <w:rsid w:val="00787558"/>
    <w:rsid w:val="00791752"/>
    <w:rsid w:val="007921BD"/>
    <w:rsid w:val="00792274"/>
    <w:rsid w:val="00792448"/>
    <w:rsid w:val="007950A8"/>
    <w:rsid w:val="00796582"/>
    <w:rsid w:val="007965E1"/>
    <w:rsid w:val="00797A17"/>
    <w:rsid w:val="007A0DE0"/>
    <w:rsid w:val="007A1679"/>
    <w:rsid w:val="007A22DF"/>
    <w:rsid w:val="007A795B"/>
    <w:rsid w:val="007B0CC9"/>
    <w:rsid w:val="007B103B"/>
    <w:rsid w:val="007B2388"/>
    <w:rsid w:val="007B3CC5"/>
    <w:rsid w:val="007B4DCB"/>
    <w:rsid w:val="007C29E9"/>
    <w:rsid w:val="007C4339"/>
    <w:rsid w:val="007C5C54"/>
    <w:rsid w:val="007C7DA8"/>
    <w:rsid w:val="007D59F8"/>
    <w:rsid w:val="007D6913"/>
    <w:rsid w:val="007D6D77"/>
    <w:rsid w:val="007E0366"/>
    <w:rsid w:val="007E08FF"/>
    <w:rsid w:val="007E2A6C"/>
    <w:rsid w:val="007E4FB4"/>
    <w:rsid w:val="007E53C9"/>
    <w:rsid w:val="007E5574"/>
    <w:rsid w:val="007E64FF"/>
    <w:rsid w:val="007E72FA"/>
    <w:rsid w:val="007E762B"/>
    <w:rsid w:val="007F2DB0"/>
    <w:rsid w:val="007F5B7A"/>
    <w:rsid w:val="007F6708"/>
    <w:rsid w:val="007F7764"/>
    <w:rsid w:val="007F7C10"/>
    <w:rsid w:val="00802E63"/>
    <w:rsid w:val="0080515B"/>
    <w:rsid w:val="00805EB0"/>
    <w:rsid w:val="00806AD7"/>
    <w:rsid w:val="00807A71"/>
    <w:rsid w:val="008118AE"/>
    <w:rsid w:val="008120F4"/>
    <w:rsid w:val="008129E7"/>
    <w:rsid w:val="00814542"/>
    <w:rsid w:val="00814DEA"/>
    <w:rsid w:val="00815D1F"/>
    <w:rsid w:val="00817220"/>
    <w:rsid w:val="00822127"/>
    <w:rsid w:val="00822213"/>
    <w:rsid w:val="00823282"/>
    <w:rsid w:val="0082425F"/>
    <w:rsid w:val="008256D0"/>
    <w:rsid w:val="00832CFD"/>
    <w:rsid w:val="00832E26"/>
    <w:rsid w:val="00833774"/>
    <w:rsid w:val="00833C65"/>
    <w:rsid w:val="00833CCC"/>
    <w:rsid w:val="008340EA"/>
    <w:rsid w:val="008353B9"/>
    <w:rsid w:val="00835E22"/>
    <w:rsid w:val="00837584"/>
    <w:rsid w:val="0084347E"/>
    <w:rsid w:val="0084375F"/>
    <w:rsid w:val="00846907"/>
    <w:rsid w:val="00851D72"/>
    <w:rsid w:val="00853BDC"/>
    <w:rsid w:val="0086016D"/>
    <w:rsid w:val="008614A2"/>
    <w:rsid w:val="00861FFF"/>
    <w:rsid w:val="008624FD"/>
    <w:rsid w:val="00862FC4"/>
    <w:rsid w:val="008635C5"/>
    <w:rsid w:val="00863B5E"/>
    <w:rsid w:val="00864DD3"/>
    <w:rsid w:val="00866790"/>
    <w:rsid w:val="00867514"/>
    <w:rsid w:val="00867541"/>
    <w:rsid w:val="008717C8"/>
    <w:rsid w:val="00874002"/>
    <w:rsid w:val="008769F6"/>
    <w:rsid w:val="008806BD"/>
    <w:rsid w:val="00880BF2"/>
    <w:rsid w:val="00880FDC"/>
    <w:rsid w:val="00882C31"/>
    <w:rsid w:val="0088478B"/>
    <w:rsid w:val="00884C01"/>
    <w:rsid w:val="00886CC1"/>
    <w:rsid w:val="00890D99"/>
    <w:rsid w:val="00894D2C"/>
    <w:rsid w:val="00895E99"/>
    <w:rsid w:val="008968F5"/>
    <w:rsid w:val="00896E06"/>
    <w:rsid w:val="008977A4"/>
    <w:rsid w:val="008A0985"/>
    <w:rsid w:val="008A1172"/>
    <w:rsid w:val="008A13AD"/>
    <w:rsid w:val="008A14CF"/>
    <w:rsid w:val="008A2B6E"/>
    <w:rsid w:val="008A3C33"/>
    <w:rsid w:val="008A3D3B"/>
    <w:rsid w:val="008B0F2E"/>
    <w:rsid w:val="008B2446"/>
    <w:rsid w:val="008B4209"/>
    <w:rsid w:val="008B486C"/>
    <w:rsid w:val="008B5EDF"/>
    <w:rsid w:val="008B7449"/>
    <w:rsid w:val="008C013F"/>
    <w:rsid w:val="008C066D"/>
    <w:rsid w:val="008C1A42"/>
    <w:rsid w:val="008C397C"/>
    <w:rsid w:val="008C452E"/>
    <w:rsid w:val="008C5082"/>
    <w:rsid w:val="008C53D1"/>
    <w:rsid w:val="008C5F92"/>
    <w:rsid w:val="008C65B3"/>
    <w:rsid w:val="008C6FF0"/>
    <w:rsid w:val="008C74C7"/>
    <w:rsid w:val="008D0795"/>
    <w:rsid w:val="008D2B2A"/>
    <w:rsid w:val="008D4A94"/>
    <w:rsid w:val="008D57C1"/>
    <w:rsid w:val="008D58FA"/>
    <w:rsid w:val="008D70D6"/>
    <w:rsid w:val="008E224A"/>
    <w:rsid w:val="008E23D0"/>
    <w:rsid w:val="008E2834"/>
    <w:rsid w:val="008E2BA7"/>
    <w:rsid w:val="008E31A9"/>
    <w:rsid w:val="008E47DB"/>
    <w:rsid w:val="008E4FF8"/>
    <w:rsid w:val="008E6531"/>
    <w:rsid w:val="008F037A"/>
    <w:rsid w:val="008F5AC8"/>
    <w:rsid w:val="008F7376"/>
    <w:rsid w:val="008F778C"/>
    <w:rsid w:val="00903264"/>
    <w:rsid w:val="009046F3"/>
    <w:rsid w:val="00904EED"/>
    <w:rsid w:val="009054EA"/>
    <w:rsid w:val="00907E82"/>
    <w:rsid w:val="00907EC1"/>
    <w:rsid w:val="0091217F"/>
    <w:rsid w:val="009139CB"/>
    <w:rsid w:val="00913DBF"/>
    <w:rsid w:val="009147C7"/>
    <w:rsid w:val="00914F90"/>
    <w:rsid w:val="00921310"/>
    <w:rsid w:val="00921BFA"/>
    <w:rsid w:val="00921C60"/>
    <w:rsid w:val="009234DD"/>
    <w:rsid w:val="00927456"/>
    <w:rsid w:val="00927E3B"/>
    <w:rsid w:val="00931919"/>
    <w:rsid w:val="009359CD"/>
    <w:rsid w:val="009404E8"/>
    <w:rsid w:val="00940DAA"/>
    <w:rsid w:val="00941F94"/>
    <w:rsid w:val="00942230"/>
    <w:rsid w:val="0094741E"/>
    <w:rsid w:val="00947872"/>
    <w:rsid w:val="00947A53"/>
    <w:rsid w:val="0095068C"/>
    <w:rsid w:val="00950D3D"/>
    <w:rsid w:val="0095135A"/>
    <w:rsid w:val="00952CE3"/>
    <w:rsid w:val="00953125"/>
    <w:rsid w:val="00953577"/>
    <w:rsid w:val="00954351"/>
    <w:rsid w:val="009578AA"/>
    <w:rsid w:val="00960596"/>
    <w:rsid w:val="0096286C"/>
    <w:rsid w:val="00962BA9"/>
    <w:rsid w:val="00964990"/>
    <w:rsid w:val="0096511A"/>
    <w:rsid w:val="00967024"/>
    <w:rsid w:val="00972C5D"/>
    <w:rsid w:val="0097315F"/>
    <w:rsid w:val="00973B39"/>
    <w:rsid w:val="00980344"/>
    <w:rsid w:val="009807AF"/>
    <w:rsid w:val="00985A3D"/>
    <w:rsid w:val="00985CA9"/>
    <w:rsid w:val="0098643A"/>
    <w:rsid w:val="00986B02"/>
    <w:rsid w:val="0098772A"/>
    <w:rsid w:val="00987F81"/>
    <w:rsid w:val="00990A03"/>
    <w:rsid w:val="009920C5"/>
    <w:rsid w:val="00992D42"/>
    <w:rsid w:val="009937EF"/>
    <w:rsid w:val="00993C7B"/>
    <w:rsid w:val="00994E20"/>
    <w:rsid w:val="00995045"/>
    <w:rsid w:val="0099562E"/>
    <w:rsid w:val="00997A77"/>
    <w:rsid w:val="009A09EA"/>
    <w:rsid w:val="009A1442"/>
    <w:rsid w:val="009A1A22"/>
    <w:rsid w:val="009A2A0F"/>
    <w:rsid w:val="009A337E"/>
    <w:rsid w:val="009B621B"/>
    <w:rsid w:val="009B6B86"/>
    <w:rsid w:val="009B706F"/>
    <w:rsid w:val="009C0F40"/>
    <w:rsid w:val="009C1D06"/>
    <w:rsid w:val="009C32C9"/>
    <w:rsid w:val="009C3B34"/>
    <w:rsid w:val="009C46DE"/>
    <w:rsid w:val="009C5C6A"/>
    <w:rsid w:val="009C7712"/>
    <w:rsid w:val="009D2B86"/>
    <w:rsid w:val="009D3E4E"/>
    <w:rsid w:val="009D458B"/>
    <w:rsid w:val="009D4664"/>
    <w:rsid w:val="009D591D"/>
    <w:rsid w:val="009D6975"/>
    <w:rsid w:val="009D6C59"/>
    <w:rsid w:val="009E52A4"/>
    <w:rsid w:val="009E5DA6"/>
    <w:rsid w:val="009E5E82"/>
    <w:rsid w:val="009E6C63"/>
    <w:rsid w:val="009F0FEC"/>
    <w:rsid w:val="009F19FF"/>
    <w:rsid w:val="009F1E8B"/>
    <w:rsid w:val="009F2A9F"/>
    <w:rsid w:val="009F2D79"/>
    <w:rsid w:val="009F4232"/>
    <w:rsid w:val="009F43BF"/>
    <w:rsid w:val="009F585C"/>
    <w:rsid w:val="009F5CEA"/>
    <w:rsid w:val="009F61B7"/>
    <w:rsid w:val="009F7737"/>
    <w:rsid w:val="00A00999"/>
    <w:rsid w:val="00A010AC"/>
    <w:rsid w:val="00A0125F"/>
    <w:rsid w:val="00A02209"/>
    <w:rsid w:val="00A04AF7"/>
    <w:rsid w:val="00A04D91"/>
    <w:rsid w:val="00A06A3D"/>
    <w:rsid w:val="00A07F47"/>
    <w:rsid w:val="00A10D04"/>
    <w:rsid w:val="00A11091"/>
    <w:rsid w:val="00A14FF1"/>
    <w:rsid w:val="00A15A82"/>
    <w:rsid w:val="00A17769"/>
    <w:rsid w:val="00A17BCF"/>
    <w:rsid w:val="00A22E63"/>
    <w:rsid w:val="00A23DCC"/>
    <w:rsid w:val="00A248DD"/>
    <w:rsid w:val="00A24D04"/>
    <w:rsid w:val="00A2693B"/>
    <w:rsid w:val="00A2714D"/>
    <w:rsid w:val="00A30248"/>
    <w:rsid w:val="00A308B8"/>
    <w:rsid w:val="00A3178D"/>
    <w:rsid w:val="00A340D7"/>
    <w:rsid w:val="00A3581C"/>
    <w:rsid w:val="00A35CD1"/>
    <w:rsid w:val="00A36812"/>
    <w:rsid w:val="00A407B3"/>
    <w:rsid w:val="00A40E77"/>
    <w:rsid w:val="00A4125A"/>
    <w:rsid w:val="00A41B69"/>
    <w:rsid w:val="00A41BA3"/>
    <w:rsid w:val="00A425E2"/>
    <w:rsid w:val="00A4283D"/>
    <w:rsid w:val="00A4304C"/>
    <w:rsid w:val="00A47007"/>
    <w:rsid w:val="00A502FD"/>
    <w:rsid w:val="00A54AE6"/>
    <w:rsid w:val="00A54F46"/>
    <w:rsid w:val="00A55AB8"/>
    <w:rsid w:val="00A55F47"/>
    <w:rsid w:val="00A5798A"/>
    <w:rsid w:val="00A60C16"/>
    <w:rsid w:val="00A62357"/>
    <w:rsid w:val="00A62394"/>
    <w:rsid w:val="00A649BB"/>
    <w:rsid w:val="00A66000"/>
    <w:rsid w:val="00A71930"/>
    <w:rsid w:val="00A7251A"/>
    <w:rsid w:val="00A7347F"/>
    <w:rsid w:val="00A76F97"/>
    <w:rsid w:val="00A776B9"/>
    <w:rsid w:val="00A838BD"/>
    <w:rsid w:val="00A85FD4"/>
    <w:rsid w:val="00A86A29"/>
    <w:rsid w:val="00A90A77"/>
    <w:rsid w:val="00A90EAB"/>
    <w:rsid w:val="00A94785"/>
    <w:rsid w:val="00A97C44"/>
    <w:rsid w:val="00AA1EE2"/>
    <w:rsid w:val="00AA58B2"/>
    <w:rsid w:val="00AA62FC"/>
    <w:rsid w:val="00AA73BB"/>
    <w:rsid w:val="00AB1E7A"/>
    <w:rsid w:val="00AB2762"/>
    <w:rsid w:val="00AB3E95"/>
    <w:rsid w:val="00AB3F03"/>
    <w:rsid w:val="00AB599C"/>
    <w:rsid w:val="00AC0B80"/>
    <w:rsid w:val="00AC286A"/>
    <w:rsid w:val="00AC4CBC"/>
    <w:rsid w:val="00AD0374"/>
    <w:rsid w:val="00AD0D70"/>
    <w:rsid w:val="00AD0E4B"/>
    <w:rsid w:val="00AD22DF"/>
    <w:rsid w:val="00AD4276"/>
    <w:rsid w:val="00AE1961"/>
    <w:rsid w:val="00AE20DA"/>
    <w:rsid w:val="00AE376B"/>
    <w:rsid w:val="00AE38F4"/>
    <w:rsid w:val="00AE5CC9"/>
    <w:rsid w:val="00AE6487"/>
    <w:rsid w:val="00AF18B6"/>
    <w:rsid w:val="00AF2ABE"/>
    <w:rsid w:val="00AF4CE3"/>
    <w:rsid w:val="00AF74A2"/>
    <w:rsid w:val="00AF7F2B"/>
    <w:rsid w:val="00B0068B"/>
    <w:rsid w:val="00B0174E"/>
    <w:rsid w:val="00B0223A"/>
    <w:rsid w:val="00B02A08"/>
    <w:rsid w:val="00B035C6"/>
    <w:rsid w:val="00B062C4"/>
    <w:rsid w:val="00B072A2"/>
    <w:rsid w:val="00B0773A"/>
    <w:rsid w:val="00B078AA"/>
    <w:rsid w:val="00B1004B"/>
    <w:rsid w:val="00B100FF"/>
    <w:rsid w:val="00B10131"/>
    <w:rsid w:val="00B120A6"/>
    <w:rsid w:val="00B122DA"/>
    <w:rsid w:val="00B13EAE"/>
    <w:rsid w:val="00B145D1"/>
    <w:rsid w:val="00B16288"/>
    <w:rsid w:val="00B21463"/>
    <w:rsid w:val="00B218AC"/>
    <w:rsid w:val="00B21DF1"/>
    <w:rsid w:val="00B22EFF"/>
    <w:rsid w:val="00B26157"/>
    <w:rsid w:val="00B27E17"/>
    <w:rsid w:val="00B30294"/>
    <w:rsid w:val="00B32DD0"/>
    <w:rsid w:val="00B33362"/>
    <w:rsid w:val="00B35892"/>
    <w:rsid w:val="00B3777A"/>
    <w:rsid w:val="00B37B25"/>
    <w:rsid w:val="00B4385B"/>
    <w:rsid w:val="00B4406E"/>
    <w:rsid w:val="00B4544F"/>
    <w:rsid w:val="00B466E4"/>
    <w:rsid w:val="00B472CA"/>
    <w:rsid w:val="00B534CF"/>
    <w:rsid w:val="00B552FA"/>
    <w:rsid w:val="00B56849"/>
    <w:rsid w:val="00B57DF3"/>
    <w:rsid w:val="00B604D0"/>
    <w:rsid w:val="00B60523"/>
    <w:rsid w:val="00B60F39"/>
    <w:rsid w:val="00B6494E"/>
    <w:rsid w:val="00B7102A"/>
    <w:rsid w:val="00B72BB3"/>
    <w:rsid w:val="00B72ECB"/>
    <w:rsid w:val="00B74224"/>
    <w:rsid w:val="00B7505D"/>
    <w:rsid w:val="00B7543E"/>
    <w:rsid w:val="00B75AD7"/>
    <w:rsid w:val="00B75CF5"/>
    <w:rsid w:val="00B763E8"/>
    <w:rsid w:val="00B7666A"/>
    <w:rsid w:val="00B76D6F"/>
    <w:rsid w:val="00B81A89"/>
    <w:rsid w:val="00B82389"/>
    <w:rsid w:val="00B854AF"/>
    <w:rsid w:val="00B8784D"/>
    <w:rsid w:val="00B90C06"/>
    <w:rsid w:val="00B9307A"/>
    <w:rsid w:val="00B93A95"/>
    <w:rsid w:val="00B95958"/>
    <w:rsid w:val="00B95A88"/>
    <w:rsid w:val="00B979BD"/>
    <w:rsid w:val="00BA092E"/>
    <w:rsid w:val="00BA11B5"/>
    <w:rsid w:val="00BA1D09"/>
    <w:rsid w:val="00BA3091"/>
    <w:rsid w:val="00BA39BA"/>
    <w:rsid w:val="00BA4263"/>
    <w:rsid w:val="00BA4C67"/>
    <w:rsid w:val="00BA5BD1"/>
    <w:rsid w:val="00BA7833"/>
    <w:rsid w:val="00BB0840"/>
    <w:rsid w:val="00BB14FC"/>
    <w:rsid w:val="00BB23BF"/>
    <w:rsid w:val="00BB2F83"/>
    <w:rsid w:val="00BB3718"/>
    <w:rsid w:val="00BB3B75"/>
    <w:rsid w:val="00BB67BC"/>
    <w:rsid w:val="00BB6F8D"/>
    <w:rsid w:val="00BC009F"/>
    <w:rsid w:val="00BC1960"/>
    <w:rsid w:val="00BC30CF"/>
    <w:rsid w:val="00BC333B"/>
    <w:rsid w:val="00BC5A23"/>
    <w:rsid w:val="00BC7B16"/>
    <w:rsid w:val="00BD2F40"/>
    <w:rsid w:val="00BD482F"/>
    <w:rsid w:val="00BD5462"/>
    <w:rsid w:val="00BD765C"/>
    <w:rsid w:val="00BE19A8"/>
    <w:rsid w:val="00BE5588"/>
    <w:rsid w:val="00BE5E5D"/>
    <w:rsid w:val="00BF08EC"/>
    <w:rsid w:val="00BF3FAE"/>
    <w:rsid w:val="00BF568D"/>
    <w:rsid w:val="00BF7FE3"/>
    <w:rsid w:val="00C002E9"/>
    <w:rsid w:val="00C004ED"/>
    <w:rsid w:val="00C01A3E"/>
    <w:rsid w:val="00C01B34"/>
    <w:rsid w:val="00C01EF9"/>
    <w:rsid w:val="00C02929"/>
    <w:rsid w:val="00C030B2"/>
    <w:rsid w:val="00C03B89"/>
    <w:rsid w:val="00C04447"/>
    <w:rsid w:val="00C045AD"/>
    <w:rsid w:val="00C101D5"/>
    <w:rsid w:val="00C11A3B"/>
    <w:rsid w:val="00C12122"/>
    <w:rsid w:val="00C140E8"/>
    <w:rsid w:val="00C14424"/>
    <w:rsid w:val="00C171EF"/>
    <w:rsid w:val="00C20890"/>
    <w:rsid w:val="00C20930"/>
    <w:rsid w:val="00C20BAA"/>
    <w:rsid w:val="00C218B8"/>
    <w:rsid w:val="00C233CA"/>
    <w:rsid w:val="00C2407A"/>
    <w:rsid w:val="00C24416"/>
    <w:rsid w:val="00C24BB1"/>
    <w:rsid w:val="00C25C5A"/>
    <w:rsid w:val="00C2678A"/>
    <w:rsid w:val="00C31471"/>
    <w:rsid w:val="00C31EBF"/>
    <w:rsid w:val="00C320E8"/>
    <w:rsid w:val="00C32EC4"/>
    <w:rsid w:val="00C34EB3"/>
    <w:rsid w:val="00C353CF"/>
    <w:rsid w:val="00C354D5"/>
    <w:rsid w:val="00C424BF"/>
    <w:rsid w:val="00C4529B"/>
    <w:rsid w:val="00C47A0B"/>
    <w:rsid w:val="00C53478"/>
    <w:rsid w:val="00C53AFD"/>
    <w:rsid w:val="00C5509C"/>
    <w:rsid w:val="00C55F89"/>
    <w:rsid w:val="00C576C8"/>
    <w:rsid w:val="00C576E0"/>
    <w:rsid w:val="00C579B2"/>
    <w:rsid w:val="00C60BB9"/>
    <w:rsid w:val="00C61CDD"/>
    <w:rsid w:val="00C62490"/>
    <w:rsid w:val="00C635B6"/>
    <w:rsid w:val="00C64F5A"/>
    <w:rsid w:val="00C65035"/>
    <w:rsid w:val="00C65BFF"/>
    <w:rsid w:val="00C7018E"/>
    <w:rsid w:val="00C70FEC"/>
    <w:rsid w:val="00C717B2"/>
    <w:rsid w:val="00C72526"/>
    <w:rsid w:val="00C72BBC"/>
    <w:rsid w:val="00C73FC1"/>
    <w:rsid w:val="00C748A3"/>
    <w:rsid w:val="00C80335"/>
    <w:rsid w:val="00C80CA0"/>
    <w:rsid w:val="00C80DB4"/>
    <w:rsid w:val="00C80FD5"/>
    <w:rsid w:val="00C812D4"/>
    <w:rsid w:val="00C827E8"/>
    <w:rsid w:val="00C833D9"/>
    <w:rsid w:val="00C83455"/>
    <w:rsid w:val="00C84955"/>
    <w:rsid w:val="00C85187"/>
    <w:rsid w:val="00C8548B"/>
    <w:rsid w:val="00C8593F"/>
    <w:rsid w:val="00C87E13"/>
    <w:rsid w:val="00C87E59"/>
    <w:rsid w:val="00C91512"/>
    <w:rsid w:val="00C94EA4"/>
    <w:rsid w:val="00C96AEF"/>
    <w:rsid w:val="00CA0240"/>
    <w:rsid w:val="00CA0D33"/>
    <w:rsid w:val="00CA3421"/>
    <w:rsid w:val="00CA7BF8"/>
    <w:rsid w:val="00CB1B3E"/>
    <w:rsid w:val="00CB293A"/>
    <w:rsid w:val="00CB2DA4"/>
    <w:rsid w:val="00CB3689"/>
    <w:rsid w:val="00CB621B"/>
    <w:rsid w:val="00CB6DFF"/>
    <w:rsid w:val="00CC04B3"/>
    <w:rsid w:val="00CC3667"/>
    <w:rsid w:val="00CC6F30"/>
    <w:rsid w:val="00CD002D"/>
    <w:rsid w:val="00CD0646"/>
    <w:rsid w:val="00CD13EA"/>
    <w:rsid w:val="00CD3FEF"/>
    <w:rsid w:val="00CD4C77"/>
    <w:rsid w:val="00CD5366"/>
    <w:rsid w:val="00CD742E"/>
    <w:rsid w:val="00CD74B2"/>
    <w:rsid w:val="00CE035A"/>
    <w:rsid w:val="00CE1DB1"/>
    <w:rsid w:val="00CE30A7"/>
    <w:rsid w:val="00CE3190"/>
    <w:rsid w:val="00CE5802"/>
    <w:rsid w:val="00CE6112"/>
    <w:rsid w:val="00CE6337"/>
    <w:rsid w:val="00CE652F"/>
    <w:rsid w:val="00CE6F03"/>
    <w:rsid w:val="00CE7FBC"/>
    <w:rsid w:val="00CF08AB"/>
    <w:rsid w:val="00CF28FF"/>
    <w:rsid w:val="00CF30DF"/>
    <w:rsid w:val="00CF38D1"/>
    <w:rsid w:val="00CF4B61"/>
    <w:rsid w:val="00CF6CB3"/>
    <w:rsid w:val="00CF7E61"/>
    <w:rsid w:val="00D00517"/>
    <w:rsid w:val="00D0568A"/>
    <w:rsid w:val="00D0647E"/>
    <w:rsid w:val="00D07D92"/>
    <w:rsid w:val="00D12373"/>
    <w:rsid w:val="00D12579"/>
    <w:rsid w:val="00D16927"/>
    <w:rsid w:val="00D20FD9"/>
    <w:rsid w:val="00D234DF"/>
    <w:rsid w:val="00D238E5"/>
    <w:rsid w:val="00D23D46"/>
    <w:rsid w:val="00D25FEE"/>
    <w:rsid w:val="00D26D77"/>
    <w:rsid w:val="00D306C5"/>
    <w:rsid w:val="00D3081B"/>
    <w:rsid w:val="00D30C06"/>
    <w:rsid w:val="00D31B09"/>
    <w:rsid w:val="00D324C3"/>
    <w:rsid w:val="00D33437"/>
    <w:rsid w:val="00D3733D"/>
    <w:rsid w:val="00D42BCE"/>
    <w:rsid w:val="00D42F40"/>
    <w:rsid w:val="00D45552"/>
    <w:rsid w:val="00D46013"/>
    <w:rsid w:val="00D50AB1"/>
    <w:rsid w:val="00D5139F"/>
    <w:rsid w:val="00D518DC"/>
    <w:rsid w:val="00D52BB9"/>
    <w:rsid w:val="00D53478"/>
    <w:rsid w:val="00D53B9F"/>
    <w:rsid w:val="00D54ABB"/>
    <w:rsid w:val="00D5556D"/>
    <w:rsid w:val="00D55F34"/>
    <w:rsid w:val="00D56516"/>
    <w:rsid w:val="00D57074"/>
    <w:rsid w:val="00D57407"/>
    <w:rsid w:val="00D609F4"/>
    <w:rsid w:val="00D60DC5"/>
    <w:rsid w:val="00D63512"/>
    <w:rsid w:val="00D635EF"/>
    <w:rsid w:val="00D64204"/>
    <w:rsid w:val="00D64ABD"/>
    <w:rsid w:val="00D666E2"/>
    <w:rsid w:val="00D676E6"/>
    <w:rsid w:val="00D7085F"/>
    <w:rsid w:val="00D716FE"/>
    <w:rsid w:val="00D72656"/>
    <w:rsid w:val="00D74D9C"/>
    <w:rsid w:val="00D77E5A"/>
    <w:rsid w:val="00D8030D"/>
    <w:rsid w:val="00D813BA"/>
    <w:rsid w:val="00D82F4B"/>
    <w:rsid w:val="00D834A3"/>
    <w:rsid w:val="00D83C51"/>
    <w:rsid w:val="00D86117"/>
    <w:rsid w:val="00D90D19"/>
    <w:rsid w:val="00D913F8"/>
    <w:rsid w:val="00D93152"/>
    <w:rsid w:val="00D94F9A"/>
    <w:rsid w:val="00D959F3"/>
    <w:rsid w:val="00D961D7"/>
    <w:rsid w:val="00D97EFB"/>
    <w:rsid w:val="00DA1B99"/>
    <w:rsid w:val="00DA1DFA"/>
    <w:rsid w:val="00DA4214"/>
    <w:rsid w:val="00DA4E51"/>
    <w:rsid w:val="00DA6AE7"/>
    <w:rsid w:val="00DA6D5C"/>
    <w:rsid w:val="00DB225E"/>
    <w:rsid w:val="00DB2921"/>
    <w:rsid w:val="00DB29C5"/>
    <w:rsid w:val="00DB39EE"/>
    <w:rsid w:val="00DB3AA4"/>
    <w:rsid w:val="00DB4975"/>
    <w:rsid w:val="00DB6808"/>
    <w:rsid w:val="00DB6A09"/>
    <w:rsid w:val="00DB6F11"/>
    <w:rsid w:val="00DB7488"/>
    <w:rsid w:val="00DC0523"/>
    <w:rsid w:val="00DC23A5"/>
    <w:rsid w:val="00DC5043"/>
    <w:rsid w:val="00DC6100"/>
    <w:rsid w:val="00DC75B0"/>
    <w:rsid w:val="00DD001F"/>
    <w:rsid w:val="00DD3B27"/>
    <w:rsid w:val="00DD792D"/>
    <w:rsid w:val="00DD7F9B"/>
    <w:rsid w:val="00DE005B"/>
    <w:rsid w:val="00DE3053"/>
    <w:rsid w:val="00DE6B27"/>
    <w:rsid w:val="00DF0EAC"/>
    <w:rsid w:val="00DF2867"/>
    <w:rsid w:val="00DF2A06"/>
    <w:rsid w:val="00DF369C"/>
    <w:rsid w:val="00DF3FC5"/>
    <w:rsid w:val="00DF4A60"/>
    <w:rsid w:val="00DF51AC"/>
    <w:rsid w:val="00DF5EF5"/>
    <w:rsid w:val="00DF69CD"/>
    <w:rsid w:val="00DF6DA9"/>
    <w:rsid w:val="00E02166"/>
    <w:rsid w:val="00E029F3"/>
    <w:rsid w:val="00E02E8B"/>
    <w:rsid w:val="00E03D17"/>
    <w:rsid w:val="00E048BB"/>
    <w:rsid w:val="00E06FF9"/>
    <w:rsid w:val="00E07367"/>
    <w:rsid w:val="00E07446"/>
    <w:rsid w:val="00E0791E"/>
    <w:rsid w:val="00E122D1"/>
    <w:rsid w:val="00E12EF9"/>
    <w:rsid w:val="00E16421"/>
    <w:rsid w:val="00E1703D"/>
    <w:rsid w:val="00E20AE5"/>
    <w:rsid w:val="00E21779"/>
    <w:rsid w:val="00E25D2B"/>
    <w:rsid w:val="00E26332"/>
    <w:rsid w:val="00E2745C"/>
    <w:rsid w:val="00E3017B"/>
    <w:rsid w:val="00E31154"/>
    <w:rsid w:val="00E32097"/>
    <w:rsid w:val="00E32FC5"/>
    <w:rsid w:val="00E33EAB"/>
    <w:rsid w:val="00E352B6"/>
    <w:rsid w:val="00E35B2F"/>
    <w:rsid w:val="00E35CB7"/>
    <w:rsid w:val="00E36603"/>
    <w:rsid w:val="00E40811"/>
    <w:rsid w:val="00E415C0"/>
    <w:rsid w:val="00E44472"/>
    <w:rsid w:val="00E45A07"/>
    <w:rsid w:val="00E460D8"/>
    <w:rsid w:val="00E52262"/>
    <w:rsid w:val="00E52366"/>
    <w:rsid w:val="00E52FA3"/>
    <w:rsid w:val="00E5580C"/>
    <w:rsid w:val="00E60299"/>
    <w:rsid w:val="00E62E98"/>
    <w:rsid w:val="00E65E45"/>
    <w:rsid w:val="00E7036A"/>
    <w:rsid w:val="00E71954"/>
    <w:rsid w:val="00E74459"/>
    <w:rsid w:val="00E75933"/>
    <w:rsid w:val="00E772C8"/>
    <w:rsid w:val="00E77755"/>
    <w:rsid w:val="00E829A4"/>
    <w:rsid w:val="00E84484"/>
    <w:rsid w:val="00E84DA9"/>
    <w:rsid w:val="00E85D92"/>
    <w:rsid w:val="00E85FBB"/>
    <w:rsid w:val="00E86514"/>
    <w:rsid w:val="00E92272"/>
    <w:rsid w:val="00E9277F"/>
    <w:rsid w:val="00E939D2"/>
    <w:rsid w:val="00E9531B"/>
    <w:rsid w:val="00EA06E2"/>
    <w:rsid w:val="00EA0F5F"/>
    <w:rsid w:val="00EA58B1"/>
    <w:rsid w:val="00EA6A8E"/>
    <w:rsid w:val="00EA73A7"/>
    <w:rsid w:val="00EA7ABE"/>
    <w:rsid w:val="00EA7BCD"/>
    <w:rsid w:val="00EB11CE"/>
    <w:rsid w:val="00EB1DBE"/>
    <w:rsid w:val="00EB3312"/>
    <w:rsid w:val="00EB369C"/>
    <w:rsid w:val="00EB36A6"/>
    <w:rsid w:val="00EB3DA5"/>
    <w:rsid w:val="00EB60B4"/>
    <w:rsid w:val="00EB6529"/>
    <w:rsid w:val="00EC18A1"/>
    <w:rsid w:val="00EC2D62"/>
    <w:rsid w:val="00EC391C"/>
    <w:rsid w:val="00EC453C"/>
    <w:rsid w:val="00EC52B4"/>
    <w:rsid w:val="00EC553D"/>
    <w:rsid w:val="00EC58A3"/>
    <w:rsid w:val="00EC79AE"/>
    <w:rsid w:val="00ED011E"/>
    <w:rsid w:val="00ED02C7"/>
    <w:rsid w:val="00ED0499"/>
    <w:rsid w:val="00ED2AC0"/>
    <w:rsid w:val="00ED4227"/>
    <w:rsid w:val="00ED4C68"/>
    <w:rsid w:val="00ED5AA2"/>
    <w:rsid w:val="00EE034B"/>
    <w:rsid w:val="00EE170E"/>
    <w:rsid w:val="00EE2F77"/>
    <w:rsid w:val="00EE357E"/>
    <w:rsid w:val="00EE6D30"/>
    <w:rsid w:val="00EE7C91"/>
    <w:rsid w:val="00EF09E3"/>
    <w:rsid w:val="00EF3E91"/>
    <w:rsid w:val="00EF7776"/>
    <w:rsid w:val="00EF7C02"/>
    <w:rsid w:val="00EF7CFD"/>
    <w:rsid w:val="00F01000"/>
    <w:rsid w:val="00F02C01"/>
    <w:rsid w:val="00F035E7"/>
    <w:rsid w:val="00F03657"/>
    <w:rsid w:val="00F04B5C"/>
    <w:rsid w:val="00F05832"/>
    <w:rsid w:val="00F0609B"/>
    <w:rsid w:val="00F104F1"/>
    <w:rsid w:val="00F10EBA"/>
    <w:rsid w:val="00F110F6"/>
    <w:rsid w:val="00F12ADD"/>
    <w:rsid w:val="00F21B03"/>
    <w:rsid w:val="00F23B9E"/>
    <w:rsid w:val="00F23FF4"/>
    <w:rsid w:val="00F248F9"/>
    <w:rsid w:val="00F2675D"/>
    <w:rsid w:val="00F26B26"/>
    <w:rsid w:val="00F26F01"/>
    <w:rsid w:val="00F276DC"/>
    <w:rsid w:val="00F31604"/>
    <w:rsid w:val="00F31B53"/>
    <w:rsid w:val="00F321B6"/>
    <w:rsid w:val="00F32696"/>
    <w:rsid w:val="00F343C0"/>
    <w:rsid w:val="00F35A26"/>
    <w:rsid w:val="00F36CEA"/>
    <w:rsid w:val="00F37044"/>
    <w:rsid w:val="00F4166A"/>
    <w:rsid w:val="00F432C1"/>
    <w:rsid w:val="00F44836"/>
    <w:rsid w:val="00F45C07"/>
    <w:rsid w:val="00F466E0"/>
    <w:rsid w:val="00F511C5"/>
    <w:rsid w:val="00F5230C"/>
    <w:rsid w:val="00F5491E"/>
    <w:rsid w:val="00F554DE"/>
    <w:rsid w:val="00F60535"/>
    <w:rsid w:val="00F623C5"/>
    <w:rsid w:val="00F627A5"/>
    <w:rsid w:val="00F63469"/>
    <w:rsid w:val="00F65242"/>
    <w:rsid w:val="00F65B2C"/>
    <w:rsid w:val="00F66FEF"/>
    <w:rsid w:val="00F736EC"/>
    <w:rsid w:val="00F73A1A"/>
    <w:rsid w:val="00F7641C"/>
    <w:rsid w:val="00F7777E"/>
    <w:rsid w:val="00F80CF7"/>
    <w:rsid w:val="00F81A06"/>
    <w:rsid w:val="00F8208A"/>
    <w:rsid w:val="00F825E5"/>
    <w:rsid w:val="00F863F5"/>
    <w:rsid w:val="00F86761"/>
    <w:rsid w:val="00F90006"/>
    <w:rsid w:val="00F90DA3"/>
    <w:rsid w:val="00F90F8A"/>
    <w:rsid w:val="00F91E3F"/>
    <w:rsid w:val="00F95128"/>
    <w:rsid w:val="00F97305"/>
    <w:rsid w:val="00F97C57"/>
    <w:rsid w:val="00FA1014"/>
    <w:rsid w:val="00FA16E8"/>
    <w:rsid w:val="00FA2F07"/>
    <w:rsid w:val="00FA595A"/>
    <w:rsid w:val="00FA59D6"/>
    <w:rsid w:val="00FA68B6"/>
    <w:rsid w:val="00FA6F83"/>
    <w:rsid w:val="00FB6C53"/>
    <w:rsid w:val="00FB7ED2"/>
    <w:rsid w:val="00FC1F5B"/>
    <w:rsid w:val="00FC2D1C"/>
    <w:rsid w:val="00FC3B1E"/>
    <w:rsid w:val="00FC3CDC"/>
    <w:rsid w:val="00FC5AD4"/>
    <w:rsid w:val="00FC5C94"/>
    <w:rsid w:val="00FC5F17"/>
    <w:rsid w:val="00FC6A1E"/>
    <w:rsid w:val="00FC755E"/>
    <w:rsid w:val="00FD472B"/>
    <w:rsid w:val="00FD4C1C"/>
    <w:rsid w:val="00FD78D8"/>
    <w:rsid w:val="00FE13E3"/>
    <w:rsid w:val="00FE256F"/>
    <w:rsid w:val="00FE29DE"/>
    <w:rsid w:val="00FE3F32"/>
    <w:rsid w:val="00FE54A7"/>
    <w:rsid w:val="00FF4C3F"/>
    <w:rsid w:val="00FF7141"/>
    <w:rsid w:val="00FF7D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3AB8F"/>
  <w15:chartTrackingRefBased/>
  <w15:docId w15:val="{70F7F4CB-2F17-43B8-91E8-8E62555C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5D0C"/>
    <w:pPr>
      <w:widowControl w:val="0"/>
      <w:jc w:val="both"/>
    </w:pPr>
    <w:rPr>
      <w:rFonts w:ascii="Times New Roman" w:eastAsia="宋体" w:hAnsi="Times New Roman" w:cs="Times New Roman"/>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삼성제목 1"/>
    <w:basedOn w:val="a"/>
    <w:next w:val="a"/>
    <w:link w:val="10"/>
    <w:qFormat/>
    <w:rsid w:val="001C5D0C"/>
    <w:pPr>
      <w:keepNext/>
      <w:widowControl/>
      <w:numPr>
        <w:numId w:val="2"/>
      </w:numPr>
      <w:tabs>
        <w:tab w:val="left" w:pos="0"/>
      </w:tabs>
      <w:spacing w:before="240" w:after="60"/>
      <w:jc w:val="left"/>
      <w:outlineLvl w:val="0"/>
    </w:pPr>
    <w:rPr>
      <w:rFonts w:ascii="Arial" w:eastAsia="MS Gothic" w:hAnsi="Arial"/>
      <w:bCs/>
      <w:kern w:val="28"/>
      <w:sz w:val="28"/>
      <w:szCs w:val="24"/>
      <w:lang w:val="en-GB" w:eastAsia="ja-JP"/>
    </w:rPr>
  </w:style>
  <w:style w:type="paragraph" w:styleId="2">
    <w:name w:val="heading 2"/>
    <w:aliases w:val="DO NOT USE_h2,h2,h21,2,Header 2,Header2,22,heading2,H2,2nd level,UNDERRUBRIK 1-2,H21,H22,H23,H24,H25,R2,E2,†berschrift 2,õberschrift 2"/>
    <w:basedOn w:val="a"/>
    <w:next w:val="a"/>
    <w:link w:val="20"/>
    <w:unhideWhenUsed/>
    <w:qFormat/>
    <w:rsid w:val="00275CE2"/>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unhideWhenUsed/>
    <w:qFormat/>
    <w:rsid w:val="00B60523"/>
    <w:pPr>
      <w:keepNext/>
      <w:keepLines/>
      <w:numPr>
        <w:ilvl w:val="2"/>
        <w:numId w:val="2"/>
      </w:numPr>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semiHidden/>
    <w:unhideWhenUsed/>
    <w:qFormat/>
    <w:rsid w:val="003273E3"/>
    <w:pPr>
      <w:keepNext/>
      <w:widowControl/>
      <w:numPr>
        <w:ilvl w:val="3"/>
        <w:numId w:val="2"/>
      </w:numPr>
      <w:autoSpaceDE w:val="0"/>
      <w:autoSpaceDN w:val="0"/>
      <w:adjustRightInd w:val="0"/>
      <w:snapToGrid w:val="0"/>
      <w:spacing w:before="120" w:after="120"/>
      <w:outlineLvl w:val="3"/>
    </w:pPr>
    <w:rPr>
      <w:kern w:val="0"/>
      <w:sz w:val="22"/>
      <w:szCs w:val="28"/>
      <w:lang w:eastAsia="en-US"/>
    </w:rPr>
  </w:style>
  <w:style w:type="paragraph" w:styleId="5">
    <w:name w:val="heading 5"/>
    <w:aliases w:val="h5,Heading5,H5"/>
    <w:basedOn w:val="a"/>
    <w:next w:val="a"/>
    <w:link w:val="50"/>
    <w:semiHidden/>
    <w:unhideWhenUsed/>
    <w:qFormat/>
    <w:rsid w:val="003273E3"/>
    <w:pPr>
      <w:keepNext/>
      <w:widowControl/>
      <w:numPr>
        <w:ilvl w:val="4"/>
        <w:numId w:val="2"/>
      </w:numPr>
      <w:autoSpaceDE w:val="0"/>
      <w:autoSpaceDN w:val="0"/>
      <w:adjustRightInd w:val="0"/>
      <w:snapToGrid w:val="0"/>
      <w:spacing w:before="120" w:after="120"/>
      <w:outlineLvl w:val="4"/>
    </w:pPr>
    <w:rPr>
      <w:i/>
      <w:iCs/>
      <w:kern w:val="0"/>
      <w:sz w:val="22"/>
      <w:szCs w:val="26"/>
      <w:lang w:eastAsia="en-US"/>
    </w:rPr>
  </w:style>
  <w:style w:type="paragraph" w:styleId="6">
    <w:name w:val="heading 6"/>
    <w:basedOn w:val="a"/>
    <w:next w:val="a"/>
    <w:link w:val="60"/>
    <w:semiHidden/>
    <w:unhideWhenUsed/>
    <w:qFormat/>
    <w:rsid w:val="003273E3"/>
    <w:pPr>
      <w:widowControl/>
      <w:numPr>
        <w:ilvl w:val="5"/>
        <w:numId w:val="2"/>
      </w:numPr>
      <w:autoSpaceDE w:val="0"/>
      <w:autoSpaceDN w:val="0"/>
      <w:adjustRightInd w:val="0"/>
      <w:snapToGrid w:val="0"/>
      <w:spacing w:before="240" w:after="60"/>
      <w:outlineLvl w:val="5"/>
    </w:pPr>
    <w:rPr>
      <w:b/>
      <w:bCs/>
      <w:kern w:val="0"/>
      <w:sz w:val="22"/>
      <w:szCs w:val="22"/>
      <w:lang w:eastAsia="en-US"/>
    </w:rPr>
  </w:style>
  <w:style w:type="paragraph" w:styleId="7">
    <w:name w:val="heading 7"/>
    <w:basedOn w:val="a"/>
    <w:next w:val="a"/>
    <w:link w:val="70"/>
    <w:semiHidden/>
    <w:unhideWhenUsed/>
    <w:qFormat/>
    <w:rsid w:val="003273E3"/>
    <w:pPr>
      <w:widowControl/>
      <w:numPr>
        <w:ilvl w:val="6"/>
        <w:numId w:val="2"/>
      </w:numPr>
      <w:autoSpaceDE w:val="0"/>
      <w:autoSpaceDN w:val="0"/>
      <w:adjustRightInd w:val="0"/>
      <w:snapToGrid w:val="0"/>
      <w:spacing w:before="240" w:after="60"/>
      <w:outlineLvl w:val="6"/>
    </w:pPr>
    <w:rPr>
      <w:rFonts w:eastAsiaTheme="minorEastAsia"/>
      <w:kern w:val="0"/>
      <w:sz w:val="24"/>
      <w:szCs w:val="24"/>
      <w:lang w:eastAsia="en-US"/>
    </w:rPr>
  </w:style>
  <w:style w:type="paragraph" w:styleId="8">
    <w:name w:val="heading 8"/>
    <w:aliases w:val="Table Heading"/>
    <w:basedOn w:val="a"/>
    <w:next w:val="a"/>
    <w:link w:val="80"/>
    <w:semiHidden/>
    <w:unhideWhenUsed/>
    <w:qFormat/>
    <w:rsid w:val="003273E3"/>
    <w:pPr>
      <w:widowControl/>
      <w:numPr>
        <w:ilvl w:val="7"/>
        <w:numId w:val="2"/>
      </w:numPr>
      <w:autoSpaceDE w:val="0"/>
      <w:autoSpaceDN w:val="0"/>
      <w:adjustRightInd w:val="0"/>
      <w:snapToGrid w:val="0"/>
      <w:spacing w:before="240" w:after="60"/>
      <w:outlineLvl w:val="7"/>
    </w:pPr>
    <w:rPr>
      <w:rFonts w:eastAsiaTheme="minorEastAsia"/>
      <w:i/>
      <w:iCs/>
      <w:kern w:val="0"/>
      <w:sz w:val="24"/>
      <w:szCs w:val="24"/>
      <w:lang w:eastAsia="en-US"/>
    </w:rPr>
  </w:style>
  <w:style w:type="paragraph" w:styleId="9">
    <w:name w:val="heading 9"/>
    <w:aliases w:val="Figure Heading,FH,标题 91"/>
    <w:basedOn w:val="a"/>
    <w:next w:val="a"/>
    <w:link w:val="90"/>
    <w:semiHidden/>
    <w:unhideWhenUsed/>
    <w:qFormat/>
    <w:rsid w:val="003273E3"/>
    <w:pPr>
      <w:widowControl/>
      <w:numPr>
        <w:ilvl w:val="8"/>
        <w:numId w:val="2"/>
      </w:numPr>
      <w:autoSpaceDE w:val="0"/>
      <w:autoSpaceDN w:val="0"/>
      <w:adjustRightInd w:val="0"/>
      <w:snapToGrid w:val="0"/>
      <w:spacing w:before="240" w:after="60"/>
      <w:outlineLvl w:val="8"/>
    </w:pPr>
    <w:rPr>
      <w:rFonts w:ascii="Arial" w:eastAsiaTheme="minorEastAsia"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C5D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C5D0C"/>
    <w:rPr>
      <w:sz w:val="18"/>
      <w:szCs w:val="18"/>
    </w:rPr>
  </w:style>
  <w:style w:type="paragraph" w:styleId="a5">
    <w:name w:val="footer"/>
    <w:basedOn w:val="a"/>
    <w:link w:val="a6"/>
    <w:unhideWhenUsed/>
    <w:rsid w:val="001C5D0C"/>
    <w:pPr>
      <w:tabs>
        <w:tab w:val="center" w:pos="4153"/>
        <w:tab w:val="right" w:pos="8306"/>
      </w:tabs>
      <w:snapToGrid w:val="0"/>
      <w:jc w:val="left"/>
    </w:pPr>
    <w:rPr>
      <w:sz w:val="18"/>
      <w:szCs w:val="18"/>
    </w:rPr>
  </w:style>
  <w:style w:type="character" w:customStyle="1" w:styleId="a6">
    <w:name w:val="页脚 字符"/>
    <w:basedOn w:val="a0"/>
    <w:link w:val="a5"/>
    <w:rsid w:val="001C5D0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1C5D0C"/>
    <w:rPr>
      <w:rFonts w:ascii="Arial" w:eastAsia="MS Gothic" w:hAnsi="Arial" w:cs="Times New Roman"/>
      <w:bCs/>
      <w:kern w:val="28"/>
      <w:sz w:val="28"/>
      <w:szCs w:val="24"/>
      <w:lang w:val="en-GB" w:eastAsia="ja-JP"/>
    </w:rPr>
  </w:style>
  <w:style w:type="character" w:styleId="a7">
    <w:name w:val="page number"/>
    <w:basedOn w:val="a0"/>
    <w:rsid w:val="001C5D0C"/>
  </w:style>
  <w:style w:type="paragraph" w:styleId="a8">
    <w:name w:val="List Paragraph"/>
    <w:aliases w:val="- Bullets,목록 단락,List Paragraph,リスト段落,?? ??,?????,????,Lista1,列出段落1,中等深浅网格 1 - 着色 21,¥¡¡¡¡ì¬º¥¹¥È¶ÎÂä,ÁÐ³ö¶ÎÂä,列表段落1,—ño’i—Ž,¥ê¥¹¥È¶ÎÂä,1st level - Bullet List Paragraph,Lettre d'introduction,Paragrafo elenco,Normal bullet 2,Bullet list,목록단락,列表段落"/>
    <w:basedOn w:val="a"/>
    <w:link w:val="a9"/>
    <w:uiPriority w:val="34"/>
    <w:qFormat/>
    <w:rsid w:val="001C5D0C"/>
    <w:pPr>
      <w:ind w:firstLineChars="200" w:firstLine="420"/>
    </w:pPr>
  </w:style>
  <w:style w:type="character" w:customStyle="1" w:styleId="a9">
    <w:name w:val="列出段落 字符"/>
    <w:aliases w:val="- Bullets 字符,목록 단락 字符,List Paragraph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
    <w:link w:val="a8"/>
    <w:uiPriority w:val="34"/>
    <w:qFormat/>
    <w:rsid w:val="001C5D0C"/>
    <w:rPr>
      <w:rFonts w:ascii="Times New Roman" w:eastAsia="宋体" w:hAnsi="Times New Roman" w:cs="Times New Roman"/>
      <w:szCs w:val="20"/>
    </w:rPr>
  </w:style>
  <w:style w:type="paragraph" w:styleId="aa">
    <w:name w:val="caption"/>
    <w:aliases w:val="cap,cap1,cap2,cap11,Caption Char,Caption Char1 Char,cap Char Char1,Caption Char Char1 Char"/>
    <w:basedOn w:val="a"/>
    <w:next w:val="a"/>
    <w:unhideWhenUsed/>
    <w:qFormat/>
    <w:rsid w:val="001C5D0C"/>
    <w:rPr>
      <w:rFonts w:asciiTheme="majorHAnsi" w:eastAsia="黑体" w:hAnsiTheme="majorHAnsi" w:cstheme="majorBidi"/>
      <w:sz w:val="20"/>
    </w:rPr>
  </w:style>
  <w:style w:type="paragraph" w:customStyle="1" w:styleId="TAH">
    <w:name w:val="TAH"/>
    <w:basedOn w:val="TAC"/>
    <w:link w:val="TAHCar"/>
    <w:rsid w:val="001C5D0C"/>
    <w:rPr>
      <w:b/>
    </w:rPr>
  </w:style>
  <w:style w:type="paragraph" w:customStyle="1" w:styleId="TAC">
    <w:name w:val="TAC"/>
    <w:basedOn w:val="a"/>
    <w:link w:val="TACChar"/>
    <w:rsid w:val="001C5D0C"/>
    <w:pPr>
      <w:keepNext/>
      <w:keepLines/>
      <w:widowControl/>
      <w:jc w:val="center"/>
    </w:pPr>
    <w:rPr>
      <w:rFonts w:ascii="Arial" w:eastAsiaTheme="minorEastAsia" w:hAnsi="Arial"/>
      <w:kern w:val="0"/>
      <w:sz w:val="18"/>
      <w:lang w:val="en-GB" w:eastAsia="en-US"/>
    </w:rPr>
  </w:style>
  <w:style w:type="paragraph" w:customStyle="1" w:styleId="B1">
    <w:name w:val="B1"/>
    <w:basedOn w:val="a"/>
    <w:link w:val="B1Zchn"/>
    <w:qFormat/>
    <w:rsid w:val="001C5D0C"/>
    <w:pPr>
      <w:widowControl/>
      <w:spacing w:after="180"/>
      <w:ind w:left="568" w:hanging="284"/>
      <w:jc w:val="left"/>
    </w:pPr>
    <w:rPr>
      <w:rFonts w:eastAsiaTheme="minorEastAsia"/>
      <w:kern w:val="0"/>
      <w:sz w:val="20"/>
      <w:lang w:val="en-GB" w:eastAsia="en-US"/>
    </w:rPr>
  </w:style>
  <w:style w:type="character" w:customStyle="1" w:styleId="B1Zchn">
    <w:name w:val="B1 Zchn"/>
    <w:link w:val="B1"/>
    <w:rsid w:val="001C5D0C"/>
    <w:rPr>
      <w:rFonts w:ascii="Times New Roman" w:hAnsi="Times New Roman" w:cs="Times New Roman"/>
      <w:kern w:val="0"/>
      <w:sz w:val="20"/>
      <w:szCs w:val="20"/>
      <w:lang w:val="en-GB" w:eastAsia="en-US"/>
    </w:rPr>
  </w:style>
  <w:style w:type="character" w:customStyle="1" w:styleId="TACChar">
    <w:name w:val="TAC Char"/>
    <w:link w:val="TAC"/>
    <w:locked/>
    <w:rsid w:val="001C5D0C"/>
    <w:rPr>
      <w:rFonts w:ascii="Arial" w:hAnsi="Arial" w:cs="Times New Roman"/>
      <w:kern w:val="0"/>
      <w:sz w:val="18"/>
      <w:szCs w:val="20"/>
      <w:lang w:val="en-GB" w:eastAsia="en-US"/>
    </w:rPr>
  </w:style>
  <w:style w:type="character" w:customStyle="1" w:styleId="TAHCar">
    <w:name w:val="TAH Car"/>
    <w:link w:val="TAH"/>
    <w:rsid w:val="001C5D0C"/>
    <w:rPr>
      <w:rFonts w:ascii="Arial" w:hAnsi="Arial" w:cs="Times New Roman"/>
      <w:b/>
      <w:kern w:val="0"/>
      <w:sz w:val="18"/>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275CE2"/>
    <w:rPr>
      <w:rFonts w:asciiTheme="majorHAnsi" w:eastAsiaTheme="majorEastAsia" w:hAnsiTheme="majorHAnsi" w:cstheme="majorBidi"/>
      <w:b/>
      <w:bCs/>
      <w:sz w:val="32"/>
      <w:szCs w:val="32"/>
    </w:rPr>
  </w:style>
  <w:style w:type="paragraph" w:styleId="ab">
    <w:name w:val="Body Text"/>
    <w:aliases w:val="bt"/>
    <w:basedOn w:val="a"/>
    <w:link w:val="ac"/>
    <w:rsid w:val="00993C7B"/>
    <w:pPr>
      <w:widowControl/>
      <w:overflowPunct w:val="0"/>
      <w:autoSpaceDE w:val="0"/>
      <w:autoSpaceDN w:val="0"/>
      <w:adjustRightInd w:val="0"/>
      <w:spacing w:after="120"/>
      <w:textAlignment w:val="baseline"/>
    </w:pPr>
    <w:rPr>
      <w:rFonts w:ascii="Times" w:eastAsia="Times New Roman" w:hAnsi="Times"/>
      <w:kern w:val="0"/>
      <w:sz w:val="20"/>
      <w:szCs w:val="24"/>
      <w:lang w:val="en-GB" w:eastAsia="en-GB"/>
    </w:rPr>
  </w:style>
  <w:style w:type="character" w:customStyle="1" w:styleId="ac">
    <w:name w:val="正文文本 字符"/>
    <w:aliases w:val="bt 字符"/>
    <w:basedOn w:val="a0"/>
    <w:link w:val="ab"/>
    <w:rsid w:val="00993C7B"/>
    <w:rPr>
      <w:rFonts w:ascii="Times" w:eastAsia="Times New Roman" w:hAnsi="Times" w:cs="Times New Roman"/>
      <w:kern w:val="0"/>
      <w:sz w:val="20"/>
      <w:szCs w:val="24"/>
      <w:lang w:val="en-GB" w:eastAsia="en-GB"/>
    </w:rPr>
  </w:style>
  <w:style w:type="character" w:styleId="ad">
    <w:name w:val="Placeholder Text"/>
    <w:basedOn w:val="a0"/>
    <w:uiPriority w:val="99"/>
    <w:semiHidden/>
    <w:rsid w:val="0086016D"/>
    <w:rPr>
      <w:color w:val="808080"/>
    </w:rPr>
  </w:style>
  <w:style w:type="table" w:styleId="ae">
    <w:name w:val="Table Grid"/>
    <w:basedOn w:val="a1"/>
    <w:qFormat/>
    <w:rsid w:val="00FE1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B60523"/>
    <w:rPr>
      <w:rFonts w:ascii="Times New Roman" w:eastAsia="宋体"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semiHidden/>
    <w:rsid w:val="003273E3"/>
    <w:rPr>
      <w:rFonts w:ascii="Times New Roman" w:eastAsia="宋体" w:hAnsi="Times New Roman" w:cs="Times New Roman"/>
      <w:kern w:val="0"/>
      <w:sz w:val="22"/>
      <w:szCs w:val="28"/>
      <w:lang w:eastAsia="en-US"/>
    </w:rPr>
  </w:style>
  <w:style w:type="character" w:customStyle="1" w:styleId="50">
    <w:name w:val="标题 5 字符"/>
    <w:aliases w:val="h5 字符,Heading5 字符,H5 字符"/>
    <w:basedOn w:val="a0"/>
    <w:link w:val="5"/>
    <w:semiHidden/>
    <w:rsid w:val="003273E3"/>
    <w:rPr>
      <w:rFonts w:ascii="Times New Roman" w:eastAsia="宋体" w:hAnsi="Times New Roman" w:cs="Times New Roman"/>
      <w:i/>
      <w:iCs/>
      <w:kern w:val="0"/>
      <w:sz w:val="22"/>
      <w:szCs w:val="26"/>
      <w:lang w:eastAsia="en-US"/>
    </w:rPr>
  </w:style>
  <w:style w:type="character" w:customStyle="1" w:styleId="60">
    <w:name w:val="标题 6 字符"/>
    <w:basedOn w:val="a0"/>
    <w:link w:val="6"/>
    <w:semiHidden/>
    <w:rsid w:val="003273E3"/>
    <w:rPr>
      <w:rFonts w:ascii="Times New Roman" w:eastAsia="宋体" w:hAnsi="Times New Roman" w:cs="Times New Roman"/>
      <w:b/>
      <w:bCs/>
      <w:kern w:val="0"/>
      <w:sz w:val="22"/>
      <w:lang w:eastAsia="en-US"/>
    </w:rPr>
  </w:style>
  <w:style w:type="character" w:customStyle="1" w:styleId="70">
    <w:name w:val="标题 7 字符"/>
    <w:basedOn w:val="a0"/>
    <w:link w:val="7"/>
    <w:semiHidden/>
    <w:rsid w:val="003273E3"/>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semiHidden/>
    <w:rsid w:val="003273E3"/>
    <w:rPr>
      <w:rFonts w:ascii="Times New Roman"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semiHidden/>
    <w:rsid w:val="003273E3"/>
    <w:rPr>
      <w:rFonts w:ascii="Arial" w:hAnsi="Arial" w:cs="Arial"/>
      <w:kern w:val="0"/>
      <w:sz w:val="22"/>
      <w:lang w:eastAsia="en-US"/>
    </w:rPr>
  </w:style>
  <w:style w:type="paragraph" w:styleId="af">
    <w:name w:val="Normal (Web)"/>
    <w:basedOn w:val="a"/>
    <w:uiPriority w:val="99"/>
    <w:semiHidden/>
    <w:unhideWhenUsed/>
    <w:rsid w:val="006F25FD"/>
    <w:pPr>
      <w:widowControl/>
      <w:spacing w:before="100" w:beforeAutospacing="1" w:after="100" w:afterAutospacing="1"/>
      <w:jc w:val="left"/>
    </w:pPr>
    <w:rPr>
      <w:rFonts w:ascii="宋体" w:hAnsi="宋体" w:cs="宋体"/>
      <w:kern w:val="0"/>
      <w:sz w:val="24"/>
      <w:szCs w:val="24"/>
    </w:rPr>
  </w:style>
  <w:style w:type="paragraph" w:styleId="af0">
    <w:name w:val="footnote text"/>
    <w:basedOn w:val="a"/>
    <w:link w:val="af1"/>
    <w:semiHidden/>
    <w:rsid w:val="00390F29"/>
    <w:pPr>
      <w:widowControl/>
    </w:pPr>
    <w:rPr>
      <w:rFonts w:ascii="Times" w:eastAsia="Batang" w:hAnsi="Times"/>
      <w:kern w:val="0"/>
      <w:sz w:val="20"/>
      <w:lang w:val="x-none" w:eastAsia="x-none"/>
    </w:rPr>
  </w:style>
  <w:style w:type="character" w:customStyle="1" w:styleId="af1">
    <w:name w:val="脚注文本 字符"/>
    <w:basedOn w:val="a0"/>
    <w:link w:val="af0"/>
    <w:semiHidden/>
    <w:rsid w:val="00390F29"/>
    <w:rPr>
      <w:rFonts w:ascii="Times" w:eastAsia="Batang" w:hAnsi="Times" w:cs="Times New Roman"/>
      <w:kern w:val="0"/>
      <w:sz w:val="20"/>
      <w:szCs w:val="20"/>
      <w:lang w:val="x-none" w:eastAsia="x-none"/>
    </w:rPr>
  </w:style>
  <w:style w:type="paragraph" w:customStyle="1" w:styleId="B2">
    <w:name w:val="B2"/>
    <w:basedOn w:val="a"/>
    <w:link w:val="B2Char"/>
    <w:qFormat/>
    <w:rsid w:val="003A30B9"/>
    <w:pPr>
      <w:widowControl/>
      <w:spacing w:after="180"/>
      <w:ind w:left="851" w:hanging="284"/>
      <w:jc w:val="left"/>
    </w:pPr>
    <w:rPr>
      <w:rFonts w:eastAsiaTheme="minorEastAsia"/>
      <w:kern w:val="0"/>
      <w:sz w:val="20"/>
      <w:lang w:val="x-none" w:eastAsia="en-US"/>
    </w:rPr>
  </w:style>
  <w:style w:type="character" w:customStyle="1" w:styleId="B2Char">
    <w:name w:val="B2 Char"/>
    <w:link w:val="B2"/>
    <w:qFormat/>
    <w:rsid w:val="003A30B9"/>
    <w:rPr>
      <w:rFonts w:ascii="Times New Roman" w:hAnsi="Times New Roman" w:cs="Times New Roman"/>
      <w:kern w:val="0"/>
      <w:sz w:val="20"/>
      <w:szCs w:val="20"/>
      <w:lang w:val="x-none" w:eastAsia="en-US"/>
    </w:rPr>
  </w:style>
  <w:style w:type="paragraph" w:customStyle="1" w:styleId="TH">
    <w:name w:val="TH"/>
    <w:basedOn w:val="a"/>
    <w:link w:val="THChar"/>
    <w:qFormat/>
    <w:rsid w:val="007B103B"/>
    <w:pPr>
      <w:keepNext/>
      <w:keepLines/>
      <w:widowControl/>
      <w:spacing w:before="60" w:after="180"/>
      <w:jc w:val="center"/>
    </w:pPr>
    <w:rPr>
      <w:rFonts w:ascii="Arial" w:eastAsiaTheme="minorEastAsia" w:hAnsi="Arial"/>
      <w:b/>
      <w:kern w:val="0"/>
      <w:sz w:val="20"/>
      <w:lang w:val="x-none" w:eastAsia="en-US"/>
    </w:rPr>
  </w:style>
  <w:style w:type="character" w:customStyle="1" w:styleId="THChar">
    <w:name w:val="TH Char"/>
    <w:link w:val="TH"/>
    <w:qFormat/>
    <w:rsid w:val="007B103B"/>
    <w:rPr>
      <w:rFonts w:ascii="Arial" w:hAnsi="Arial" w:cs="Times New Roman"/>
      <w:b/>
      <w:kern w:val="0"/>
      <w:sz w:val="20"/>
      <w:szCs w:val="20"/>
      <w:lang w:val="x-none" w:eastAsia="en-US"/>
    </w:rPr>
  </w:style>
  <w:style w:type="character" w:styleId="af2">
    <w:name w:val="Hyperlink"/>
    <w:uiPriority w:val="99"/>
    <w:rsid w:val="00D25FEE"/>
    <w:rPr>
      <w:color w:val="0000FF"/>
      <w:u w:val="single"/>
    </w:rPr>
  </w:style>
  <w:style w:type="paragraph" w:customStyle="1" w:styleId="EQ">
    <w:name w:val="EQ"/>
    <w:basedOn w:val="a"/>
    <w:next w:val="a"/>
    <w:qFormat/>
    <w:rsid w:val="0088478B"/>
    <w:pPr>
      <w:keepLines/>
      <w:widowControl/>
      <w:tabs>
        <w:tab w:val="center" w:pos="4536"/>
        <w:tab w:val="right" w:pos="9072"/>
      </w:tabs>
      <w:spacing w:after="180"/>
      <w:jc w:val="left"/>
    </w:pPr>
    <w:rPr>
      <w:rFonts w:eastAsiaTheme="minorEastAsia"/>
      <w:noProof/>
      <w:kern w:val="0"/>
      <w:sz w:val="20"/>
      <w:lang w:val="en-GB" w:eastAsia="en-US"/>
    </w:rPr>
  </w:style>
  <w:style w:type="paragraph" w:customStyle="1" w:styleId="Agreement">
    <w:name w:val="Agreement"/>
    <w:basedOn w:val="a"/>
    <w:next w:val="a"/>
    <w:rsid w:val="00AE1961"/>
    <w:pPr>
      <w:widowControl/>
      <w:numPr>
        <w:numId w:val="15"/>
      </w:numPr>
      <w:spacing w:before="60"/>
      <w:jc w:val="left"/>
    </w:pPr>
    <w:rPr>
      <w:rFonts w:ascii="Arial" w:eastAsia="MS Mincho" w:hAnsi="Arial"/>
      <w:b/>
      <w:kern w:val="0"/>
      <w:sz w:val="20"/>
      <w:szCs w:val="24"/>
      <w:lang w:val="en-GB" w:eastAsia="en-GB"/>
    </w:rPr>
  </w:style>
  <w:style w:type="paragraph" w:styleId="af3">
    <w:name w:val="Balloon Text"/>
    <w:basedOn w:val="a"/>
    <w:link w:val="af4"/>
    <w:uiPriority w:val="99"/>
    <w:semiHidden/>
    <w:unhideWhenUsed/>
    <w:rsid w:val="008635C5"/>
    <w:rPr>
      <w:sz w:val="18"/>
      <w:szCs w:val="18"/>
    </w:rPr>
  </w:style>
  <w:style w:type="character" w:customStyle="1" w:styleId="af4">
    <w:name w:val="批注框文本 字符"/>
    <w:basedOn w:val="a0"/>
    <w:link w:val="af3"/>
    <w:uiPriority w:val="99"/>
    <w:semiHidden/>
    <w:rsid w:val="008635C5"/>
    <w:rPr>
      <w:rFonts w:ascii="Times New Roman" w:eastAsia="宋体" w:hAnsi="Times New Roman" w:cs="Times New Roman"/>
      <w:sz w:val="18"/>
      <w:szCs w:val="18"/>
    </w:rPr>
  </w:style>
  <w:style w:type="character" w:customStyle="1" w:styleId="21">
    <w:name w:val="列出段落 字符2"/>
    <w:aliases w:val="- Bullets 字符1,목록 단락 字符1,リスト段落 字符1,?? ?? 字符1,????? 字符1,???? 字符1"/>
    <w:uiPriority w:val="34"/>
    <w:rsid w:val="00BC30CF"/>
    <w:rPr>
      <w:rFonts w:ascii="Times" w:eastAsia="Batang" w:hAnsi="Times"/>
      <w:szCs w:val="24"/>
      <w:lang w:val="en-GB"/>
    </w:rPr>
  </w:style>
  <w:style w:type="character" w:styleId="af5">
    <w:name w:val="annotation reference"/>
    <w:rsid w:val="00172C7E"/>
    <w:rPr>
      <w:sz w:val="21"/>
      <w:szCs w:val="21"/>
    </w:rPr>
  </w:style>
  <w:style w:type="paragraph" w:styleId="af6">
    <w:name w:val="annotation text"/>
    <w:basedOn w:val="a"/>
    <w:link w:val="af7"/>
    <w:rsid w:val="00172C7E"/>
    <w:pPr>
      <w:jc w:val="left"/>
    </w:pPr>
  </w:style>
  <w:style w:type="character" w:customStyle="1" w:styleId="af7">
    <w:name w:val="批注文字 字符"/>
    <w:basedOn w:val="a0"/>
    <w:link w:val="af6"/>
    <w:rsid w:val="00172C7E"/>
    <w:rPr>
      <w:rFonts w:ascii="Times New Roman" w:eastAsia="宋体" w:hAnsi="Times New Roman" w:cs="Times New Roman"/>
      <w:szCs w:val="20"/>
    </w:rPr>
  </w:style>
  <w:style w:type="character" w:customStyle="1" w:styleId="apple-converted-space">
    <w:name w:val="apple-converted-space"/>
    <w:rsid w:val="00157CD5"/>
  </w:style>
  <w:style w:type="paragraph" w:customStyle="1" w:styleId="textintend1">
    <w:name w:val="text intend 1"/>
    <w:basedOn w:val="a"/>
    <w:rsid w:val="0040530A"/>
    <w:pPr>
      <w:widowControl/>
      <w:numPr>
        <w:numId w:val="34"/>
      </w:numPr>
      <w:spacing w:after="120"/>
    </w:pPr>
    <w:rPr>
      <w:rFonts w:eastAsia="MS Gothic"/>
      <w:kern w:val="0"/>
      <w:sz w:val="24"/>
      <w:lang w:eastAsia="ja-JP"/>
    </w:rPr>
  </w:style>
  <w:style w:type="paragraph" w:customStyle="1" w:styleId="TF">
    <w:name w:val="TF"/>
    <w:basedOn w:val="TH"/>
    <w:link w:val="TFChar"/>
    <w:qFormat/>
    <w:rsid w:val="00BA4263"/>
    <w:pPr>
      <w:keepNext w:val="0"/>
      <w:spacing w:before="0" w:after="240"/>
    </w:pPr>
    <w:rPr>
      <w:lang w:val="en-GB"/>
    </w:rPr>
  </w:style>
  <w:style w:type="character" w:customStyle="1" w:styleId="TFChar">
    <w:name w:val="TF Char"/>
    <w:link w:val="TF"/>
    <w:rsid w:val="00BA4263"/>
    <w:rPr>
      <w:rFonts w:ascii="Arial" w:hAnsi="Arial" w:cs="Times New Roman"/>
      <w:b/>
      <w:kern w:val="0"/>
      <w:sz w:val="20"/>
      <w:szCs w:val="20"/>
      <w:lang w:val="en-GB" w:eastAsia="en-US"/>
    </w:rPr>
  </w:style>
  <w:style w:type="paragraph" w:customStyle="1" w:styleId="NO">
    <w:name w:val="NO"/>
    <w:basedOn w:val="a"/>
    <w:link w:val="NOChar"/>
    <w:rsid w:val="009F1E8B"/>
    <w:pPr>
      <w:keepLines/>
      <w:widowControl/>
      <w:overflowPunct w:val="0"/>
      <w:autoSpaceDE w:val="0"/>
      <w:autoSpaceDN w:val="0"/>
      <w:adjustRightInd w:val="0"/>
      <w:spacing w:after="180"/>
      <w:ind w:left="1135" w:hanging="851"/>
      <w:jc w:val="left"/>
      <w:textAlignment w:val="baseline"/>
    </w:pPr>
    <w:rPr>
      <w:rFonts w:eastAsia="Times New Roman"/>
      <w:kern w:val="0"/>
      <w:sz w:val="20"/>
      <w:lang w:val="en-GB" w:eastAsia="ja-JP"/>
    </w:rPr>
  </w:style>
  <w:style w:type="paragraph" w:customStyle="1" w:styleId="B3">
    <w:name w:val="B3"/>
    <w:basedOn w:val="31"/>
    <w:link w:val="B3Char"/>
    <w:rsid w:val="009F1E8B"/>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kern w:val="0"/>
      <w:sz w:val="20"/>
      <w:lang w:val="en-GB" w:eastAsia="ja-JP"/>
    </w:rPr>
  </w:style>
  <w:style w:type="paragraph" w:customStyle="1" w:styleId="B4">
    <w:name w:val="B4"/>
    <w:basedOn w:val="41"/>
    <w:link w:val="B4Char"/>
    <w:rsid w:val="009F1E8B"/>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kern w:val="0"/>
      <w:sz w:val="20"/>
      <w:lang w:val="en-GB" w:eastAsia="ja-JP"/>
    </w:rPr>
  </w:style>
  <w:style w:type="paragraph" w:customStyle="1" w:styleId="B5">
    <w:name w:val="B5"/>
    <w:basedOn w:val="51"/>
    <w:link w:val="B5Char"/>
    <w:rsid w:val="009F1E8B"/>
    <w:pPr>
      <w:widowControl/>
      <w:overflowPunct w:val="0"/>
      <w:autoSpaceDE w:val="0"/>
      <w:autoSpaceDN w:val="0"/>
      <w:adjustRightInd w:val="0"/>
      <w:spacing w:after="180"/>
      <w:ind w:leftChars="0" w:left="1702" w:firstLineChars="0" w:hanging="284"/>
      <w:contextualSpacing w:val="0"/>
      <w:jc w:val="left"/>
      <w:textAlignment w:val="baseline"/>
    </w:pPr>
    <w:rPr>
      <w:rFonts w:eastAsia="Times New Roman"/>
      <w:kern w:val="0"/>
      <w:sz w:val="20"/>
      <w:lang w:val="en-GB" w:eastAsia="ja-JP"/>
    </w:rPr>
  </w:style>
  <w:style w:type="character" w:customStyle="1" w:styleId="B5Char">
    <w:name w:val="B5 Char"/>
    <w:link w:val="B5"/>
    <w:qFormat/>
    <w:locked/>
    <w:rsid w:val="009F1E8B"/>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9F1E8B"/>
    <w:rPr>
      <w:rFonts w:eastAsia="Times New Roman"/>
    </w:rPr>
  </w:style>
  <w:style w:type="character" w:customStyle="1" w:styleId="B1Char">
    <w:name w:val="B1 Char"/>
    <w:qFormat/>
    <w:rsid w:val="009F1E8B"/>
    <w:rPr>
      <w:rFonts w:eastAsia="Times New Roman"/>
    </w:rPr>
  </w:style>
  <w:style w:type="paragraph" w:customStyle="1" w:styleId="B6">
    <w:name w:val="B6"/>
    <w:basedOn w:val="B5"/>
    <w:link w:val="B6Char"/>
    <w:qFormat/>
    <w:rsid w:val="009F1E8B"/>
    <w:pPr>
      <w:ind w:left="1985"/>
    </w:pPr>
    <w:rPr>
      <w:rFonts w:asciiTheme="minorHAnsi" w:hAnsiTheme="minorHAnsi" w:cstheme="minorBidi"/>
      <w:kern w:val="2"/>
      <w:sz w:val="21"/>
      <w:szCs w:val="22"/>
      <w:lang w:val="en-US" w:eastAsia="zh-CN"/>
    </w:rPr>
  </w:style>
  <w:style w:type="character" w:customStyle="1" w:styleId="B3Char">
    <w:name w:val="B3 Char"/>
    <w:link w:val="B3"/>
    <w:qFormat/>
    <w:rsid w:val="009F1E8B"/>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9F1E8B"/>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9F1E8B"/>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9F1E8B"/>
    <w:pPr>
      <w:ind w:leftChars="400" w:left="100" w:hangingChars="200" w:hanging="200"/>
      <w:contextualSpacing/>
    </w:pPr>
  </w:style>
  <w:style w:type="paragraph" w:styleId="41">
    <w:name w:val="List 4"/>
    <w:basedOn w:val="a"/>
    <w:uiPriority w:val="99"/>
    <w:semiHidden/>
    <w:unhideWhenUsed/>
    <w:rsid w:val="009F1E8B"/>
    <w:pPr>
      <w:ind w:leftChars="600" w:left="100" w:hangingChars="200" w:hanging="200"/>
      <w:contextualSpacing/>
    </w:pPr>
  </w:style>
  <w:style w:type="paragraph" w:styleId="51">
    <w:name w:val="List 5"/>
    <w:basedOn w:val="a"/>
    <w:uiPriority w:val="99"/>
    <w:semiHidden/>
    <w:unhideWhenUsed/>
    <w:rsid w:val="009F1E8B"/>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898053">
      <w:bodyDiv w:val="1"/>
      <w:marLeft w:val="0"/>
      <w:marRight w:val="0"/>
      <w:marTop w:val="0"/>
      <w:marBottom w:val="0"/>
      <w:divBdr>
        <w:top w:val="none" w:sz="0" w:space="0" w:color="auto"/>
        <w:left w:val="none" w:sz="0" w:space="0" w:color="auto"/>
        <w:bottom w:val="none" w:sz="0" w:space="0" w:color="auto"/>
        <w:right w:val="none" w:sz="0" w:space="0" w:color="auto"/>
      </w:divBdr>
    </w:div>
    <w:div w:id="193155091">
      <w:bodyDiv w:val="1"/>
      <w:marLeft w:val="0"/>
      <w:marRight w:val="0"/>
      <w:marTop w:val="0"/>
      <w:marBottom w:val="0"/>
      <w:divBdr>
        <w:top w:val="none" w:sz="0" w:space="0" w:color="auto"/>
        <w:left w:val="none" w:sz="0" w:space="0" w:color="auto"/>
        <w:bottom w:val="none" w:sz="0" w:space="0" w:color="auto"/>
        <w:right w:val="none" w:sz="0" w:space="0" w:color="auto"/>
      </w:divBdr>
    </w:div>
    <w:div w:id="308170153">
      <w:bodyDiv w:val="1"/>
      <w:marLeft w:val="0"/>
      <w:marRight w:val="0"/>
      <w:marTop w:val="0"/>
      <w:marBottom w:val="0"/>
      <w:divBdr>
        <w:top w:val="none" w:sz="0" w:space="0" w:color="auto"/>
        <w:left w:val="none" w:sz="0" w:space="0" w:color="auto"/>
        <w:bottom w:val="none" w:sz="0" w:space="0" w:color="auto"/>
        <w:right w:val="none" w:sz="0" w:space="0" w:color="auto"/>
      </w:divBdr>
    </w:div>
    <w:div w:id="347488784">
      <w:bodyDiv w:val="1"/>
      <w:marLeft w:val="0"/>
      <w:marRight w:val="0"/>
      <w:marTop w:val="0"/>
      <w:marBottom w:val="0"/>
      <w:divBdr>
        <w:top w:val="none" w:sz="0" w:space="0" w:color="auto"/>
        <w:left w:val="none" w:sz="0" w:space="0" w:color="auto"/>
        <w:bottom w:val="none" w:sz="0" w:space="0" w:color="auto"/>
        <w:right w:val="none" w:sz="0" w:space="0" w:color="auto"/>
      </w:divBdr>
    </w:div>
    <w:div w:id="356851200">
      <w:bodyDiv w:val="1"/>
      <w:marLeft w:val="0"/>
      <w:marRight w:val="0"/>
      <w:marTop w:val="0"/>
      <w:marBottom w:val="0"/>
      <w:divBdr>
        <w:top w:val="none" w:sz="0" w:space="0" w:color="auto"/>
        <w:left w:val="none" w:sz="0" w:space="0" w:color="auto"/>
        <w:bottom w:val="none" w:sz="0" w:space="0" w:color="auto"/>
        <w:right w:val="none" w:sz="0" w:space="0" w:color="auto"/>
      </w:divBdr>
    </w:div>
    <w:div w:id="458258604">
      <w:bodyDiv w:val="1"/>
      <w:marLeft w:val="0"/>
      <w:marRight w:val="0"/>
      <w:marTop w:val="0"/>
      <w:marBottom w:val="0"/>
      <w:divBdr>
        <w:top w:val="none" w:sz="0" w:space="0" w:color="auto"/>
        <w:left w:val="none" w:sz="0" w:space="0" w:color="auto"/>
        <w:bottom w:val="none" w:sz="0" w:space="0" w:color="auto"/>
        <w:right w:val="none" w:sz="0" w:space="0" w:color="auto"/>
      </w:divBdr>
    </w:div>
    <w:div w:id="485050502">
      <w:bodyDiv w:val="1"/>
      <w:marLeft w:val="0"/>
      <w:marRight w:val="0"/>
      <w:marTop w:val="0"/>
      <w:marBottom w:val="0"/>
      <w:divBdr>
        <w:top w:val="none" w:sz="0" w:space="0" w:color="auto"/>
        <w:left w:val="none" w:sz="0" w:space="0" w:color="auto"/>
        <w:bottom w:val="none" w:sz="0" w:space="0" w:color="auto"/>
        <w:right w:val="none" w:sz="0" w:space="0" w:color="auto"/>
      </w:divBdr>
    </w:div>
    <w:div w:id="489713532">
      <w:bodyDiv w:val="1"/>
      <w:marLeft w:val="0"/>
      <w:marRight w:val="0"/>
      <w:marTop w:val="0"/>
      <w:marBottom w:val="0"/>
      <w:divBdr>
        <w:top w:val="none" w:sz="0" w:space="0" w:color="auto"/>
        <w:left w:val="none" w:sz="0" w:space="0" w:color="auto"/>
        <w:bottom w:val="none" w:sz="0" w:space="0" w:color="auto"/>
        <w:right w:val="none" w:sz="0" w:space="0" w:color="auto"/>
      </w:divBdr>
    </w:div>
    <w:div w:id="718631376">
      <w:bodyDiv w:val="1"/>
      <w:marLeft w:val="0"/>
      <w:marRight w:val="0"/>
      <w:marTop w:val="0"/>
      <w:marBottom w:val="0"/>
      <w:divBdr>
        <w:top w:val="none" w:sz="0" w:space="0" w:color="auto"/>
        <w:left w:val="none" w:sz="0" w:space="0" w:color="auto"/>
        <w:bottom w:val="none" w:sz="0" w:space="0" w:color="auto"/>
        <w:right w:val="none" w:sz="0" w:space="0" w:color="auto"/>
      </w:divBdr>
    </w:div>
    <w:div w:id="883368360">
      <w:bodyDiv w:val="1"/>
      <w:marLeft w:val="0"/>
      <w:marRight w:val="0"/>
      <w:marTop w:val="0"/>
      <w:marBottom w:val="0"/>
      <w:divBdr>
        <w:top w:val="none" w:sz="0" w:space="0" w:color="auto"/>
        <w:left w:val="none" w:sz="0" w:space="0" w:color="auto"/>
        <w:bottom w:val="none" w:sz="0" w:space="0" w:color="auto"/>
        <w:right w:val="none" w:sz="0" w:space="0" w:color="auto"/>
      </w:divBdr>
    </w:div>
    <w:div w:id="907348851">
      <w:bodyDiv w:val="1"/>
      <w:marLeft w:val="0"/>
      <w:marRight w:val="0"/>
      <w:marTop w:val="0"/>
      <w:marBottom w:val="0"/>
      <w:divBdr>
        <w:top w:val="none" w:sz="0" w:space="0" w:color="auto"/>
        <w:left w:val="none" w:sz="0" w:space="0" w:color="auto"/>
        <w:bottom w:val="none" w:sz="0" w:space="0" w:color="auto"/>
        <w:right w:val="none" w:sz="0" w:space="0" w:color="auto"/>
      </w:divBdr>
    </w:div>
    <w:div w:id="957300195">
      <w:bodyDiv w:val="1"/>
      <w:marLeft w:val="0"/>
      <w:marRight w:val="0"/>
      <w:marTop w:val="0"/>
      <w:marBottom w:val="0"/>
      <w:divBdr>
        <w:top w:val="none" w:sz="0" w:space="0" w:color="auto"/>
        <w:left w:val="none" w:sz="0" w:space="0" w:color="auto"/>
        <w:bottom w:val="none" w:sz="0" w:space="0" w:color="auto"/>
        <w:right w:val="none" w:sz="0" w:space="0" w:color="auto"/>
      </w:divBdr>
    </w:div>
    <w:div w:id="991058729">
      <w:bodyDiv w:val="1"/>
      <w:marLeft w:val="0"/>
      <w:marRight w:val="0"/>
      <w:marTop w:val="0"/>
      <w:marBottom w:val="0"/>
      <w:divBdr>
        <w:top w:val="none" w:sz="0" w:space="0" w:color="auto"/>
        <w:left w:val="none" w:sz="0" w:space="0" w:color="auto"/>
        <w:bottom w:val="none" w:sz="0" w:space="0" w:color="auto"/>
        <w:right w:val="none" w:sz="0" w:space="0" w:color="auto"/>
      </w:divBdr>
    </w:div>
    <w:div w:id="1050418817">
      <w:bodyDiv w:val="1"/>
      <w:marLeft w:val="0"/>
      <w:marRight w:val="0"/>
      <w:marTop w:val="0"/>
      <w:marBottom w:val="0"/>
      <w:divBdr>
        <w:top w:val="none" w:sz="0" w:space="0" w:color="auto"/>
        <w:left w:val="none" w:sz="0" w:space="0" w:color="auto"/>
        <w:bottom w:val="none" w:sz="0" w:space="0" w:color="auto"/>
        <w:right w:val="none" w:sz="0" w:space="0" w:color="auto"/>
      </w:divBdr>
    </w:div>
    <w:div w:id="1130443336">
      <w:bodyDiv w:val="1"/>
      <w:marLeft w:val="0"/>
      <w:marRight w:val="0"/>
      <w:marTop w:val="0"/>
      <w:marBottom w:val="0"/>
      <w:divBdr>
        <w:top w:val="none" w:sz="0" w:space="0" w:color="auto"/>
        <w:left w:val="none" w:sz="0" w:space="0" w:color="auto"/>
        <w:bottom w:val="none" w:sz="0" w:space="0" w:color="auto"/>
        <w:right w:val="none" w:sz="0" w:space="0" w:color="auto"/>
      </w:divBdr>
    </w:div>
    <w:div w:id="1254437017">
      <w:bodyDiv w:val="1"/>
      <w:marLeft w:val="0"/>
      <w:marRight w:val="0"/>
      <w:marTop w:val="0"/>
      <w:marBottom w:val="0"/>
      <w:divBdr>
        <w:top w:val="none" w:sz="0" w:space="0" w:color="auto"/>
        <w:left w:val="none" w:sz="0" w:space="0" w:color="auto"/>
        <w:bottom w:val="none" w:sz="0" w:space="0" w:color="auto"/>
        <w:right w:val="none" w:sz="0" w:space="0" w:color="auto"/>
      </w:divBdr>
      <w:divsChild>
        <w:div w:id="235556045">
          <w:marLeft w:val="2520"/>
          <w:marRight w:val="0"/>
          <w:marTop w:val="100"/>
          <w:marBottom w:val="0"/>
          <w:divBdr>
            <w:top w:val="none" w:sz="0" w:space="0" w:color="auto"/>
            <w:left w:val="none" w:sz="0" w:space="0" w:color="auto"/>
            <w:bottom w:val="none" w:sz="0" w:space="0" w:color="auto"/>
            <w:right w:val="none" w:sz="0" w:space="0" w:color="auto"/>
          </w:divBdr>
        </w:div>
        <w:div w:id="848526830">
          <w:marLeft w:val="2520"/>
          <w:marRight w:val="0"/>
          <w:marTop w:val="100"/>
          <w:marBottom w:val="0"/>
          <w:divBdr>
            <w:top w:val="none" w:sz="0" w:space="0" w:color="auto"/>
            <w:left w:val="none" w:sz="0" w:space="0" w:color="auto"/>
            <w:bottom w:val="none" w:sz="0" w:space="0" w:color="auto"/>
            <w:right w:val="none" w:sz="0" w:space="0" w:color="auto"/>
          </w:divBdr>
        </w:div>
        <w:div w:id="1688827177">
          <w:marLeft w:val="2520"/>
          <w:marRight w:val="0"/>
          <w:marTop w:val="100"/>
          <w:marBottom w:val="0"/>
          <w:divBdr>
            <w:top w:val="none" w:sz="0" w:space="0" w:color="auto"/>
            <w:left w:val="none" w:sz="0" w:space="0" w:color="auto"/>
            <w:bottom w:val="none" w:sz="0" w:space="0" w:color="auto"/>
            <w:right w:val="none" w:sz="0" w:space="0" w:color="auto"/>
          </w:divBdr>
        </w:div>
      </w:divsChild>
    </w:div>
    <w:div w:id="1296325916">
      <w:bodyDiv w:val="1"/>
      <w:marLeft w:val="0"/>
      <w:marRight w:val="0"/>
      <w:marTop w:val="0"/>
      <w:marBottom w:val="0"/>
      <w:divBdr>
        <w:top w:val="none" w:sz="0" w:space="0" w:color="auto"/>
        <w:left w:val="none" w:sz="0" w:space="0" w:color="auto"/>
        <w:bottom w:val="none" w:sz="0" w:space="0" w:color="auto"/>
        <w:right w:val="none" w:sz="0" w:space="0" w:color="auto"/>
      </w:divBdr>
    </w:div>
    <w:div w:id="1320963090">
      <w:bodyDiv w:val="1"/>
      <w:marLeft w:val="0"/>
      <w:marRight w:val="0"/>
      <w:marTop w:val="0"/>
      <w:marBottom w:val="0"/>
      <w:divBdr>
        <w:top w:val="none" w:sz="0" w:space="0" w:color="auto"/>
        <w:left w:val="none" w:sz="0" w:space="0" w:color="auto"/>
        <w:bottom w:val="none" w:sz="0" w:space="0" w:color="auto"/>
        <w:right w:val="none" w:sz="0" w:space="0" w:color="auto"/>
      </w:divBdr>
    </w:div>
    <w:div w:id="1359967003">
      <w:bodyDiv w:val="1"/>
      <w:marLeft w:val="0"/>
      <w:marRight w:val="0"/>
      <w:marTop w:val="0"/>
      <w:marBottom w:val="0"/>
      <w:divBdr>
        <w:top w:val="none" w:sz="0" w:space="0" w:color="auto"/>
        <w:left w:val="none" w:sz="0" w:space="0" w:color="auto"/>
        <w:bottom w:val="none" w:sz="0" w:space="0" w:color="auto"/>
        <w:right w:val="none" w:sz="0" w:space="0" w:color="auto"/>
      </w:divBdr>
    </w:div>
    <w:div w:id="1441030573">
      <w:bodyDiv w:val="1"/>
      <w:marLeft w:val="0"/>
      <w:marRight w:val="0"/>
      <w:marTop w:val="0"/>
      <w:marBottom w:val="0"/>
      <w:divBdr>
        <w:top w:val="none" w:sz="0" w:space="0" w:color="auto"/>
        <w:left w:val="none" w:sz="0" w:space="0" w:color="auto"/>
        <w:bottom w:val="none" w:sz="0" w:space="0" w:color="auto"/>
        <w:right w:val="none" w:sz="0" w:space="0" w:color="auto"/>
      </w:divBdr>
    </w:div>
    <w:div w:id="1494761083">
      <w:bodyDiv w:val="1"/>
      <w:marLeft w:val="0"/>
      <w:marRight w:val="0"/>
      <w:marTop w:val="0"/>
      <w:marBottom w:val="0"/>
      <w:divBdr>
        <w:top w:val="none" w:sz="0" w:space="0" w:color="auto"/>
        <w:left w:val="none" w:sz="0" w:space="0" w:color="auto"/>
        <w:bottom w:val="none" w:sz="0" w:space="0" w:color="auto"/>
        <w:right w:val="none" w:sz="0" w:space="0" w:color="auto"/>
      </w:divBdr>
    </w:div>
    <w:div w:id="1507330934">
      <w:bodyDiv w:val="1"/>
      <w:marLeft w:val="0"/>
      <w:marRight w:val="0"/>
      <w:marTop w:val="0"/>
      <w:marBottom w:val="0"/>
      <w:divBdr>
        <w:top w:val="none" w:sz="0" w:space="0" w:color="auto"/>
        <w:left w:val="none" w:sz="0" w:space="0" w:color="auto"/>
        <w:bottom w:val="none" w:sz="0" w:space="0" w:color="auto"/>
        <w:right w:val="none" w:sz="0" w:space="0" w:color="auto"/>
      </w:divBdr>
    </w:div>
    <w:div w:id="1613854665">
      <w:bodyDiv w:val="1"/>
      <w:marLeft w:val="0"/>
      <w:marRight w:val="0"/>
      <w:marTop w:val="0"/>
      <w:marBottom w:val="0"/>
      <w:divBdr>
        <w:top w:val="none" w:sz="0" w:space="0" w:color="auto"/>
        <w:left w:val="none" w:sz="0" w:space="0" w:color="auto"/>
        <w:bottom w:val="none" w:sz="0" w:space="0" w:color="auto"/>
        <w:right w:val="none" w:sz="0" w:space="0" w:color="auto"/>
      </w:divBdr>
    </w:div>
    <w:div w:id="1703288035">
      <w:bodyDiv w:val="1"/>
      <w:marLeft w:val="0"/>
      <w:marRight w:val="0"/>
      <w:marTop w:val="0"/>
      <w:marBottom w:val="0"/>
      <w:divBdr>
        <w:top w:val="none" w:sz="0" w:space="0" w:color="auto"/>
        <w:left w:val="none" w:sz="0" w:space="0" w:color="auto"/>
        <w:bottom w:val="none" w:sz="0" w:space="0" w:color="auto"/>
        <w:right w:val="none" w:sz="0" w:space="0" w:color="auto"/>
      </w:divBdr>
    </w:div>
    <w:div w:id="1811751952">
      <w:bodyDiv w:val="1"/>
      <w:marLeft w:val="0"/>
      <w:marRight w:val="0"/>
      <w:marTop w:val="0"/>
      <w:marBottom w:val="0"/>
      <w:divBdr>
        <w:top w:val="none" w:sz="0" w:space="0" w:color="auto"/>
        <w:left w:val="none" w:sz="0" w:space="0" w:color="auto"/>
        <w:bottom w:val="none" w:sz="0" w:space="0" w:color="auto"/>
        <w:right w:val="none" w:sz="0" w:space="0" w:color="auto"/>
      </w:divBdr>
    </w:div>
    <w:div w:id="1889099830">
      <w:bodyDiv w:val="1"/>
      <w:marLeft w:val="0"/>
      <w:marRight w:val="0"/>
      <w:marTop w:val="0"/>
      <w:marBottom w:val="0"/>
      <w:divBdr>
        <w:top w:val="none" w:sz="0" w:space="0" w:color="auto"/>
        <w:left w:val="none" w:sz="0" w:space="0" w:color="auto"/>
        <w:bottom w:val="none" w:sz="0" w:space="0" w:color="auto"/>
        <w:right w:val="none" w:sz="0" w:space="0" w:color="auto"/>
      </w:divBdr>
    </w:div>
    <w:div w:id="1915583488">
      <w:bodyDiv w:val="1"/>
      <w:marLeft w:val="0"/>
      <w:marRight w:val="0"/>
      <w:marTop w:val="0"/>
      <w:marBottom w:val="0"/>
      <w:divBdr>
        <w:top w:val="none" w:sz="0" w:space="0" w:color="auto"/>
        <w:left w:val="none" w:sz="0" w:space="0" w:color="auto"/>
        <w:bottom w:val="none" w:sz="0" w:space="0" w:color="auto"/>
        <w:right w:val="none" w:sz="0" w:space="0" w:color="auto"/>
      </w:divBdr>
    </w:div>
    <w:div w:id="1942683835">
      <w:bodyDiv w:val="1"/>
      <w:marLeft w:val="0"/>
      <w:marRight w:val="0"/>
      <w:marTop w:val="0"/>
      <w:marBottom w:val="0"/>
      <w:divBdr>
        <w:top w:val="none" w:sz="0" w:space="0" w:color="auto"/>
        <w:left w:val="none" w:sz="0" w:space="0" w:color="auto"/>
        <w:bottom w:val="none" w:sz="0" w:space="0" w:color="auto"/>
        <w:right w:val="none" w:sz="0" w:space="0" w:color="auto"/>
      </w:divBdr>
    </w:div>
    <w:div w:id="1955363253">
      <w:bodyDiv w:val="1"/>
      <w:marLeft w:val="0"/>
      <w:marRight w:val="0"/>
      <w:marTop w:val="0"/>
      <w:marBottom w:val="0"/>
      <w:divBdr>
        <w:top w:val="none" w:sz="0" w:space="0" w:color="auto"/>
        <w:left w:val="none" w:sz="0" w:space="0" w:color="auto"/>
        <w:bottom w:val="none" w:sz="0" w:space="0" w:color="auto"/>
        <w:right w:val="none" w:sz="0" w:space="0" w:color="auto"/>
      </w:divBdr>
    </w:div>
    <w:div w:id="20346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D7EC4-22CB-48A7-8BEE-B954B3C0C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3</Pages>
  <Words>1170</Words>
  <Characters>6670</Characters>
  <Application>Microsoft Office Word</Application>
  <DocSecurity>0</DocSecurity>
  <Lines>55</Lines>
  <Paragraphs>15</Paragraphs>
  <ScaleCrop>false</ScaleCrop>
  <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CATR</dc:creator>
  <cp:keywords/>
  <dc:description/>
  <cp:lastModifiedBy>yanzhy</cp:lastModifiedBy>
  <cp:revision>110</cp:revision>
  <dcterms:created xsi:type="dcterms:W3CDTF">2020-08-06T05:56:00Z</dcterms:created>
  <dcterms:modified xsi:type="dcterms:W3CDTF">2020-08-07T08:49:00Z</dcterms:modified>
</cp:coreProperties>
</file>