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74B1E16E" w:rsidR="003C20D3" w:rsidRPr="005C41F1" w:rsidRDefault="0050043D" w:rsidP="004366E0">
      <w:pPr>
        <w:tabs>
          <w:tab w:val="center" w:pos="4536"/>
          <w:tab w:val="right" w:pos="8280"/>
          <w:tab w:val="right" w:pos="9639"/>
        </w:tabs>
        <w:spacing w:afterLines="50" w:after="120"/>
        <w:ind w:right="2"/>
        <w:jc w:val="both"/>
        <w:rPr>
          <w:b/>
          <w:bCs/>
          <w:sz w:val="28"/>
        </w:rPr>
      </w:pPr>
      <w:bookmarkStart w:id="0" w:name="_Hlk533328020"/>
      <w:r>
        <w:rPr>
          <w:b/>
          <w:bCs/>
          <w:sz w:val="28"/>
        </w:rPr>
        <w:t xml:space="preserve">3GPP TSG RAN WG1 #101   </w:t>
      </w:r>
      <w:r w:rsidR="003C20D3" w:rsidRPr="005C41F1">
        <w:rPr>
          <w:b/>
          <w:bCs/>
          <w:sz w:val="28"/>
        </w:rPr>
        <w:t xml:space="preserve">          </w:t>
      </w:r>
      <w:r w:rsidR="003C20D3" w:rsidRPr="005C41F1">
        <w:rPr>
          <w:b/>
          <w:bCs/>
          <w:sz w:val="28"/>
        </w:rPr>
        <w:tab/>
        <w:t xml:space="preserve">                                     </w:t>
      </w:r>
      <w:r w:rsidR="00E457EC">
        <w:rPr>
          <w:b/>
          <w:bCs/>
          <w:sz w:val="28"/>
        </w:rPr>
        <w:t xml:space="preserve">                           </w:t>
      </w:r>
      <w:r w:rsidR="0075123C">
        <w:rPr>
          <w:b/>
          <w:bCs/>
          <w:sz w:val="28"/>
        </w:rPr>
        <w:t>R1-2003679</w:t>
      </w:r>
    </w:p>
    <w:bookmarkEnd w:id="0"/>
    <w:p w14:paraId="468022D7" w14:textId="5FD7949A" w:rsidR="005C41F1" w:rsidRPr="005C41F1" w:rsidRDefault="0050043D" w:rsidP="004366E0">
      <w:pPr>
        <w:spacing w:afterLines="50" w:after="120"/>
        <w:ind w:left="1985" w:hanging="1985"/>
        <w:rPr>
          <w:b/>
          <w:sz w:val="28"/>
          <w:szCs w:val="28"/>
        </w:rPr>
      </w:pPr>
      <w:r>
        <w:rPr>
          <w:rFonts w:eastAsia="MS Mincho"/>
          <w:b/>
          <w:bCs/>
          <w:sz w:val="28"/>
          <w:lang w:eastAsia="ja-JP"/>
        </w:rPr>
        <w:t>e-Meeting, May 25th</w:t>
      </w:r>
      <w:r w:rsidR="00AF53D1" w:rsidRPr="00AF53D1">
        <w:rPr>
          <w:rFonts w:eastAsia="MS Mincho"/>
          <w:b/>
          <w:bCs/>
          <w:sz w:val="28"/>
          <w:lang w:eastAsia="ja-JP"/>
        </w:rPr>
        <w:t xml:space="preserve"> – </w:t>
      </w:r>
      <w:r>
        <w:rPr>
          <w:rFonts w:eastAsia="MS Mincho"/>
          <w:b/>
          <w:bCs/>
          <w:sz w:val="28"/>
          <w:lang w:eastAsia="ja-JP"/>
        </w:rPr>
        <w:t>June 5th, 2020</w:t>
      </w:r>
    </w:p>
    <w:p w14:paraId="301899BC" w14:textId="259EC7A3" w:rsidR="003C20D3" w:rsidRPr="005C41F1" w:rsidRDefault="0050043D" w:rsidP="004366E0">
      <w:pPr>
        <w:spacing w:afterLines="50" w:after="120"/>
        <w:ind w:left="1985" w:hanging="1985"/>
        <w:rPr>
          <w:b/>
          <w:bCs/>
          <w:sz w:val="28"/>
          <w:szCs w:val="28"/>
        </w:rPr>
      </w:pPr>
      <w:r>
        <w:rPr>
          <w:b/>
          <w:sz w:val="28"/>
          <w:szCs w:val="28"/>
        </w:rPr>
        <w:t>Agenda item:</w:t>
      </w:r>
      <w:r>
        <w:rPr>
          <w:b/>
          <w:sz w:val="28"/>
          <w:szCs w:val="28"/>
        </w:rPr>
        <w:tab/>
        <w:t>8.1.1</w:t>
      </w:r>
    </w:p>
    <w:p w14:paraId="3ACE8376" w14:textId="1E44908A" w:rsidR="003C20D3" w:rsidRPr="007D4109" w:rsidRDefault="0050043D" w:rsidP="004366E0">
      <w:pPr>
        <w:spacing w:afterLines="50" w:after="120"/>
        <w:ind w:left="1985" w:hanging="1985"/>
        <w:rPr>
          <w:b/>
          <w:sz w:val="28"/>
          <w:szCs w:val="28"/>
        </w:rPr>
      </w:pPr>
      <w:r>
        <w:rPr>
          <w:b/>
          <w:sz w:val="28"/>
          <w:szCs w:val="28"/>
        </w:rPr>
        <w:t>Title:</w:t>
      </w:r>
      <w:r>
        <w:rPr>
          <w:b/>
          <w:sz w:val="28"/>
          <w:szCs w:val="28"/>
        </w:rPr>
        <w:tab/>
      </w:r>
      <w:r w:rsidRPr="0050043D">
        <w:rPr>
          <w:b/>
          <w:sz w:val="28"/>
          <w:szCs w:val="28"/>
        </w:rPr>
        <w:t>On Required changes to NR using existing DL/UL NR waveform for supporting NR from 52.6GHz to 71 GHz</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6834F7"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4C6D462" w14:textId="46EA0EDE" w:rsidR="00FC61DB" w:rsidRDefault="002259D0" w:rsidP="00FC61DB">
      <w:pPr>
        <w:adjustRightInd w:val="0"/>
        <w:snapToGrid w:val="0"/>
        <w:spacing w:afterLines="50" w:after="120"/>
        <w:jc w:val="both"/>
        <w:rPr>
          <w:szCs w:val="22"/>
        </w:rPr>
      </w:pPr>
      <w:r>
        <w:rPr>
          <w:szCs w:val="22"/>
        </w:rPr>
        <w:t xml:space="preserve">In </w:t>
      </w:r>
      <w:r w:rsidR="000C39EA">
        <w:rPr>
          <w:szCs w:val="22"/>
        </w:rPr>
        <w:t>3GPP RAN meeting #86</w:t>
      </w:r>
      <w:r w:rsidR="00FC61DB" w:rsidRPr="0052558F">
        <w:rPr>
          <w:szCs w:val="22"/>
        </w:rPr>
        <w:t xml:space="preserve"> meeting</w:t>
      </w:r>
      <w:r w:rsidR="00841883">
        <w:rPr>
          <w:szCs w:val="22"/>
        </w:rPr>
        <w:t xml:space="preserve">, a new SID is agreed on the study of supporting NR from 52.6GHz to 71GHz </w:t>
      </w:r>
      <w:r w:rsidR="00841883">
        <w:rPr>
          <w:szCs w:val="22"/>
        </w:rPr>
        <w:fldChar w:fldCharType="begin"/>
      </w:r>
      <w:r w:rsidR="00841883">
        <w:rPr>
          <w:szCs w:val="22"/>
        </w:rPr>
        <w:instrText xml:space="preserve"> REF _Ref40359806 \r \h </w:instrText>
      </w:r>
      <w:r w:rsidR="00841883">
        <w:rPr>
          <w:szCs w:val="22"/>
        </w:rPr>
      </w:r>
      <w:r w:rsidR="00841883">
        <w:rPr>
          <w:szCs w:val="22"/>
        </w:rPr>
        <w:fldChar w:fldCharType="separate"/>
      </w:r>
      <w:r w:rsidR="00841883">
        <w:rPr>
          <w:szCs w:val="22"/>
        </w:rPr>
        <w:t>[1]</w:t>
      </w:r>
      <w:r w:rsidR="00841883">
        <w:rPr>
          <w:szCs w:val="22"/>
        </w:rPr>
        <w:fldChar w:fldCharType="end"/>
      </w:r>
      <w:r w:rsidR="00841883">
        <w:rPr>
          <w:szCs w:val="22"/>
        </w:rPr>
        <w:t>. Specifically, the study objectives are given as follow:</w:t>
      </w:r>
    </w:p>
    <w:p w14:paraId="15B9D43F" w14:textId="77777777" w:rsidR="00841883" w:rsidRDefault="00841883" w:rsidP="00841883">
      <w:pPr>
        <w:numPr>
          <w:ilvl w:val="0"/>
          <w:numId w:val="44"/>
        </w:numPr>
        <w:overflowPunct w:val="0"/>
        <w:autoSpaceDE w:val="0"/>
        <w:autoSpaceDN w:val="0"/>
        <w:adjustRightInd w:val="0"/>
        <w:rPr>
          <w:bCs/>
        </w:rPr>
      </w:pPr>
      <w:r>
        <w:rPr>
          <w:bCs/>
        </w:rPr>
        <w:t>Study of required changes to NR using existing DL/UL NR waveform to support operation between 52.6 GHz and 71 GHz</w:t>
      </w:r>
    </w:p>
    <w:p w14:paraId="151040F1" w14:textId="77777777" w:rsidR="00841883" w:rsidRPr="00826C5C" w:rsidRDefault="00841883" w:rsidP="00841883">
      <w:pPr>
        <w:numPr>
          <w:ilvl w:val="1"/>
          <w:numId w:val="44"/>
        </w:numPr>
        <w:overflowPunct w:val="0"/>
        <w:autoSpaceDE w:val="0"/>
        <w:autoSpaceDN w:val="0"/>
        <w:adjustRightInd w:val="0"/>
        <w:rPr>
          <w:bCs/>
        </w:rPr>
      </w:pPr>
      <w:r w:rsidRPr="002835CC">
        <w:rPr>
          <w:bCs/>
        </w:rPr>
        <w:t>Study of applicable numerology including subcarrier spacing, channel BW (inc</w:t>
      </w:r>
      <w:r>
        <w:rPr>
          <w:bCs/>
        </w:rPr>
        <w:t>luding</w:t>
      </w:r>
      <w:r w:rsidRPr="002835CC">
        <w:rPr>
          <w:bCs/>
        </w:rPr>
        <w:t xml:space="preserve"> maximum</w:t>
      </w:r>
      <w:r>
        <w:rPr>
          <w:bCs/>
        </w:rPr>
        <w:t xml:space="preserve"> BW</w:t>
      </w:r>
      <w:r w:rsidRPr="002835CC">
        <w:rPr>
          <w:bCs/>
        </w:rPr>
        <w:t>)</w:t>
      </w:r>
      <w:r>
        <w:rPr>
          <w:bCs/>
        </w:rPr>
        <w:t xml:space="preserve">, </w:t>
      </w:r>
      <w:r w:rsidRPr="00826C5C">
        <w:rPr>
          <w:bCs/>
        </w:rPr>
        <w:t>and their impact to FR2 physical layer design to support system functionality considering practical RF impairments [RAN1</w:t>
      </w:r>
      <w:r w:rsidRPr="00826C5C">
        <w:rPr>
          <w:bCs/>
          <w:lang/>
        </w:rPr>
        <w:t>, RAN4</w:t>
      </w:r>
      <w:r w:rsidRPr="00826C5C">
        <w:rPr>
          <w:bCs/>
        </w:rPr>
        <w:t>].</w:t>
      </w:r>
    </w:p>
    <w:p w14:paraId="2B981F0A" w14:textId="77777777" w:rsidR="00841883" w:rsidRPr="00826C5C" w:rsidRDefault="00841883" w:rsidP="00841883">
      <w:pPr>
        <w:numPr>
          <w:ilvl w:val="1"/>
          <w:numId w:val="44"/>
        </w:numPr>
        <w:overflowPunct w:val="0"/>
        <w:autoSpaceDE w:val="0"/>
        <w:autoSpaceDN w:val="0"/>
        <w:adjustRightInd w:val="0"/>
        <w:rPr>
          <w:bCs/>
        </w:rPr>
      </w:pPr>
      <w:r w:rsidRPr="00826C5C">
        <w:rPr>
          <w:lang w:eastAsia="ja-JP"/>
        </w:rPr>
        <w:t>Identify potential critical problems to physical signal/</w:t>
      </w:r>
      <w:r>
        <w:rPr>
          <w:lang w:eastAsia="ja-JP"/>
        </w:rPr>
        <w:t xml:space="preserve">channels, if any </w:t>
      </w:r>
      <w:r w:rsidRPr="00826C5C">
        <w:rPr>
          <w:lang w:eastAsia="ja-JP"/>
        </w:rPr>
        <w:t>[RAN1].</w:t>
      </w:r>
    </w:p>
    <w:p w14:paraId="05EB9309" w14:textId="77777777" w:rsidR="00841883" w:rsidRPr="00826C5C" w:rsidRDefault="00841883" w:rsidP="00841883">
      <w:pPr>
        <w:ind w:left="720"/>
        <w:rPr>
          <w:bCs/>
        </w:rPr>
      </w:pPr>
    </w:p>
    <w:p w14:paraId="39746FED" w14:textId="77777777" w:rsidR="00841883" w:rsidRDefault="00841883" w:rsidP="00841883">
      <w:pPr>
        <w:numPr>
          <w:ilvl w:val="0"/>
          <w:numId w:val="44"/>
        </w:numPr>
        <w:overflowPunct w:val="0"/>
        <w:autoSpaceDE w:val="0"/>
        <w:autoSpaceDN w:val="0"/>
        <w:adjustRightInd w:val="0"/>
        <w:rPr>
          <w:bCs/>
        </w:rPr>
      </w:pPr>
      <w:r>
        <w:rPr>
          <w:bC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01737F5F" w14:textId="42F69EA8" w:rsidR="00841883" w:rsidRPr="0052558F" w:rsidRDefault="00841883" w:rsidP="00841883">
      <w:pPr>
        <w:adjustRightInd w:val="0"/>
        <w:snapToGrid w:val="0"/>
        <w:spacing w:afterLines="50" w:after="120"/>
        <w:jc w:val="both"/>
        <w:rPr>
          <w:rFonts w:eastAsia="SimSun"/>
          <w:szCs w:val="22"/>
        </w:rPr>
      </w:pPr>
      <w:r>
        <w:rPr>
          <w:bCs/>
        </w:rPr>
        <w:t>Note: It is clarified that potential interference impact, if identified, may require interference mitigation solutions as part of channel access mechanism.</w:t>
      </w:r>
    </w:p>
    <w:p w14:paraId="02219E3F" w14:textId="2CCF3DC9" w:rsidR="004E01EA" w:rsidRPr="0052558F" w:rsidRDefault="00F853B3" w:rsidP="009C1424">
      <w:pPr>
        <w:spacing w:beforeLines="100" w:before="240" w:afterLines="50" w:after="120"/>
        <w:jc w:val="both"/>
        <w:rPr>
          <w:szCs w:val="22"/>
        </w:rPr>
      </w:pPr>
      <w:r w:rsidRPr="0052558F">
        <w:rPr>
          <w:szCs w:val="22"/>
        </w:rPr>
        <w:t xml:space="preserve">In this contribution, we </w:t>
      </w:r>
      <w:r w:rsidR="00841883">
        <w:rPr>
          <w:szCs w:val="22"/>
        </w:rPr>
        <w:t xml:space="preserve">will focus on evaluating the performance of existing DL/UL NR waveform </w:t>
      </w:r>
      <w:r w:rsidR="006834F7">
        <w:rPr>
          <w:szCs w:val="22"/>
        </w:rPr>
        <w:t xml:space="preserve">and numerology </w:t>
      </w:r>
      <w:r w:rsidR="00841883">
        <w:rPr>
          <w:szCs w:val="22"/>
        </w:rPr>
        <w:t>when operating at frequency band between 52.6GHz and 71GHz.</w:t>
      </w:r>
    </w:p>
    <w:p w14:paraId="479BFEA9" w14:textId="165C02DE" w:rsidR="00494DC2" w:rsidRPr="007D4109" w:rsidRDefault="006834F7"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1611C5FF" w:rsidR="004366E0" w:rsidRPr="0014253C" w:rsidRDefault="006834F7" w:rsidP="004366E0">
      <w:pPr>
        <w:pStyle w:val="ListParagraph"/>
        <w:numPr>
          <w:ilvl w:val="0"/>
          <w:numId w:val="5"/>
        </w:numPr>
        <w:spacing w:beforeLines="50" w:before="120" w:afterLines="50" w:after="120"/>
        <w:contextualSpacing w:val="0"/>
        <w:outlineLvl w:val="0"/>
        <w:rPr>
          <w:rFonts w:eastAsia="SimSun"/>
          <w:b/>
          <w:sz w:val="28"/>
        </w:rPr>
      </w:pPr>
      <w:bookmarkStart w:id="1" w:name="_Ref494794648"/>
      <w:r>
        <w:rPr>
          <w:b/>
          <w:sz w:val="28"/>
        </w:rPr>
        <w:t xml:space="preserve">General </w:t>
      </w:r>
      <w:r w:rsidR="00FA16E6" w:rsidRPr="0014253C">
        <w:rPr>
          <w:b/>
          <w:sz w:val="28"/>
        </w:rPr>
        <w:t>Consideration</w:t>
      </w:r>
      <w:r w:rsidR="00D0637B">
        <w:rPr>
          <w:b/>
          <w:sz w:val="28"/>
        </w:rPr>
        <w:t xml:space="preserve">s on Subcarrier Spacing, </w:t>
      </w:r>
      <w:r>
        <w:rPr>
          <w:b/>
          <w:sz w:val="28"/>
        </w:rPr>
        <w:t>Channel Bandwidth</w:t>
      </w:r>
      <w:r w:rsidR="00D0637B">
        <w:rPr>
          <w:b/>
          <w:sz w:val="28"/>
        </w:rPr>
        <w:t>, and CP length</w:t>
      </w:r>
    </w:p>
    <w:p w14:paraId="39830AF1" w14:textId="38690D6D" w:rsidR="00EC7CAA" w:rsidRDefault="006834F7" w:rsidP="00EC7CAA">
      <w:pPr>
        <w:pStyle w:val="ListParagraph"/>
        <w:spacing w:beforeLines="50" w:before="120" w:afterLines="50" w:after="120"/>
        <w:ind w:left="0"/>
        <w:contextualSpacing w:val="0"/>
        <w:jc w:val="both"/>
      </w:pPr>
      <w:r>
        <w:t xml:space="preserve">When operating at high frequency band such as 52.6GHz to 71GHz band, it is desirable to use larger subcarrier spacing in an OFDM system to reduce the impact of RF impairments such as phase noise. In current NR framework, </w:t>
      </w:r>
      <w:r w:rsidR="00D0637B">
        <w:t xml:space="preserve">subcarrier spacing of </w:t>
      </w:r>
      <w:r w:rsidR="0078701F">
        <w:t>60</w:t>
      </w:r>
      <w:r w:rsidR="00D0637B">
        <w:t xml:space="preserve">KHz or </w:t>
      </w:r>
      <w:r w:rsidR="0078701F">
        <w:t>12</w:t>
      </w:r>
      <w:r w:rsidR="005306FF">
        <w:t>0</w:t>
      </w:r>
      <w:r w:rsidR="00D0637B">
        <w:t>KHz</w:t>
      </w:r>
      <w:r>
        <w:t xml:space="preserve"> </w:t>
      </w:r>
      <w:r w:rsidR="00D0637B">
        <w:t>could be used when operating in FR2</w:t>
      </w:r>
      <w:r w:rsidR="002C64F0">
        <w:t xml:space="preserve"> </w:t>
      </w:r>
      <w:r w:rsidR="002C64F0">
        <w:fldChar w:fldCharType="begin"/>
      </w:r>
      <w:r w:rsidR="002C64F0">
        <w:instrText xml:space="preserve"> REF _Ref40449526 \n \h </w:instrText>
      </w:r>
      <w:r w:rsidR="002C64F0">
        <w:fldChar w:fldCharType="separate"/>
      </w:r>
      <w:r w:rsidR="002C64F0">
        <w:t>[2]</w:t>
      </w:r>
      <w:r w:rsidR="002C64F0">
        <w:fldChar w:fldCharType="end"/>
      </w:r>
      <w:r w:rsidR="00D0637B">
        <w:t xml:space="preserve">. </w:t>
      </w:r>
      <w:r w:rsidR="0078701F">
        <w:t xml:space="preserve">For channel bandwidth, NR currently supports up to 400MHz (SCS=120KHz,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=264</m:t>
        </m:r>
      </m:oMath>
      <w:r w:rsidR="0078701F">
        <w:t>)</w:t>
      </w:r>
      <w:r w:rsidR="00703BAC">
        <w:t>, corresponding to an OFDM FFT size of 4096. Note</w:t>
      </w:r>
      <w:r w:rsidR="005306FF">
        <w:t xml:space="preserve"> that subcarrier spacing of 240</w:t>
      </w:r>
      <w:r w:rsidR="00703BAC">
        <w:t>KHz is also defined in NR, but is only applicable to SSB/PBCH currently.</w:t>
      </w:r>
    </w:p>
    <w:p w14:paraId="3849945C" w14:textId="7186A136" w:rsidR="005306FF" w:rsidRDefault="005306FF" w:rsidP="00EC7CAA">
      <w:pPr>
        <w:pStyle w:val="ListParagraph"/>
        <w:spacing w:beforeLines="50" w:before="120" w:afterLines="50" w:after="120"/>
        <w:ind w:left="0"/>
        <w:contextualSpacing w:val="0"/>
        <w:jc w:val="both"/>
      </w:pPr>
      <w:r>
        <w:t xml:space="preserve">Cyclic Prefix (CP) length is also an important parameter for OFDM numerology design. </w:t>
      </w:r>
      <w:r w:rsidR="005C6F1E">
        <w:t>At 70GHz, for</w:t>
      </w:r>
      <w:r>
        <w:t xml:space="preserve"> the channel model approved by 3GPP, </w:t>
      </w:r>
      <w:r w:rsidR="005C6F1E">
        <w:t xml:space="preserve">the long delay profile </w:t>
      </w:r>
      <w:r>
        <w:t xml:space="preserve">for indoor </w:t>
      </w:r>
      <w:r w:rsidR="005C6F1E">
        <w:t xml:space="preserve">office </w:t>
      </w:r>
      <w:r>
        <w:t>envi</w:t>
      </w:r>
      <w:r w:rsidR="005C6F1E">
        <w:t xml:space="preserve">ronment </w:t>
      </w:r>
      <w:r>
        <w:t>h</w:t>
      </w:r>
      <w:r w:rsidR="005C6F1E">
        <w:t>as a delay spread of 37ns, while the long delay profile for outdoor environment (U</w:t>
      </w:r>
      <w:r w:rsidR="00261F70">
        <w:t>M</w:t>
      </w:r>
      <w:r w:rsidR="005C6F1E">
        <w:t>a) has a delay spread of 698ns. In NR, the CP lengths corresponding to subcarrier spacing of 60KHz, 120KHz, and 240KHz are 1170ns, 570ns, and 290ns, respectively</w:t>
      </w:r>
      <w:r w:rsidR="002C64F0">
        <w:t xml:space="preserve"> </w:t>
      </w:r>
      <w:r w:rsidR="002C64F0">
        <w:fldChar w:fldCharType="begin"/>
      </w:r>
      <w:r w:rsidR="002C64F0">
        <w:instrText xml:space="preserve"> REF _Ref40449572 \n \h </w:instrText>
      </w:r>
      <w:r w:rsidR="002C64F0">
        <w:fldChar w:fldCharType="separate"/>
      </w:r>
      <w:r w:rsidR="002C64F0">
        <w:t>[3]</w:t>
      </w:r>
      <w:r w:rsidR="002C64F0">
        <w:fldChar w:fldCharType="end"/>
      </w:r>
      <w:r w:rsidR="005C6F1E">
        <w:t xml:space="preserve">. </w:t>
      </w:r>
      <w:r w:rsidR="00695414">
        <w:t>This indicates that as far as CP length is concerned</w:t>
      </w:r>
      <w:r w:rsidR="00DB750E">
        <w:t xml:space="preserve">, all NR subcarrier spacings for FR2 should be able to avoid ISI in indoor </w:t>
      </w:r>
      <w:r w:rsidR="00BA1B76">
        <w:t>office environment. For</w:t>
      </w:r>
      <w:r w:rsidR="00DB750E">
        <w:t xml:space="preserve"> outdoor environment</w:t>
      </w:r>
      <w:r w:rsidR="00261F70">
        <w:t xml:space="preserve"> (UMa)</w:t>
      </w:r>
      <w:r w:rsidR="00DB750E">
        <w:t xml:space="preserve">, </w:t>
      </w:r>
      <w:r w:rsidR="00BA1B76">
        <w:t xml:space="preserve">it may appear that </w:t>
      </w:r>
      <w:r w:rsidR="00DB750E">
        <w:t xml:space="preserve">only subcarrier spacing of 60KHz (and the corresponding CP length) could cope such long </w:t>
      </w:r>
      <w:r w:rsidR="00DB750E">
        <w:lastRenderedPageBreak/>
        <w:t>delay.</w:t>
      </w:r>
      <w:r w:rsidR="00BA1B76">
        <w:t xml:space="preserve"> However, when beam forming is used (which is typical when operating at such high frequency bands), the delay spread is expected to reduce dramatically.</w:t>
      </w:r>
    </w:p>
    <w:p w14:paraId="0DEAD7D1" w14:textId="3ED79538" w:rsidR="005306FF" w:rsidRDefault="00261F70" w:rsidP="00261F70">
      <w:pPr>
        <w:pStyle w:val="Caption"/>
      </w:pPr>
      <w:bookmarkStart w:id="2" w:name="_Ref40448413"/>
      <w:r>
        <w:t xml:space="preserve">Observation </w:t>
      </w:r>
      <w:r>
        <w:fldChar w:fldCharType="begin"/>
      </w:r>
      <w:r>
        <w:instrText xml:space="preserve"> SEQ Observation \* ARABIC </w:instrText>
      </w:r>
      <w:r>
        <w:fldChar w:fldCharType="separate"/>
      </w:r>
      <w:r w:rsidR="00A461B2">
        <w:rPr>
          <w:noProof/>
        </w:rPr>
        <w:t>1</w:t>
      </w:r>
      <w:r>
        <w:fldChar w:fldCharType="end"/>
      </w:r>
      <w:r>
        <w:t>: For indoor operations, as far as CP length is concerned, current NR numerology corresponding to SCS=60KHz, 120KHz, and 240</w:t>
      </w:r>
      <w:r w:rsidR="00B17EA9">
        <w:t>KHz could all operate properly.</w:t>
      </w:r>
      <w:bookmarkEnd w:id="2"/>
    </w:p>
    <w:p w14:paraId="342F82A6" w14:textId="77777777" w:rsidR="009E0B86" w:rsidRDefault="009E0B86" w:rsidP="009E0B86">
      <w:pPr>
        <w:rPr>
          <w:rFonts w:eastAsia="SimSun"/>
        </w:rPr>
      </w:pPr>
    </w:p>
    <w:p w14:paraId="716BC6F3" w14:textId="1D5AE65A" w:rsidR="00E1584E" w:rsidRDefault="00E1584E" w:rsidP="009E0B86">
      <w:pPr>
        <w:rPr>
          <w:rFonts w:eastAsia="SimSun"/>
        </w:rPr>
      </w:pPr>
      <w:r>
        <w:rPr>
          <w:rFonts w:eastAsia="SimSun"/>
        </w:rPr>
        <w:t>FFT size is yet another important parameter for OFDM numerology design. Together with subcarrier spacing, these two parameters directly imply the maximum bandwidth supported. For example, an FFT size of 4096, together with subcarrier spacing of 120KHz, give us a maximum bandwidth of 400MHz (Note that only 3168 subcarriers out of 4096 are used</w:t>
      </w:r>
      <w:r w:rsidR="002C64F0">
        <w:rPr>
          <w:rFonts w:eastAsia="SimSun"/>
        </w:rPr>
        <w:t xml:space="preserve"> according to </w:t>
      </w:r>
      <w:r w:rsidR="002C64F0">
        <w:rPr>
          <w:rFonts w:eastAsia="SimSun"/>
        </w:rPr>
        <w:fldChar w:fldCharType="begin"/>
      </w:r>
      <w:r w:rsidR="002C64F0">
        <w:rPr>
          <w:rFonts w:eastAsia="SimSun"/>
        </w:rPr>
        <w:instrText xml:space="preserve"> REF _Ref40449526 \n \h </w:instrText>
      </w:r>
      <w:r w:rsidR="002C64F0">
        <w:rPr>
          <w:rFonts w:eastAsia="SimSun"/>
        </w:rPr>
      </w:r>
      <w:r w:rsidR="002C64F0">
        <w:rPr>
          <w:rFonts w:eastAsia="SimSun"/>
        </w:rPr>
        <w:fldChar w:fldCharType="separate"/>
      </w:r>
      <w:r w:rsidR="002C64F0">
        <w:rPr>
          <w:rFonts w:eastAsia="SimSun"/>
        </w:rPr>
        <w:t>[2]</w:t>
      </w:r>
      <w:r w:rsidR="002C64F0">
        <w:rPr>
          <w:rFonts w:eastAsia="SimSun"/>
        </w:rPr>
        <w:fldChar w:fldCharType="end"/>
      </w:r>
      <w:r>
        <w:rPr>
          <w:rFonts w:eastAsia="SimSun"/>
        </w:rPr>
        <w:t xml:space="preserve">). </w:t>
      </w:r>
      <w:r w:rsidR="00EE0F74">
        <w:rPr>
          <w:rFonts w:eastAsia="SimSun"/>
        </w:rPr>
        <w:t>When operating at 52.6GHz to 71GHz band, the FFT size has impact</w:t>
      </w:r>
      <w:r w:rsidR="00593B74">
        <w:rPr>
          <w:rFonts w:eastAsia="SimSun"/>
        </w:rPr>
        <w:t>s</w:t>
      </w:r>
      <w:r w:rsidR="00EE0F74">
        <w:rPr>
          <w:rFonts w:eastAsia="SimSun"/>
        </w:rPr>
        <w:t xml:space="preserve"> on</w:t>
      </w:r>
      <w:r w:rsidR="009C54CF">
        <w:rPr>
          <w:rFonts w:eastAsia="SimSun"/>
        </w:rPr>
        <w:t xml:space="preserve"> PAPR and</w:t>
      </w:r>
      <w:r w:rsidR="00593B74">
        <w:rPr>
          <w:rFonts w:eastAsia="SimSun"/>
        </w:rPr>
        <w:t xml:space="preserve"> implementation complexity.</w:t>
      </w:r>
      <w:r w:rsidR="00EE0F74">
        <w:rPr>
          <w:rFonts w:eastAsia="SimSun"/>
        </w:rPr>
        <w:t xml:space="preserve"> </w:t>
      </w:r>
      <w:r w:rsidR="00A20927">
        <w:rPr>
          <w:rFonts w:eastAsia="SimSun"/>
        </w:rPr>
        <w:t xml:space="preserve">Specifically, it is well known that the PAPR of an OFDM signal is proportional to its number of subcarriers (i.e., FFT size). Larger FFT size will lead to a larger PAPR, and hence, requires more </w:t>
      </w:r>
      <w:r w:rsidR="009C54CF">
        <w:rPr>
          <w:rFonts w:eastAsia="SimSun"/>
        </w:rPr>
        <w:t>power back-off in PA operation. The consequence is a reduction in cell coverage radius. Regarding implementation complexity, we note that for larger subcarrier spacing, the OFDM symbol length is shorter, and for the same FFT size, it means a tighter timing constraint to process an OFDM symbol.</w:t>
      </w:r>
    </w:p>
    <w:p w14:paraId="075F5C95" w14:textId="77777777" w:rsidR="009C54CF" w:rsidRDefault="009C54CF" w:rsidP="009E0B86">
      <w:pPr>
        <w:rPr>
          <w:rFonts w:eastAsia="SimSun"/>
        </w:rPr>
      </w:pPr>
    </w:p>
    <w:p w14:paraId="4EF6AB22" w14:textId="5717F257" w:rsidR="009C54CF" w:rsidRPr="00DF758E" w:rsidRDefault="009C54CF" w:rsidP="00DF758E">
      <w:pPr>
        <w:pStyle w:val="Caption"/>
      </w:pPr>
      <w:bookmarkStart w:id="3" w:name="_Ref40448461"/>
      <w:r>
        <w:t xml:space="preserve">Observation </w:t>
      </w:r>
      <w:r>
        <w:fldChar w:fldCharType="begin"/>
      </w:r>
      <w:r>
        <w:instrText xml:space="preserve"> SEQ Observation \* ARABIC </w:instrText>
      </w:r>
      <w:r>
        <w:fldChar w:fldCharType="separate"/>
      </w:r>
      <w:r w:rsidR="00A461B2">
        <w:rPr>
          <w:noProof/>
        </w:rPr>
        <w:t>2</w:t>
      </w:r>
      <w:r>
        <w:fldChar w:fldCharType="end"/>
      </w:r>
      <w:r>
        <w:t xml:space="preserve">: Larger OFDM </w:t>
      </w:r>
      <w:r w:rsidR="007C3D15">
        <w:t>FFT size implies</w:t>
      </w:r>
      <w:r>
        <w:t xml:space="preserve"> higher signal PAPR</w:t>
      </w:r>
      <w:r w:rsidR="00DF758E">
        <w:t>, which leads to reduced PA power efficiency and cell coverage.</w:t>
      </w:r>
      <w:bookmarkEnd w:id="3"/>
    </w:p>
    <w:p w14:paraId="1CD3355F" w14:textId="77777777" w:rsidR="009C54CF" w:rsidRPr="009C54CF" w:rsidRDefault="009C54CF" w:rsidP="009C54CF">
      <w:pPr>
        <w:rPr>
          <w:rFonts w:eastAsia="SimSun"/>
        </w:rPr>
      </w:pPr>
    </w:p>
    <w:p w14:paraId="033FB412" w14:textId="27932A85" w:rsidR="00A279F2" w:rsidRDefault="00EA5E2E" w:rsidP="00A279F2">
      <w:pPr>
        <w:pStyle w:val="ListParagraph"/>
        <w:numPr>
          <w:ilvl w:val="0"/>
          <w:numId w:val="5"/>
        </w:numPr>
        <w:spacing w:beforeLines="50" w:before="120" w:afterLines="50" w:after="120"/>
        <w:contextualSpacing w:val="0"/>
        <w:outlineLvl w:val="0"/>
        <w:rPr>
          <w:b/>
          <w:sz w:val="28"/>
        </w:rPr>
      </w:pPr>
      <w:r>
        <w:rPr>
          <w:b/>
          <w:sz w:val="28"/>
        </w:rPr>
        <w:t>Impact of Phase Noise: EVM Evaluations</w:t>
      </w:r>
    </w:p>
    <w:p w14:paraId="53D2F074" w14:textId="1A5BD0B8" w:rsidR="00EA5E2E" w:rsidRDefault="00DF758E" w:rsidP="00EA5E2E">
      <w:pPr>
        <w:pStyle w:val="ListParagraph"/>
        <w:spacing w:beforeLines="50" w:before="120" w:afterLines="50" w:after="120"/>
        <w:ind w:left="0"/>
        <w:contextualSpacing w:val="0"/>
        <w:outlineLvl w:val="0"/>
      </w:pPr>
      <w:r>
        <w:t xml:space="preserve">In this section, we </w:t>
      </w:r>
      <w:r w:rsidR="00EA5E2E">
        <w:t xml:space="preserve">evaluate the </w:t>
      </w:r>
      <w:r>
        <w:t>EVM corresponding to various</w:t>
      </w:r>
      <w:r w:rsidR="00EA5E2E">
        <w:t xml:space="preserve"> numer</w:t>
      </w:r>
      <w:r w:rsidR="002C041B">
        <w:t>ology options in</w:t>
      </w:r>
      <w:r>
        <w:t xml:space="preserve"> the presence of phase noise.</w:t>
      </w:r>
      <w:r w:rsidR="002C041B">
        <w:t xml:space="preserve"> </w:t>
      </w:r>
      <w:r w:rsidR="00EB4457">
        <w:t>In our evaluation, w</w:t>
      </w:r>
      <w:r w:rsidR="002C041B">
        <w:t xml:space="preserve">e use the </w:t>
      </w:r>
      <w:r w:rsidR="005C6FC6">
        <w:t>3GPP approved phas</w:t>
      </w:r>
      <w:r w:rsidR="002C64F0">
        <w:t xml:space="preserve">e noise model as detailed in </w:t>
      </w:r>
      <w:r w:rsidR="002C64F0">
        <w:fldChar w:fldCharType="begin"/>
      </w:r>
      <w:r w:rsidR="002C64F0">
        <w:instrText xml:space="preserve"> REF _Ref40449707 \n \h </w:instrText>
      </w:r>
      <w:r w:rsidR="002C64F0">
        <w:fldChar w:fldCharType="separate"/>
      </w:r>
      <w:r w:rsidR="002C64F0">
        <w:t>[4]</w:t>
      </w:r>
      <w:r w:rsidR="002C64F0">
        <w:fldChar w:fldCharType="end"/>
      </w:r>
      <w:r w:rsidR="005C6FC6">
        <w:t xml:space="preserve">. For completeness, the corresponding </w:t>
      </w:r>
      <w:r w:rsidR="00EB4457">
        <w:t>model parameters are list</w:t>
      </w:r>
      <w:r w:rsidR="002C64F0">
        <w:t xml:space="preserve">ed in </w:t>
      </w:r>
      <w:r w:rsidR="002C64F0">
        <w:fldChar w:fldCharType="begin"/>
      </w:r>
      <w:r w:rsidR="002C64F0">
        <w:instrText xml:space="preserve"> REF _Ref40449733 \h </w:instrText>
      </w:r>
      <w:r w:rsidR="002C64F0">
        <w:fldChar w:fldCharType="separate"/>
      </w:r>
      <w:r w:rsidR="002C64F0">
        <w:t xml:space="preserve">Table </w:t>
      </w:r>
      <w:r w:rsidR="002C64F0">
        <w:rPr>
          <w:noProof/>
        </w:rPr>
        <w:t>1</w:t>
      </w:r>
      <w:r w:rsidR="002C64F0">
        <w:fldChar w:fldCharType="end"/>
      </w:r>
      <w:r w:rsidR="00EB4457">
        <w:t>. Note that we choose 70GHz as the carrier frequency, and the corresponding phase noise spectra</w:t>
      </w:r>
      <w:r w:rsidR="002C64F0">
        <w:t xml:space="preserve">l density is plotted in </w:t>
      </w:r>
      <w:r w:rsidR="002C64F0">
        <w:fldChar w:fldCharType="begin"/>
      </w:r>
      <w:r w:rsidR="002C64F0">
        <w:instrText xml:space="preserve"> REF _Ref40449757 \h </w:instrText>
      </w:r>
      <w:r w:rsidR="002C64F0">
        <w:fldChar w:fldCharType="separate"/>
      </w:r>
      <w:r w:rsidR="002C64F0">
        <w:t xml:space="preserve">Figure </w:t>
      </w:r>
      <w:r w:rsidR="002C64F0">
        <w:rPr>
          <w:noProof/>
        </w:rPr>
        <w:t>1</w:t>
      </w:r>
      <w:r w:rsidR="002C64F0">
        <w:fldChar w:fldCharType="end"/>
      </w:r>
      <w:r w:rsidR="00EB4457">
        <w:t>.</w:t>
      </w:r>
    </w:p>
    <w:p w14:paraId="528D7476" w14:textId="26749C6F" w:rsidR="00590229" w:rsidRPr="00590229" w:rsidRDefault="00590229" w:rsidP="00590229">
      <w:pPr>
        <w:pStyle w:val="Caption"/>
        <w:jc w:val="center"/>
      </w:pPr>
      <w:bookmarkStart w:id="4" w:name="_Ref40449733"/>
      <w:r>
        <w:t xml:space="preserve">Table </w:t>
      </w:r>
      <w:r>
        <w:fldChar w:fldCharType="begin"/>
      </w:r>
      <w:r>
        <w:instrText xml:space="preserve"> SEQ Table \* ARABIC </w:instrText>
      </w:r>
      <w:r>
        <w:fldChar w:fldCharType="separate"/>
      </w:r>
      <w:r w:rsidR="00147033">
        <w:rPr>
          <w:noProof/>
        </w:rPr>
        <w:t>1</w:t>
      </w:r>
      <w:r>
        <w:fldChar w:fldCharType="end"/>
      </w:r>
      <w:bookmarkEnd w:id="4"/>
      <w:r>
        <w:t>: Parameters for 70GHz Phase Noise Model</w:t>
      </w:r>
      <w:r w:rsidR="002C64F0">
        <w:t xml:space="preserve"> </w:t>
      </w:r>
      <w:r w:rsidR="002C64F0">
        <w:fldChar w:fldCharType="begin"/>
      </w:r>
      <w:r w:rsidR="002C64F0">
        <w:instrText xml:space="preserve"> REF _Ref40449707 \n \h </w:instrText>
      </w:r>
      <w:r w:rsidR="002C64F0">
        <w:fldChar w:fldCharType="separate"/>
      </w:r>
      <w:r w:rsidR="002C64F0">
        <w:t>[4]</w:t>
      </w:r>
      <w:r w:rsidR="002C64F0">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925"/>
        <w:gridCol w:w="926"/>
        <w:gridCol w:w="925"/>
        <w:gridCol w:w="926"/>
      </w:tblGrid>
      <w:tr w:rsidR="00E11798" w:rsidRPr="007849B1" w14:paraId="7DBF3217" w14:textId="77777777" w:rsidTr="00E11798">
        <w:trPr>
          <w:cantSplit/>
          <w:trHeight w:val="20"/>
          <w:jc w:val="center"/>
        </w:trPr>
        <w:tc>
          <w:tcPr>
            <w:tcW w:w="2370" w:type="dxa"/>
            <w:vAlign w:val="center"/>
          </w:tcPr>
          <w:p w14:paraId="059FFF27" w14:textId="2AF1A04E" w:rsidR="00E11798" w:rsidRPr="007849B1" w:rsidRDefault="00E11798" w:rsidP="005E1087">
            <w:pPr>
              <w:pStyle w:val="TAH"/>
              <w:rPr>
                <w:i/>
                <w:szCs w:val="18"/>
              </w:rPr>
            </w:pPr>
            <w:r>
              <w:rPr>
                <w:i/>
                <w:szCs w:val="18"/>
              </w:rPr>
              <w:t>Model</w:t>
            </w:r>
          </w:p>
        </w:tc>
        <w:tc>
          <w:tcPr>
            <w:tcW w:w="3702" w:type="dxa"/>
            <w:gridSpan w:val="4"/>
            <w:vAlign w:val="center"/>
          </w:tcPr>
          <w:p w14:paraId="660C37A2" w14:textId="75F84118" w:rsidR="00E11798" w:rsidRPr="007849B1" w:rsidRDefault="00E11798" w:rsidP="005E1087">
            <w:pPr>
              <w:pStyle w:val="TAH"/>
              <w:rPr>
                <w:szCs w:val="18"/>
                <w:lang w:val="en-US"/>
              </w:rPr>
            </w:pPr>
            <m:oMathPara>
              <m:oMath>
                <m:sSub>
                  <m:sSubPr>
                    <m:ctrlPr>
                      <w:rPr>
                        <w:rFonts w:ascii="Cambria Math" w:hAnsi="Cambria Math"/>
                        <w:i/>
                        <w:szCs w:val="18"/>
                        <w:lang w:val="en-US"/>
                      </w:rPr>
                    </m:ctrlPr>
                  </m:sSubPr>
                  <m:e>
                    <m:r>
                      <m:rPr>
                        <m:sty m:val="bi"/>
                      </m:rPr>
                      <w:rPr>
                        <w:rFonts w:ascii="Cambria Math" w:hAnsi="Cambria Math"/>
                        <w:szCs w:val="18"/>
                        <w:lang w:val="en-US"/>
                      </w:rPr>
                      <m:t>S</m:t>
                    </m:r>
                  </m:e>
                  <m:sub>
                    <m:r>
                      <m:rPr>
                        <m:sty m:val="bi"/>
                      </m:rPr>
                      <w:rPr>
                        <w:rFonts w:ascii="Cambria Math" w:hAnsi="Cambria Math"/>
                        <w:szCs w:val="18"/>
                        <w:lang w:val="en-US"/>
                      </w:rPr>
                      <m:t>φ</m:t>
                    </m:r>
                  </m:sub>
                </m:sSub>
                <m:d>
                  <m:dPr>
                    <m:ctrlPr>
                      <w:rPr>
                        <w:rFonts w:ascii="Cambria Math" w:hAnsi="Cambria Math"/>
                        <w:i/>
                        <w:szCs w:val="18"/>
                        <w:lang w:val="en-US"/>
                      </w:rPr>
                    </m:ctrlPr>
                  </m:dPr>
                  <m:e>
                    <m:r>
                      <m:rPr>
                        <m:sty m:val="bi"/>
                      </m:rPr>
                      <w:rPr>
                        <w:rFonts w:ascii="Cambria Math" w:hAnsi="Cambria Math"/>
                        <w:szCs w:val="18"/>
                        <w:lang w:val="en-US"/>
                      </w:rPr>
                      <m:t>f</m:t>
                    </m:r>
                  </m:e>
                </m:d>
                <m:r>
                  <m:rPr>
                    <m:sty m:val="bi"/>
                  </m:rPr>
                  <w:rPr>
                    <w:rFonts w:ascii="Cambria Math" w:hAnsi="Cambria Math"/>
                    <w:szCs w:val="18"/>
                    <w:lang w:val="en-US"/>
                  </w:rPr>
                  <m:t>=</m:t>
                </m:r>
                <m:f>
                  <m:fPr>
                    <m:ctrlPr>
                      <w:rPr>
                        <w:rFonts w:ascii="Cambria Math" w:hAnsi="Cambria Math"/>
                        <w:i/>
                        <w:szCs w:val="18"/>
                        <w:lang w:val="en-US"/>
                      </w:rPr>
                    </m:ctrlPr>
                  </m:fPr>
                  <m:num>
                    <m:nary>
                      <m:naryPr>
                        <m:chr m:val="∏"/>
                        <m:limLoc m:val="subSup"/>
                        <m:ctrlPr>
                          <w:rPr>
                            <w:rFonts w:ascii="Cambria Math" w:hAnsi="Cambria Math"/>
                            <w:i/>
                            <w:szCs w:val="18"/>
                            <w:lang w:val="en-US"/>
                          </w:rPr>
                        </m:ctrlPr>
                      </m:naryPr>
                      <m:sub>
                        <m:r>
                          <m:rPr>
                            <m:sty m:val="bi"/>
                          </m:rPr>
                          <w:rPr>
                            <w:rFonts w:ascii="Cambria Math" w:hAnsi="Cambria Math"/>
                            <w:szCs w:val="18"/>
                            <w:lang w:val="en-US"/>
                          </w:rPr>
                          <m:t>n=1</m:t>
                        </m:r>
                      </m:sub>
                      <m:sup>
                        <m:r>
                          <m:rPr>
                            <m:sty m:val="bi"/>
                          </m:rPr>
                          <w:rPr>
                            <w:rFonts w:ascii="Cambria Math" w:hAnsi="Cambria Math"/>
                            <w:szCs w:val="18"/>
                            <w:lang w:val="en-US"/>
                          </w:rPr>
                          <m:t>3</m:t>
                        </m:r>
                      </m:sup>
                      <m:e>
                        <m:r>
                          <m:rPr>
                            <m:sty m:val="bi"/>
                          </m:rPr>
                          <w:rPr>
                            <w:rFonts w:ascii="Cambria Math" w:hAnsi="Cambria Math"/>
                            <w:szCs w:val="18"/>
                            <w:lang w:val="en-US"/>
                          </w:rPr>
                          <m:t>1+</m:t>
                        </m:r>
                        <m:sSup>
                          <m:sSupPr>
                            <m:ctrlPr>
                              <w:rPr>
                                <w:rFonts w:ascii="Cambria Math" w:hAnsi="Cambria Math"/>
                                <w:i/>
                                <w:szCs w:val="18"/>
                                <w:lang w:val="en-US"/>
                              </w:rPr>
                            </m:ctrlPr>
                          </m:sSupPr>
                          <m:e>
                            <m:d>
                              <m:dPr>
                                <m:ctrlPr>
                                  <w:rPr>
                                    <w:rFonts w:ascii="Cambria Math" w:hAnsi="Cambria Math"/>
                                    <w:i/>
                                    <w:szCs w:val="18"/>
                                    <w:lang w:val="en-US"/>
                                  </w:rPr>
                                </m:ctrlPr>
                              </m:dPr>
                              <m:e>
                                <m:f>
                                  <m:fPr>
                                    <m:type m:val="lin"/>
                                    <m:ctrlPr>
                                      <w:rPr>
                                        <w:rFonts w:ascii="Cambria Math" w:hAnsi="Cambria Math"/>
                                        <w:i/>
                                        <w:szCs w:val="18"/>
                                        <w:lang w:val="en-US"/>
                                      </w:rPr>
                                    </m:ctrlPr>
                                  </m:fPr>
                                  <m:num>
                                    <m:r>
                                      <m:rPr>
                                        <m:sty m:val="bi"/>
                                      </m:rPr>
                                      <w:rPr>
                                        <w:rFonts w:ascii="Cambria Math" w:hAnsi="Cambria Math"/>
                                        <w:szCs w:val="18"/>
                                        <w:lang w:val="en-US"/>
                                      </w:rPr>
                                      <m:t>f</m:t>
                                    </m:r>
                                  </m:num>
                                  <m:den>
                                    <m:sSub>
                                      <m:sSubPr>
                                        <m:ctrlPr>
                                          <w:rPr>
                                            <w:rFonts w:ascii="Cambria Math" w:hAnsi="Cambria Math"/>
                                            <w:i/>
                                            <w:szCs w:val="18"/>
                                            <w:lang w:val="en-US"/>
                                          </w:rPr>
                                        </m:ctrlPr>
                                      </m:sSubPr>
                                      <m:e>
                                        <m:r>
                                          <m:rPr>
                                            <m:sty m:val="bi"/>
                                          </m:rPr>
                                          <w:rPr>
                                            <w:rFonts w:ascii="Cambria Math" w:hAnsi="Cambria Math"/>
                                            <w:szCs w:val="18"/>
                                            <w:lang w:val="en-US"/>
                                          </w:rPr>
                                          <m:t>f</m:t>
                                        </m:r>
                                      </m:e>
                                      <m:sub>
                                        <m:r>
                                          <m:rPr>
                                            <m:sty m:val="bi"/>
                                          </m:rPr>
                                          <w:rPr>
                                            <w:rFonts w:ascii="Cambria Math" w:hAnsi="Cambria Math"/>
                                            <w:szCs w:val="18"/>
                                            <w:lang w:val="en-US"/>
                                          </w:rPr>
                                          <m:t>z,n</m:t>
                                        </m:r>
                                      </m:sub>
                                    </m:sSub>
                                  </m:den>
                                </m:f>
                              </m:e>
                            </m:d>
                          </m:e>
                          <m:sup>
                            <m:sSub>
                              <m:sSubPr>
                                <m:ctrlPr>
                                  <w:rPr>
                                    <w:rFonts w:ascii="Cambria Math" w:hAnsi="Cambria Math"/>
                                    <w:i/>
                                    <w:szCs w:val="18"/>
                                    <w:lang w:val="en-US"/>
                                  </w:rPr>
                                </m:ctrlPr>
                              </m:sSubPr>
                              <m:e>
                                <m:r>
                                  <m:rPr>
                                    <m:sty m:val="bi"/>
                                  </m:rPr>
                                  <w:rPr>
                                    <w:rFonts w:ascii="Cambria Math" w:hAnsi="Cambria Math"/>
                                    <w:szCs w:val="18"/>
                                    <w:lang w:val="en-US"/>
                                  </w:rPr>
                                  <m:t>α</m:t>
                                </m:r>
                              </m:e>
                              <m:sub>
                                <m:r>
                                  <m:rPr>
                                    <m:sty m:val="bi"/>
                                  </m:rPr>
                                  <w:rPr>
                                    <w:rFonts w:ascii="Cambria Math" w:hAnsi="Cambria Math"/>
                                    <w:szCs w:val="18"/>
                                    <w:lang w:val="en-US"/>
                                  </w:rPr>
                                  <m:t>z,n</m:t>
                                </m:r>
                              </m:sub>
                            </m:sSub>
                          </m:sup>
                        </m:sSup>
                      </m:e>
                    </m:nary>
                  </m:num>
                  <m:den>
                    <m:nary>
                      <m:naryPr>
                        <m:chr m:val="∏"/>
                        <m:limLoc m:val="subSup"/>
                        <m:ctrlPr>
                          <w:rPr>
                            <w:rFonts w:ascii="Cambria Math" w:hAnsi="Cambria Math"/>
                            <w:i/>
                            <w:szCs w:val="18"/>
                            <w:lang w:val="en-US"/>
                          </w:rPr>
                        </m:ctrlPr>
                      </m:naryPr>
                      <m:sub>
                        <m:r>
                          <m:rPr>
                            <m:sty m:val="bi"/>
                          </m:rPr>
                          <w:rPr>
                            <w:rFonts w:ascii="Cambria Math" w:hAnsi="Cambria Math"/>
                            <w:szCs w:val="18"/>
                            <w:lang w:val="en-US"/>
                          </w:rPr>
                          <m:t>m=1</m:t>
                        </m:r>
                      </m:sub>
                      <m:sup>
                        <m:r>
                          <m:rPr>
                            <m:sty m:val="bi"/>
                          </m:rPr>
                          <w:rPr>
                            <w:rFonts w:ascii="Cambria Math" w:hAnsi="Cambria Math"/>
                            <w:szCs w:val="18"/>
                            <w:lang w:val="en-US"/>
                          </w:rPr>
                          <m:t>3</m:t>
                        </m:r>
                      </m:sup>
                      <m:e>
                        <m:r>
                          <m:rPr>
                            <m:sty m:val="bi"/>
                          </m:rPr>
                          <w:rPr>
                            <w:rFonts w:ascii="Cambria Math" w:hAnsi="Cambria Math"/>
                            <w:szCs w:val="18"/>
                            <w:lang w:val="en-US"/>
                          </w:rPr>
                          <m:t>1+</m:t>
                        </m:r>
                      </m:e>
                    </m:nary>
                    <m:sSup>
                      <m:sSupPr>
                        <m:ctrlPr>
                          <w:rPr>
                            <w:rFonts w:ascii="Cambria Math" w:hAnsi="Cambria Math"/>
                            <w:i/>
                            <w:szCs w:val="18"/>
                            <w:lang w:val="en-US"/>
                          </w:rPr>
                        </m:ctrlPr>
                      </m:sSupPr>
                      <m:e>
                        <m:d>
                          <m:dPr>
                            <m:ctrlPr>
                              <w:rPr>
                                <w:rFonts w:ascii="Cambria Math" w:hAnsi="Cambria Math"/>
                                <w:i/>
                                <w:szCs w:val="18"/>
                                <w:lang w:val="en-US"/>
                              </w:rPr>
                            </m:ctrlPr>
                          </m:dPr>
                          <m:e>
                            <m:f>
                              <m:fPr>
                                <m:type m:val="lin"/>
                                <m:ctrlPr>
                                  <w:rPr>
                                    <w:rFonts w:ascii="Cambria Math" w:hAnsi="Cambria Math"/>
                                    <w:i/>
                                    <w:szCs w:val="18"/>
                                    <w:lang w:val="en-US"/>
                                  </w:rPr>
                                </m:ctrlPr>
                              </m:fPr>
                              <m:num>
                                <m:r>
                                  <m:rPr>
                                    <m:sty m:val="bi"/>
                                  </m:rPr>
                                  <w:rPr>
                                    <w:rFonts w:ascii="Cambria Math" w:hAnsi="Cambria Math"/>
                                    <w:szCs w:val="18"/>
                                    <w:lang w:val="en-US"/>
                                  </w:rPr>
                                  <m:t>f</m:t>
                                </m:r>
                              </m:num>
                              <m:den>
                                <m:sSub>
                                  <m:sSubPr>
                                    <m:ctrlPr>
                                      <w:rPr>
                                        <w:rFonts w:ascii="Cambria Math" w:hAnsi="Cambria Math"/>
                                        <w:i/>
                                        <w:szCs w:val="18"/>
                                        <w:lang w:val="en-US"/>
                                      </w:rPr>
                                    </m:ctrlPr>
                                  </m:sSubPr>
                                  <m:e>
                                    <m:r>
                                      <m:rPr>
                                        <m:sty m:val="bi"/>
                                      </m:rPr>
                                      <w:rPr>
                                        <w:rFonts w:ascii="Cambria Math" w:hAnsi="Cambria Math"/>
                                        <w:szCs w:val="18"/>
                                        <w:lang w:val="en-US"/>
                                      </w:rPr>
                                      <m:t>f</m:t>
                                    </m:r>
                                  </m:e>
                                  <m:sub>
                                    <m:r>
                                      <m:rPr>
                                        <m:sty m:val="bi"/>
                                      </m:rPr>
                                      <w:rPr>
                                        <w:rFonts w:ascii="Cambria Math" w:hAnsi="Cambria Math"/>
                                        <w:szCs w:val="18"/>
                                        <w:lang w:val="en-US"/>
                                      </w:rPr>
                                      <m:t>p</m:t>
                                    </m:r>
                                    <m:r>
                                      <m:rPr>
                                        <m:sty m:val="bi"/>
                                      </m:rPr>
                                      <w:rPr>
                                        <w:rFonts w:ascii="Cambria Math" w:hAnsi="Cambria Math"/>
                                        <w:szCs w:val="18"/>
                                        <w:lang w:val="en-US"/>
                                      </w:rPr>
                                      <m:t>,</m:t>
                                    </m:r>
                                    <m:r>
                                      <m:rPr>
                                        <m:sty m:val="bi"/>
                                      </m:rPr>
                                      <w:rPr>
                                        <w:rFonts w:ascii="Cambria Math" w:hAnsi="Cambria Math"/>
                                        <w:szCs w:val="18"/>
                                        <w:lang w:val="en-US"/>
                                      </w:rPr>
                                      <m:t>m</m:t>
                                    </m:r>
                                  </m:sub>
                                </m:sSub>
                              </m:den>
                            </m:f>
                          </m:e>
                        </m:d>
                      </m:e>
                      <m:sup>
                        <m:sSub>
                          <m:sSubPr>
                            <m:ctrlPr>
                              <w:rPr>
                                <w:rFonts w:ascii="Cambria Math" w:hAnsi="Cambria Math"/>
                                <w:i/>
                                <w:szCs w:val="18"/>
                                <w:lang w:val="en-US"/>
                              </w:rPr>
                            </m:ctrlPr>
                          </m:sSubPr>
                          <m:e>
                            <m:r>
                              <m:rPr>
                                <m:sty m:val="bi"/>
                              </m:rPr>
                              <w:rPr>
                                <w:rFonts w:ascii="Cambria Math" w:hAnsi="Cambria Math"/>
                                <w:szCs w:val="18"/>
                                <w:lang w:val="en-US"/>
                              </w:rPr>
                              <m:t>α</m:t>
                            </m:r>
                          </m:e>
                          <m:sub>
                            <m:r>
                              <m:rPr>
                                <m:sty m:val="bi"/>
                              </m:rPr>
                              <w:rPr>
                                <w:rFonts w:ascii="Cambria Math" w:hAnsi="Cambria Math"/>
                                <w:szCs w:val="18"/>
                                <w:lang w:val="en-US"/>
                              </w:rPr>
                              <m:t>p</m:t>
                            </m:r>
                            <m:r>
                              <m:rPr>
                                <m:sty m:val="bi"/>
                              </m:rPr>
                              <w:rPr>
                                <w:rFonts w:ascii="Cambria Math" w:hAnsi="Cambria Math"/>
                                <w:szCs w:val="18"/>
                                <w:lang w:val="en-US"/>
                              </w:rPr>
                              <m:t>,</m:t>
                            </m:r>
                            <m:r>
                              <m:rPr>
                                <m:sty m:val="bi"/>
                              </m:rPr>
                              <w:rPr>
                                <w:rFonts w:ascii="Cambria Math" w:hAnsi="Cambria Math"/>
                                <w:szCs w:val="18"/>
                                <w:lang w:val="en-US"/>
                              </w:rPr>
                              <m:t>m</m:t>
                            </m:r>
                          </m:sub>
                        </m:sSub>
                      </m:sup>
                    </m:sSup>
                  </m:den>
                </m:f>
              </m:oMath>
            </m:oMathPara>
          </w:p>
        </w:tc>
      </w:tr>
      <w:tr w:rsidR="00E11798" w:rsidRPr="007849B1" w14:paraId="55A9577F" w14:textId="77777777" w:rsidTr="00E11798">
        <w:trPr>
          <w:cantSplit/>
          <w:trHeight w:val="20"/>
          <w:jc w:val="center"/>
        </w:trPr>
        <w:tc>
          <w:tcPr>
            <w:tcW w:w="2370" w:type="dxa"/>
            <w:vAlign w:val="center"/>
          </w:tcPr>
          <w:p w14:paraId="7EDA8246" w14:textId="129FA53C" w:rsidR="00E11798" w:rsidRPr="007849B1" w:rsidRDefault="00E11798" w:rsidP="005E1087">
            <w:pPr>
              <w:pStyle w:val="TAH"/>
              <w:rPr>
                <w:i/>
                <w:szCs w:val="18"/>
              </w:rPr>
            </w:pPr>
            <w:r>
              <w:rPr>
                <w:i/>
                <w:szCs w:val="18"/>
              </w:rPr>
              <w:t>Carrier Frequency</w:t>
            </w:r>
          </w:p>
        </w:tc>
        <w:tc>
          <w:tcPr>
            <w:tcW w:w="3702" w:type="dxa"/>
            <w:gridSpan w:val="4"/>
            <w:vAlign w:val="center"/>
          </w:tcPr>
          <w:p w14:paraId="1FC4A2E1" w14:textId="6F7894F6" w:rsidR="00E11798" w:rsidRPr="007849B1" w:rsidRDefault="00E11798" w:rsidP="005E1087">
            <w:pPr>
              <w:pStyle w:val="TAH"/>
              <w:rPr>
                <w:szCs w:val="18"/>
                <w:lang w:val="en-US"/>
              </w:rPr>
            </w:pPr>
            <w:r>
              <w:rPr>
                <w:szCs w:val="18"/>
                <w:lang w:val="en-US"/>
              </w:rPr>
              <w:t>70 GHz</w:t>
            </w:r>
          </w:p>
        </w:tc>
      </w:tr>
      <w:tr w:rsidR="00E11798" w:rsidRPr="007849B1" w14:paraId="381104A2" w14:textId="77777777" w:rsidTr="00E11798">
        <w:trPr>
          <w:cantSplit/>
          <w:trHeight w:val="20"/>
          <w:jc w:val="center"/>
        </w:trPr>
        <w:tc>
          <w:tcPr>
            <w:tcW w:w="2370" w:type="dxa"/>
            <w:vAlign w:val="center"/>
          </w:tcPr>
          <w:p w14:paraId="392E9E8E" w14:textId="77777777" w:rsidR="00E11798" w:rsidRPr="007849B1" w:rsidRDefault="00E11798" w:rsidP="005E1087">
            <w:pPr>
              <w:pStyle w:val="TAH"/>
              <w:rPr>
                <w:i/>
                <w:szCs w:val="18"/>
                <w:lang w:val="en-US"/>
              </w:rPr>
            </w:pPr>
            <w:r w:rsidRPr="007849B1">
              <w:rPr>
                <w:i/>
                <w:szCs w:val="18"/>
              </w:rPr>
              <w:t>PSD0</w:t>
            </w:r>
          </w:p>
        </w:tc>
        <w:tc>
          <w:tcPr>
            <w:tcW w:w="3702" w:type="dxa"/>
            <w:gridSpan w:val="4"/>
            <w:vAlign w:val="center"/>
          </w:tcPr>
          <w:p w14:paraId="4C857CC9" w14:textId="77777777" w:rsidR="00E11798" w:rsidRPr="007849B1" w:rsidRDefault="00E11798" w:rsidP="005E1087">
            <w:pPr>
              <w:pStyle w:val="TAH"/>
              <w:rPr>
                <w:szCs w:val="18"/>
                <w:lang w:val="en-US"/>
              </w:rPr>
            </w:pPr>
            <w:r w:rsidRPr="007849B1">
              <w:rPr>
                <w:szCs w:val="18"/>
                <w:lang w:val="en-US"/>
              </w:rPr>
              <w:t>8894 (39.49dB)</w:t>
            </w:r>
          </w:p>
        </w:tc>
      </w:tr>
      <w:tr w:rsidR="00E11798" w:rsidRPr="007849B1" w14:paraId="6515B8AC" w14:textId="77777777" w:rsidTr="00E11798">
        <w:trPr>
          <w:trHeight w:val="20"/>
          <w:jc w:val="center"/>
        </w:trPr>
        <w:tc>
          <w:tcPr>
            <w:tcW w:w="2370" w:type="dxa"/>
            <w:vAlign w:val="center"/>
          </w:tcPr>
          <w:p w14:paraId="7FEB9DFA" w14:textId="77777777" w:rsidR="00E11798" w:rsidRPr="007849B1" w:rsidRDefault="00E11798" w:rsidP="005E1087">
            <w:pPr>
              <w:pStyle w:val="TAH"/>
              <w:rPr>
                <w:i/>
                <w:lang w:val="en-US"/>
              </w:rPr>
            </w:pPr>
            <w:r w:rsidRPr="007849B1">
              <w:rPr>
                <w:i/>
                <w:lang w:val="en-US"/>
              </w:rPr>
              <w:t>n,m</w:t>
            </w:r>
          </w:p>
        </w:tc>
        <w:tc>
          <w:tcPr>
            <w:tcW w:w="925" w:type="dxa"/>
            <w:vAlign w:val="center"/>
          </w:tcPr>
          <w:p w14:paraId="0D188BF1" w14:textId="77777777" w:rsidR="00E11798" w:rsidRPr="007849B1" w:rsidRDefault="00E11798" w:rsidP="005E1087">
            <w:pPr>
              <w:pStyle w:val="TAH"/>
              <w:rPr>
                <w:i/>
                <w:lang w:val="en-US"/>
              </w:rPr>
            </w:pPr>
            <w:r w:rsidRPr="007849B1">
              <w:rPr>
                <w:i/>
                <w:lang w:val="en-US"/>
              </w:rPr>
              <w:t>f</w:t>
            </w:r>
            <w:r w:rsidRPr="007849B1">
              <w:rPr>
                <w:i/>
                <w:vertAlign w:val="subscript"/>
                <w:lang w:val="en-US"/>
              </w:rPr>
              <w:t>z,n</w:t>
            </w:r>
          </w:p>
        </w:tc>
        <w:tc>
          <w:tcPr>
            <w:tcW w:w="926" w:type="dxa"/>
            <w:vAlign w:val="center"/>
          </w:tcPr>
          <w:p w14:paraId="01BD4371" w14:textId="77777777" w:rsidR="00E11798" w:rsidRPr="007849B1" w:rsidRDefault="00E11798" w:rsidP="005E1087">
            <w:pPr>
              <w:pStyle w:val="TAH"/>
              <w:rPr>
                <w:i/>
                <w:lang w:val="en-US"/>
              </w:rPr>
            </w:pPr>
            <w:r w:rsidRPr="007849B1">
              <w:rPr>
                <w:rFonts w:cs="Arial"/>
                <w:i/>
                <w:lang w:val="en-US"/>
              </w:rPr>
              <w:t>α</w:t>
            </w:r>
            <w:r w:rsidRPr="007849B1">
              <w:rPr>
                <w:i/>
                <w:vertAlign w:val="subscript"/>
                <w:lang w:val="en-US"/>
              </w:rPr>
              <w:t>z,n</w:t>
            </w:r>
          </w:p>
        </w:tc>
        <w:tc>
          <w:tcPr>
            <w:tcW w:w="925" w:type="dxa"/>
            <w:vAlign w:val="center"/>
          </w:tcPr>
          <w:p w14:paraId="54D103F1" w14:textId="77777777" w:rsidR="00E11798" w:rsidRPr="007849B1" w:rsidRDefault="00E11798" w:rsidP="005E1087">
            <w:pPr>
              <w:pStyle w:val="TAH"/>
              <w:rPr>
                <w:i/>
                <w:lang w:val="en-US"/>
              </w:rPr>
            </w:pPr>
            <w:r w:rsidRPr="007849B1">
              <w:rPr>
                <w:i/>
                <w:lang w:val="en-US"/>
              </w:rPr>
              <w:t>fp,m</w:t>
            </w:r>
          </w:p>
        </w:tc>
        <w:tc>
          <w:tcPr>
            <w:tcW w:w="926" w:type="dxa"/>
            <w:vAlign w:val="center"/>
          </w:tcPr>
          <w:p w14:paraId="71910FBD" w14:textId="77777777" w:rsidR="00E11798" w:rsidRPr="007849B1" w:rsidRDefault="00E11798" w:rsidP="005E1087">
            <w:pPr>
              <w:pStyle w:val="TAH"/>
              <w:rPr>
                <w:i/>
                <w:lang w:val="en-US"/>
              </w:rPr>
            </w:pPr>
            <w:r w:rsidRPr="007849B1">
              <w:rPr>
                <w:rFonts w:cs="Arial"/>
                <w:i/>
                <w:lang w:val="en-US"/>
              </w:rPr>
              <w:t>α</w:t>
            </w:r>
            <w:r w:rsidRPr="007849B1">
              <w:rPr>
                <w:i/>
                <w:vertAlign w:val="subscript"/>
                <w:lang w:val="en-US"/>
              </w:rPr>
              <w:t>p,m</w:t>
            </w:r>
          </w:p>
        </w:tc>
      </w:tr>
      <w:tr w:rsidR="00E11798" w:rsidRPr="007849B1" w14:paraId="4DAA128D" w14:textId="77777777" w:rsidTr="00E11798">
        <w:trPr>
          <w:cantSplit/>
          <w:trHeight w:val="20"/>
          <w:jc w:val="center"/>
        </w:trPr>
        <w:tc>
          <w:tcPr>
            <w:tcW w:w="2370" w:type="dxa"/>
            <w:vAlign w:val="bottom"/>
          </w:tcPr>
          <w:p w14:paraId="0D5A97CC" w14:textId="77777777" w:rsidR="00E11798" w:rsidRPr="007849B1" w:rsidRDefault="00E11798" w:rsidP="005E1087">
            <w:pPr>
              <w:pStyle w:val="TAC"/>
              <w:rPr>
                <w:lang w:val="en-US"/>
              </w:rPr>
            </w:pPr>
            <w:r w:rsidRPr="007849B1">
              <w:rPr>
                <w:lang w:val="en-US"/>
              </w:rPr>
              <w:t>1</w:t>
            </w:r>
          </w:p>
        </w:tc>
        <w:tc>
          <w:tcPr>
            <w:tcW w:w="925" w:type="dxa"/>
            <w:vAlign w:val="bottom"/>
          </w:tcPr>
          <w:p w14:paraId="677E2381" w14:textId="77777777" w:rsidR="00E11798" w:rsidRPr="007849B1" w:rsidRDefault="00E11798" w:rsidP="005E1087">
            <w:pPr>
              <w:pStyle w:val="TAC"/>
              <w:rPr>
                <w:lang w:val="en-US"/>
              </w:rPr>
            </w:pPr>
            <w:r w:rsidRPr="007849B1">
              <w:rPr>
                <w:lang w:val="en-US"/>
              </w:rPr>
              <w:t>3e3</w:t>
            </w:r>
          </w:p>
        </w:tc>
        <w:tc>
          <w:tcPr>
            <w:tcW w:w="926" w:type="dxa"/>
            <w:vAlign w:val="bottom"/>
          </w:tcPr>
          <w:p w14:paraId="6D25071E" w14:textId="77777777" w:rsidR="00E11798" w:rsidRPr="007849B1" w:rsidRDefault="00E11798" w:rsidP="005E1087">
            <w:pPr>
              <w:pStyle w:val="TAC"/>
              <w:rPr>
                <w:lang w:val="en-US"/>
              </w:rPr>
            </w:pPr>
            <w:r w:rsidRPr="007849B1">
              <w:rPr>
                <w:lang w:val="en-US"/>
              </w:rPr>
              <w:t>2.37</w:t>
            </w:r>
          </w:p>
        </w:tc>
        <w:tc>
          <w:tcPr>
            <w:tcW w:w="925" w:type="dxa"/>
            <w:vAlign w:val="bottom"/>
          </w:tcPr>
          <w:p w14:paraId="408F0262" w14:textId="77777777" w:rsidR="00E11798" w:rsidRPr="007849B1" w:rsidRDefault="00E11798" w:rsidP="005E1087">
            <w:pPr>
              <w:pStyle w:val="TAC"/>
              <w:rPr>
                <w:lang w:val="en-US"/>
              </w:rPr>
            </w:pPr>
            <w:r w:rsidRPr="007849B1">
              <w:rPr>
                <w:lang w:val="en-US"/>
              </w:rPr>
              <w:t>1</w:t>
            </w:r>
          </w:p>
        </w:tc>
        <w:tc>
          <w:tcPr>
            <w:tcW w:w="926" w:type="dxa"/>
            <w:vAlign w:val="bottom"/>
          </w:tcPr>
          <w:p w14:paraId="495B4670" w14:textId="77777777" w:rsidR="00E11798" w:rsidRPr="007849B1" w:rsidRDefault="00E11798" w:rsidP="005E1087">
            <w:pPr>
              <w:pStyle w:val="TAC"/>
              <w:rPr>
                <w:lang w:val="en-US"/>
              </w:rPr>
            </w:pPr>
            <w:r w:rsidRPr="007849B1">
              <w:rPr>
                <w:lang w:val="en-US"/>
              </w:rPr>
              <w:t>3.3</w:t>
            </w:r>
          </w:p>
        </w:tc>
      </w:tr>
      <w:tr w:rsidR="00E11798" w:rsidRPr="007849B1" w14:paraId="0276037F" w14:textId="77777777" w:rsidTr="00E11798">
        <w:trPr>
          <w:cantSplit/>
          <w:trHeight w:val="20"/>
          <w:jc w:val="center"/>
        </w:trPr>
        <w:tc>
          <w:tcPr>
            <w:tcW w:w="2370" w:type="dxa"/>
            <w:vAlign w:val="bottom"/>
          </w:tcPr>
          <w:p w14:paraId="1096793A" w14:textId="77777777" w:rsidR="00E11798" w:rsidRPr="007849B1" w:rsidRDefault="00E11798" w:rsidP="005E1087">
            <w:pPr>
              <w:pStyle w:val="TAC"/>
              <w:rPr>
                <w:lang w:val="en-US"/>
              </w:rPr>
            </w:pPr>
            <w:r w:rsidRPr="007849B1">
              <w:rPr>
                <w:lang w:val="en-US"/>
              </w:rPr>
              <w:t>2</w:t>
            </w:r>
          </w:p>
        </w:tc>
        <w:tc>
          <w:tcPr>
            <w:tcW w:w="925" w:type="dxa"/>
            <w:vAlign w:val="bottom"/>
          </w:tcPr>
          <w:p w14:paraId="77B55CEA" w14:textId="77777777" w:rsidR="00E11798" w:rsidRPr="007849B1" w:rsidRDefault="00E11798" w:rsidP="005E1087">
            <w:pPr>
              <w:pStyle w:val="TAC"/>
              <w:rPr>
                <w:lang w:val="en-US"/>
              </w:rPr>
            </w:pPr>
            <w:r w:rsidRPr="007849B1">
              <w:rPr>
                <w:lang w:val="en-US"/>
              </w:rPr>
              <w:t>396e3</w:t>
            </w:r>
          </w:p>
        </w:tc>
        <w:tc>
          <w:tcPr>
            <w:tcW w:w="926" w:type="dxa"/>
            <w:vAlign w:val="bottom"/>
          </w:tcPr>
          <w:p w14:paraId="03BA7BB7" w14:textId="77777777" w:rsidR="00E11798" w:rsidRPr="007849B1" w:rsidRDefault="00E11798" w:rsidP="005E1087">
            <w:pPr>
              <w:pStyle w:val="TAC"/>
              <w:rPr>
                <w:lang w:val="en-US"/>
              </w:rPr>
            </w:pPr>
            <w:r w:rsidRPr="007849B1">
              <w:rPr>
                <w:lang w:val="en-US"/>
              </w:rPr>
              <w:t>2.7</w:t>
            </w:r>
          </w:p>
        </w:tc>
        <w:tc>
          <w:tcPr>
            <w:tcW w:w="925" w:type="dxa"/>
            <w:vAlign w:val="bottom"/>
          </w:tcPr>
          <w:p w14:paraId="2428D4F4" w14:textId="77777777" w:rsidR="00E11798" w:rsidRPr="007849B1" w:rsidRDefault="00E11798" w:rsidP="005E1087">
            <w:pPr>
              <w:pStyle w:val="TAC"/>
              <w:rPr>
                <w:lang w:val="en-US"/>
              </w:rPr>
            </w:pPr>
            <w:r w:rsidRPr="007849B1">
              <w:rPr>
                <w:lang w:val="en-US"/>
              </w:rPr>
              <w:t>1.55e6</w:t>
            </w:r>
          </w:p>
        </w:tc>
        <w:tc>
          <w:tcPr>
            <w:tcW w:w="926" w:type="dxa"/>
            <w:vAlign w:val="bottom"/>
          </w:tcPr>
          <w:p w14:paraId="4D7E5454" w14:textId="77777777" w:rsidR="00E11798" w:rsidRPr="007849B1" w:rsidRDefault="00E11798" w:rsidP="005E1087">
            <w:pPr>
              <w:pStyle w:val="TAC"/>
              <w:rPr>
                <w:lang w:val="en-US"/>
              </w:rPr>
            </w:pPr>
            <w:r w:rsidRPr="007849B1">
              <w:rPr>
                <w:lang w:val="en-US"/>
              </w:rPr>
              <w:t>3.3</w:t>
            </w:r>
          </w:p>
        </w:tc>
      </w:tr>
      <w:tr w:rsidR="00E11798" w:rsidRPr="007849B1" w14:paraId="3E8F1ABD" w14:textId="77777777" w:rsidTr="00E11798">
        <w:trPr>
          <w:cantSplit/>
          <w:trHeight w:val="20"/>
          <w:jc w:val="center"/>
        </w:trPr>
        <w:tc>
          <w:tcPr>
            <w:tcW w:w="2370" w:type="dxa"/>
            <w:vAlign w:val="bottom"/>
          </w:tcPr>
          <w:p w14:paraId="0470BE9C" w14:textId="77777777" w:rsidR="00E11798" w:rsidRPr="007849B1" w:rsidRDefault="00E11798" w:rsidP="005E1087">
            <w:pPr>
              <w:pStyle w:val="TAC"/>
              <w:rPr>
                <w:lang w:val="en-US"/>
              </w:rPr>
            </w:pPr>
            <w:r w:rsidRPr="007849B1">
              <w:rPr>
                <w:lang w:val="en-US"/>
              </w:rPr>
              <w:t>3</w:t>
            </w:r>
          </w:p>
        </w:tc>
        <w:tc>
          <w:tcPr>
            <w:tcW w:w="925" w:type="dxa"/>
            <w:vAlign w:val="bottom"/>
          </w:tcPr>
          <w:p w14:paraId="744D253D" w14:textId="77777777" w:rsidR="00E11798" w:rsidRPr="007849B1" w:rsidRDefault="00E11798" w:rsidP="005E1087">
            <w:pPr>
              <w:pStyle w:val="TAC"/>
              <w:rPr>
                <w:lang w:val="en-US"/>
              </w:rPr>
            </w:pPr>
            <w:r w:rsidRPr="007849B1">
              <w:rPr>
                <w:lang w:val="en-US"/>
              </w:rPr>
              <w:t>754e6</w:t>
            </w:r>
          </w:p>
        </w:tc>
        <w:tc>
          <w:tcPr>
            <w:tcW w:w="926" w:type="dxa"/>
            <w:vAlign w:val="bottom"/>
          </w:tcPr>
          <w:p w14:paraId="4E9A7954" w14:textId="77777777" w:rsidR="00E11798" w:rsidRPr="007849B1" w:rsidRDefault="00E11798" w:rsidP="005E1087">
            <w:pPr>
              <w:pStyle w:val="TAC"/>
              <w:rPr>
                <w:lang w:val="en-US"/>
              </w:rPr>
            </w:pPr>
            <w:r w:rsidRPr="007849B1">
              <w:rPr>
                <w:lang w:val="en-US"/>
              </w:rPr>
              <w:t>2.53</w:t>
            </w:r>
          </w:p>
        </w:tc>
        <w:tc>
          <w:tcPr>
            <w:tcW w:w="925" w:type="dxa"/>
            <w:vAlign w:val="bottom"/>
          </w:tcPr>
          <w:p w14:paraId="172D76E4" w14:textId="77777777" w:rsidR="00E11798" w:rsidRPr="007849B1" w:rsidRDefault="00E11798" w:rsidP="005E1087">
            <w:pPr>
              <w:pStyle w:val="TAC"/>
              <w:rPr>
                <w:lang w:val="en-US"/>
              </w:rPr>
            </w:pPr>
            <w:r w:rsidRPr="007849B1">
              <w:rPr>
                <w:lang w:val="en-US"/>
              </w:rPr>
              <w:t>30e6</w:t>
            </w:r>
          </w:p>
        </w:tc>
        <w:tc>
          <w:tcPr>
            <w:tcW w:w="926" w:type="dxa"/>
            <w:vAlign w:val="bottom"/>
          </w:tcPr>
          <w:p w14:paraId="4636C778" w14:textId="77777777" w:rsidR="00E11798" w:rsidRPr="007849B1" w:rsidRDefault="00E11798" w:rsidP="005E1087">
            <w:pPr>
              <w:pStyle w:val="TAC"/>
              <w:rPr>
                <w:lang w:val="en-US"/>
              </w:rPr>
            </w:pPr>
            <w:r w:rsidRPr="007849B1">
              <w:rPr>
                <w:lang w:val="en-US"/>
              </w:rPr>
              <w:t>1</w:t>
            </w:r>
          </w:p>
        </w:tc>
      </w:tr>
    </w:tbl>
    <w:p w14:paraId="7B1F1411" w14:textId="251863F7" w:rsidR="00EB4457" w:rsidRDefault="00DA38F6" w:rsidP="00EA5E2E">
      <w:pPr>
        <w:pStyle w:val="ListParagraph"/>
        <w:spacing w:beforeLines="50" w:before="120" w:afterLines="50" w:after="120"/>
        <w:ind w:left="0"/>
        <w:contextualSpacing w:val="0"/>
        <w:outlineLvl w:val="0"/>
      </w:pPr>
      <w:r>
        <w:t>When evaluating the EVM of various QAM modulations</w:t>
      </w:r>
      <w:r w:rsidR="00D64E99">
        <w:t xml:space="preserve"> (i.e., QPSK, 16QAM, 64QAM, and 256QAM)</w:t>
      </w:r>
      <w:r>
        <w:t>, we compensated</w:t>
      </w:r>
      <w:r w:rsidR="006525B0">
        <w:t xml:space="preserve"> </w:t>
      </w:r>
      <w:r>
        <w:t>the common phase error (CPE) term via a zero forcing (ZF) equalizer. Ideal CPE estimator is assumed, and only the receiver side phase noise is modeled. This means that for the given phase noise model, our evaluation result</w:t>
      </w:r>
      <w:r w:rsidR="002B51AC">
        <w:t xml:space="preserve"> provides</w:t>
      </w:r>
      <w:r>
        <w:t xml:space="preserve"> a performance upper bound </w:t>
      </w:r>
      <w:r w:rsidR="00BB04AB">
        <w:t>of the evaluated numerology options.</w:t>
      </w:r>
    </w:p>
    <w:p w14:paraId="715BFFD2" w14:textId="0A710E8E" w:rsidR="002B51AC" w:rsidRDefault="002B51AC" w:rsidP="00EA5E2E">
      <w:pPr>
        <w:pStyle w:val="ListParagraph"/>
        <w:spacing w:beforeLines="50" w:before="120" w:afterLines="50" w:after="120"/>
        <w:ind w:left="0"/>
        <w:contextualSpacing w:val="0"/>
        <w:outlineLvl w:val="0"/>
      </w:pPr>
      <w:r>
        <w:t>The evaluation result</w:t>
      </w:r>
      <w:r w:rsidR="00524312">
        <w:t xml:space="preserve"> is given in</w:t>
      </w:r>
      <w:r w:rsidR="002C64F0">
        <w:t xml:space="preserve"> </w:t>
      </w:r>
      <w:r w:rsidR="002C64F0">
        <w:fldChar w:fldCharType="begin"/>
      </w:r>
      <w:r w:rsidR="002C64F0">
        <w:instrText xml:space="preserve"> REF _Ref40449809 \h </w:instrText>
      </w:r>
      <w:r w:rsidR="002C64F0">
        <w:fldChar w:fldCharType="separate"/>
      </w:r>
      <w:r w:rsidR="002C64F0">
        <w:t xml:space="preserve">Table </w:t>
      </w:r>
      <w:r w:rsidR="002C64F0">
        <w:rPr>
          <w:noProof/>
        </w:rPr>
        <w:t>2</w:t>
      </w:r>
      <w:r w:rsidR="002C64F0">
        <w:fldChar w:fldCharType="end"/>
      </w:r>
      <w:r w:rsidR="00524312">
        <w:t xml:space="preserve">. Note it could be shown that after the CPE compensation, the EVM </w:t>
      </w:r>
      <w:r w:rsidR="00D64E99">
        <w:t>is independent of the modulation type (i.e., the EVM</w:t>
      </w:r>
      <w:r w:rsidR="000A21D8">
        <w:t>s</w:t>
      </w:r>
      <w:r w:rsidR="00D64E99">
        <w:t xml:space="preserve"> are the same for QPSK, 16QAM, 64QAM, and 256QAM). Hence, we only show a single EVM value for each n</w:t>
      </w:r>
      <w:r w:rsidR="002C64F0">
        <w:t xml:space="preserve">umerology option in </w:t>
      </w:r>
      <w:r w:rsidR="002C64F0">
        <w:fldChar w:fldCharType="begin"/>
      </w:r>
      <w:r w:rsidR="002C64F0">
        <w:instrText xml:space="preserve"> REF _Ref40449809 \h </w:instrText>
      </w:r>
      <w:r w:rsidR="002C64F0">
        <w:fldChar w:fldCharType="separate"/>
      </w:r>
      <w:r w:rsidR="002C64F0">
        <w:t xml:space="preserve">Table </w:t>
      </w:r>
      <w:r w:rsidR="002C64F0">
        <w:rPr>
          <w:noProof/>
        </w:rPr>
        <w:t>2</w:t>
      </w:r>
      <w:r w:rsidR="002C64F0">
        <w:fldChar w:fldCharType="end"/>
      </w:r>
      <w:r w:rsidR="00D64E99">
        <w:t>.</w:t>
      </w:r>
      <w:r w:rsidR="00165D4D">
        <w:t xml:space="preserve"> For reference, </w:t>
      </w:r>
      <w:r w:rsidR="000A21D8">
        <w:t xml:space="preserve">we </w:t>
      </w:r>
      <w:r w:rsidR="00165D4D">
        <w:t xml:space="preserve">also </w:t>
      </w:r>
      <w:r w:rsidR="000A21D8">
        <w:t xml:space="preserve">list the EVM requirements for different modulation schemes as specified in </w:t>
      </w:r>
      <w:r w:rsidR="002C64F0">
        <w:fldChar w:fldCharType="begin"/>
      </w:r>
      <w:r w:rsidR="002C64F0">
        <w:instrText xml:space="preserve"> REF _Ref40449526 \n \h </w:instrText>
      </w:r>
      <w:r w:rsidR="002C64F0">
        <w:fldChar w:fldCharType="separate"/>
      </w:r>
      <w:r w:rsidR="002C64F0">
        <w:t>[2]</w:t>
      </w:r>
      <w:r w:rsidR="002C64F0">
        <w:fldChar w:fldCharType="end"/>
      </w:r>
      <w:r w:rsidR="002C64F0">
        <w:t xml:space="preserve"> in </w:t>
      </w:r>
      <w:r w:rsidR="002C64F0">
        <w:fldChar w:fldCharType="begin"/>
      </w:r>
      <w:r w:rsidR="002C64F0">
        <w:instrText xml:space="preserve"> REF _Ref40449882 \h </w:instrText>
      </w:r>
      <w:r w:rsidR="002C64F0">
        <w:fldChar w:fldCharType="separate"/>
      </w:r>
      <w:r w:rsidR="002C64F0">
        <w:t xml:space="preserve">Table </w:t>
      </w:r>
      <w:r w:rsidR="002C64F0">
        <w:rPr>
          <w:noProof/>
        </w:rPr>
        <w:t>3</w:t>
      </w:r>
      <w:r w:rsidR="002C64F0">
        <w:fldChar w:fldCharType="end"/>
      </w:r>
      <w:r w:rsidR="00165D4D">
        <w:t>.</w:t>
      </w:r>
    </w:p>
    <w:p w14:paraId="330B424A" w14:textId="490E55CE" w:rsidR="00147033" w:rsidRDefault="002C64F0" w:rsidP="00640298">
      <w:pPr>
        <w:pStyle w:val="ListParagraph"/>
        <w:spacing w:beforeLines="50" w:before="120" w:afterLines="50" w:after="120"/>
        <w:ind w:left="0"/>
        <w:contextualSpacing w:val="0"/>
        <w:outlineLvl w:val="0"/>
      </w:pPr>
      <w:r>
        <w:t xml:space="preserve">From </w:t>
      </w:r>
      <w:r>
        <w:fldChar w:fldCharType="begin"/>
      </w:r>
      <w:r>
        <w:instrText xml:space="preserve"> REF _Ref40449809 \h </w:instrText>
      </w:r>
      <w:r>
        <w:fldChar w:fldCharType="separate"/>
      </w:r>
      <w:r>
        <w:t xml:space="preserve">Table </w:t>
      </w:r>
      <w:r>
        <w:rPr>
          <w:noProof/>
        </w:rPr>
        <w:t>2</w:t>
      </w:r>
      <w:r>
        <w:fldChar w:fldCharType="end"/>
      </w:r>
      <w:r w:rsidR="00165D4D">
        <w:t xml:space="preserve"> we can make several observations. First, with this phase noise model, the EVM does not improve with larger subcarrier spacing. </w:t>
      </w:r>
      <w:r w:rsidR="00286309">
        <w:t>This shows that the noise</w:t>
      </w:r>
      <w:r w:rsidR="00993FE7">
        <w:t xml:space="preserve"> </w:t>
      </w:r>
      <w:r w:rsidR="00286309">
        <w:t>component contributing</w:t>
      </w:r>
      <w:r w:rsidR="00993FE7">
        <w:t xml:space="preserve"> to the EVM behaves more like white noise, and cannot be absorbed </w:t>
      </w:r>
      <w:r w:rsidR="00286309">
        <w:t>into</w:t>
      </w:r>
      <w:r w:rsidR="00993FE7">
        <w:t xml:space="preserve"> CPE</w:t>
      </w:r>
      <w:r w:rsidR="00286309">
        <w:t xml:space="preserve"> for compensation.</w:t>
      </w:r>
      <w:r w:rsidR="0081386B">
        <w:t xml:space="preserve"> Second, </w:t>
      </w:r>
      <w:r w:rsidR="00590F80">
        <w:t>we noticed that when compared to</w:t>
      </w:r>
      <w:r>
        <w:t xml:space="preserve"> the EVM requirements given in </w:t>
      </w:r>
      <w:r>
        <w:fldChar w:fldCharType="begin"/>
      </w:r>
      <w:r>
        <w:instrText xml:space="preserve"> REF _Ref40449882 \h </w:instrText>
      </w:r>
      <w:r>
        <w:fldChar w:fldCharType="separate"/>
      </w:r>
      <w:r>
        <w:t xml:space="preserve">Table </w:t>
      </w:r>
      <w:r>
        <w:rPr>
          <w:noProof/>
        </w:rPr>
        <w:t>3</w:t>
      </w:r>
      <w:r>
        <w:fldChar w:fldCharType="end"/>
      </w:r>
      <w:r w:rsidR="00590F80">
        <w:t>, we are only able to support QP</w:t>
      </w:r>
      <w:r w:rsidR="00640298">
        <w:t>SK for all</w:t>
      </w:r>
    </w:p>
    <w:p w14:paraId="58CB7229" w14:textId="3ACB4E51" w:rsidR="00C14424" w:rsidRDefault="00C14424" w:rsidP="00C14424">
      <w:pPr>
        <w:jc w:val="center"/>
      </w:pPr>
      <w:r w:rsidRPr="00C14424">
        <w:rPr>
          <w:noProof/>
          <w:lang w:eastAsia="zh-TW"/>
        </w:rPr>
        <w:lastRenderedPageBreak/>
        <w:drawing>
          <wp:inline distT="0" distB="0" distL="0" distR="0" wp14:anchorId="33D8E4BA" wp14:editId="17BCE86C">
            <wp:extent cx="3669792" cy="2740796"/>
            <wp:effectExtent l="0" t="0" r="6985" b="2540"/>
            <wp:docPr id="2" name="Picture 2" descr="C:\Users\mtk10427\Documents\5G references\5G mmWave\NR above 52.6GHz\Simulation Results\Phase_Noise_PS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tk10427\Documents\5G references\5G mmWave\NR above 52.6GHz\Simulation Results\Phase_Noise_PS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3564" cy="2758550"/>
                    </a:xfrm>
                    <a:prstGeom prst="rect">
                      <a:avLst/>
                    </a:prstGeom>
                    <a:noFill/>
                    <a:ln>
                      <a:noFill/>
                    </a:ln>
                  </pic:spPr>
                </pic:pic>
              </a:graphicData>
            </a:graphic>
          </wp:inline>
        </w:drawing>
      </w:r>
    </w:p>
    <w:p w14:paraId="3A945889" w14:textId="026F8A81" w:rsidR="00640298" w:rsidRDefault="00640298" w:rsidP="00640298">
      <w:pPr>
        <w:pStyle w:val="Caption"/>
        <w:jc w:val="center"/>
      </w:pPr>
      <w:bookmarkStart w:id="5" w:name="_Ref40449757"/>
      <w:r>
        <w:t xml:space="preserve">Figure </w:t>
      </w:r>
      <w:r>
        <w:fldChar w:fldCharType="begin"/>
      </w:r>
      <w:r>
        <w:instrText xml:space="preserve"> SEQ Figure \* ARABIC </w:instrText>
      </w:r>
      <w:r>
        <w:fldChar w:fldCharType="separate"/>
      </w:r>
      <w:r>
        <w:rPr>
          <w:noProof/>
        </w:rPr>
        <w:t>1</w:t>
      </w:r>
      <w:r>
        <w:fldChar w:fldCharType="end"/>
      </w:r>
      <w:bookmarkEnd w:id="5"/>
      <w:r>
        <w:t>: The spectral density of the phase noise model at 70GHz</w:t>
      </w:r>
    </w:p>
    <w:p w14:paraId="7A35B336" w14:textId="542CF97E" w:rsidR="00640298" w:rsidRDefault="00640298" w:rsidP="00640298">
      <w:pPr>
        <w:pStyle w:val="ListParagraph"/>
        <w:spacing w:beforeLines="50" w:before="120" w:afterLines="50" w:after="120"/>
        <w:ind w:left="0"/>
        <w:contextualSpacing w:val="0"/>
        <w:outlineLvl w:val="0"/>
      </w:pPr>
      <w:r>
        <w:t>evaluated scenarios. Even though the EVM is just slightly worse than the value required for 16QAM, the gap will increase i</w:t>
      </w:r>
      <w:r w:rsidR="002C64F0">
        <w:t xml:space="preserve">f we consider thermal noise and </w:t>
      </w:r>
      <w:r>
        <w:t xml:space="preserve">other </w:t>
      </w:r>
      <w:r w:rsidR="002C64F0">
        <w:t xml:space="preserve">RF </w:t>
      </w:r>
      <w:r>
        <w:t>impairments.</w:t>
      </w:r>
    </w:p>
    <w:p w14:paraId="792919DF" w14:textId="77777777" w:rsidR="00640298" w:rsidRDefault="00640298" w:rsidP="00640298">
      <w:pPr>
        <w:pStyle w:val="Caption"/>
      </w:pPr>
      <w:bookmarkStart w:id="6" w:name="_Ref40448468"/>
      <w:r>
        <w:t xml:space="preserve">Observation </w:t>
      </w:r>
      <w:r>
        <w:fldChar w:fldCharType="begin"/>
      </w:r>
      <w:r>
        <w:instrText xml:space="preserve"> SEQ Observation \* ARABIC </w:instrText>
      </w:r>
      <w:r>
        <w:fldChar w:fldCharType="separate"/>
      </w:r>
      <w:r>
        <w:rPr>
          <w:noProof/>
        </w:rPr>
        <w:t>3</w:t>
      </w:r>
      <w:r>
        <w:fldChar w:fldCharType="end"/>
      </w:r>
      <w:r>
        <w:t>: Using existing NR FR2 numerology, assuming the phase noise model given in TR38.803 and 70GHz carrier frequency, higher order modulation schemes like 16QAM, 64QAM, and 256QAM could not meet the EVM requirement.</w:t>
      </w:r>
      <w:bookmarkEnd w:id="6"/>
    </w:p>
    <w:p w14:paraId="656E6FFF" w14:textId="77777777" w:rsidR="00C14424" w:rsidRPr="00147033" w:rsidRDefault="00C14424" w:rsidP="00147033"/>
    <w:p w14:paraId="45EBDC28" w14:textId="1EA773F0" w:rsidR="00165D4D" w:rsidRDefault="00147033" w:rsidP="00147033">
      <w:pPr>
        <w:pStyle w:val="Caption"/>
        <w:jc w:val="center"/>
      </w:pPr>
      <w:bookmarkStart w:id="7" w:name="_Ref40449809"/>
      <w:r>
        <w:t xml:space="preserve">Table </w:t>
      </w:r>
      <w:r>
        <w:fldChar w:fldCharType="begin"/>
      </w:r>
      <w:r>
        <w:instrText xml:space="preserve"> SEQ Table \* ARABIC </w:instrText>
      </w:r>
      <w:r>
        <w:fldChar w:fldCharType="separate"/>
      </w:r>
      <w:r>
        <w:rPr>
          <w:noProof/>
        </w:rPr>
        <w:t>2</w:t>
      </w:r>
      <w:r>
        <w:fldChar w:fldCharType="end"/>
      </w:r>
      <w:bookmarkEnd w:id="7"/>
      <w:r>
        <w:t>: EVM Evaluations for Various NR Numerologies</w:t>
      </w:r>
    </w:p>
    <w:tbl>
      <w:tblPr>
        <w:tblStyle w:val="TableGrid"/>
        <w:tblW w:w="0" w:type="auto"/>
        <w:tblLook w:val="04A0" w:firstRow="1" w:lastRow="0" w:firstColumn="1" w:lastColumn="0" w:noHBand="0" w:noVBand="1"/>
      </w:tblPr>
      <w:tblGrid>
        <w:gridCol w:w="2605"/>
        <w:gridCol w:w="2520"/>
        <w:gridCol w:w="1440"/>
        <w:gridCol w:w="1585"/>
        <w:gridCol w:w="2038"/>
      </w:tblGrid>
      <w:tr w:rsidR="000A21D8" w14:paraId="09B81E00" w14:textId="77777777" w:rsidTr="000A21D8">
        <w:tc>
          <w:tcPr>
            <w:tcW w:w="2605" w:type="dxa"/>
          </w:tcPr>
          <w:p w14:paraId="1F9B3983" w14:textId="4BA554AB" w:rsidR="000A21D8" w:rsidRPr="00165D4D" w:rsidRDefault="000A21D8" w:rsidP="000A21D8">
            <w:pPr>
              <w:pStyle w:val="ListParagraph"/>
              <w:spacing w:beforeLines="50" w:before="120" w:afterLines="50" w:after="120"/>
              <w:ind w:left="0"/>
              <w:contextualSpacing w:val="0"/>
              <w:jc w:val="center"/>
              <w:outlineLvl w:val="0"/>
              <w:rPr>
                <w:b/>
                <w:sz w:val="20"/>
                <w:szCs w:val="20"/>
              </w:rPr>
            </w:pPr>
            <w:r w:rsidRPr="00165D4D">
              <w:rPr>
                <w:b/>
                <w:sz w:val="20"/>
                <w:szCs w:val="20"/>
              </w:rPr>
              <w:t>Channel Bandwidth (MHz)</w:t>
            </w:r>
          </w:p>
        </w:tc>
        <w:tc>
          <w:tcPr>
            <w:tcW w:w="2520" w:type="dxa"/>
          </w:tcPr>
          <w:p w14:paraId="20FA2591" w14:textId="22F4540E" w:rsidR="000A21D8" w:rsidRPr="00165D4D" w:rsidRDefault="000A21D8" w:rsidP="000A21D8">
            <w:pPr>
              <w:pStyle w:val="ListParagraph"/>
              <w:spacing w:beforeLines="50" w:before="120" w:afterLines="50" w:after="120"/>
              <w:ind w:left="0"/>
              <w:contextualSpacing w:val="0"/>
              <w:jc w:val="center"/>
              <w:outlineLvl w:val="0"/>
              <w:rPr>
                <w:b/>
                <w:sz w:val="20"/>
                <w:szCs w:val="20"/>
              </w:rPr>
            </w:pPr>
            <w:r w:rsidRPr="00165D4D">
              <w:rPr>
                <w:b/>
                <w:sz w:val="20"/>
                <w:szCs w:val="20"/>
              </w:rPr>
              <w:t>Subcarrier Spacing (KHz)</w:t>
            </w:r>
          </w:p>
        </w:tc>
        <w:tc>
          <w:tcPr>
            <w:tcW w:w="1440" w:type="dxa"/>
          </w:tcPr>
          <w:p w14:paraId="377FF063" w14:textId="25108F11" w:rsidR="000A21D8" w:rsidRPr="00165D4D" w:rsidRDefault="000A21D8" w:rsidP="000A21D8">
            <w:pPr>
              <w:pStyle w:val="ListParagraph"/>
              <w:spacing w:beforeLines="50" w:before="120" w:afterLines="50" w:after="120"/>
              <w:ind w:left="0"/>
              <w:contextualSpacing w:val="0"/>
              <w:jc w:val="center"/>
              <w:outlineLvl w:val="0"/>
              <w:rPr>
                <w:b/>
                <w:sz w:val="20"/>
                <w:szCs w:val="20"/>
              </w:rPr>
            </w:pPr>
            <w:r w:rsidRPr="00165D4D">
              <w:rPr>
                <w:b/>
                <w:sz w:val="20"/>
                <w:szCs w:val="20"/>
              </w:rPr>
              <w:t>FFT Size</w:t>
            </w:r>
          </w:p>
        </w:tc>
        <w:tc>
          <w:tcPr>
            <w:tcW w:w="1585" w:type="dxa"/>
          </w:tcPr>
          <w:p w14:paraId="4235CF18" w14:textId="1B91648E" w:rsidR="000A21D8" w:rsidRPr="00165D4D" w:rsidRDefault="000A21D8" w:rsidP="000A21D8">
            <w:pPr>
              <w:pStyle w:val="ListParagraph"/>
              <w:spacing w:beforeLines="50" w:before="120" w:afterLines="50" w:after="120"/>
              <w:ind w:left="0"/>
              <w:contextualSpacing w:val="0"/>
              <w:jc w:val="center"/>
              <w:outlineLvl w:val="0"/>
              <w:rPr>
                <w:b/>
                <w:sz w:val="20"/>
                <w:szCs w:val="20"/>
              </w:rPr>
            </w:pPr>
            <m:oMathPara>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RB</m:t>
                    </m:r>
                  </m:sub>
                </m:sSub>
              </m:oMath>
            </m:oMathPara>
          </w:p>
        </w:tc>
        <w:tc>
          <w:tcPr>
            <w:tcW w:w="2038" w:type="dxa"/>
          </w:tcPr>
          <w:p w14:paraId="2556B059" w14:textId="18C13CEC" w:rsidR="000A21D8" w:rsidRPr="00165D4D" w:rsidRDefault="000A21D8" w:rsidP="000A21D8">
            <w:pPr>
              <w:pStyle w:val="ListParagraph"/>
              <w:spacing w:beforeLines="50" w:before="120" w:afterLines="50" w:after="120"/>
              <w:ind w:left="0"/>
              <w:contextualSpacing w:val="0"/>
              <w:jc w:val="center"/>
              <w:outlineLvl w:val="0"/>
              <w:rPr>
                <w:b/>
                <w:sz w:val="20"/>
                <w:szCs w:val="20"/>
              </w:rPr>
            </w:pPr>
            <w:r w:rsidRPr="00165D4D">
              <w:rPr>
                <w:b/>
                <w:sz w:val="20"/>
                <w:szCs w:val="20"/>
              </w:rPr>
              <w:t>EVM (%)</w:t>
            </w:r>
          </w:p>
        </w:tc>
      </w:tr>
      <w:tr w:rsidR="000A21D8" w14:paraId="0E742811" w14:textId="77777777" w:rsidTr="00165D4D">
        <w:trPr>
          <w:trHeight w:val="229"/>
        </w:trPr>
        <w:tc>
          <w:tcPr>
            <w:tcW w:w="2605" w:type="dxa"/>
          </w:tcPr>
          <w:p w14:paraId="7763AD67" w14:textId="7E556049"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100</w:t>
            </w:r>
          </w:p>
        </w:tc>
        <w:tc>
          <w:tcPr>
            <w:tcW w:w="2520" w:type="dxa"/>
          </w:tcPr>
          <w:p w14:paraId="46004C97" w14:textId="7A8407B7"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60</w:t>
            </w:r>
          </w:p>
        </w:tc>
        <w:tc>
          <w:tcPr>
            <w:tcW w:w="1440" w:type="dxa"/>
          </w:tcPr>
          <w:p w14:paraId="14872695" w14:textId="2A8E9E2A"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2048</w:t>
            </w:r>
          </w:p>
        </w:tc>
        <w:tc>
          <w:tcPr>
            <w:tcW w:w="1585" w:type="dxa"/>
          </w:tcPr>
          <w:p w14:paraId="1FDFE0EC" w14:textId="3577E9D0"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132</w:t>
            </w:r>
          </w:p>
        </w:tc>
        <w:tc>
          <w:tcPr>
            <w:tcW w:w="2038" w:type="dxa"/>
          </w:tcPr>
          <w:p w14:paraId="6AC47973" w14:textId="5676DA82" w:rsidR="000A21D8" w:rsidRPr="000A21D8" w:rsidRDefault="00AC1453" w:rsidP="00165D4D">
            <w:pPr>
              <w:pStyle w:val="ListParagraph"/>
              <w:spacing w:beforeLines="50" w:before="120" w:afterLines="50" w:after="120"/>
              <w:ind w:left="0"/>
              <w:contextualSpacing w:val="0"/>
              <w:jc w:val="center"/>
              <w:outlineLvl w:val="0"/>
              <w:rPr>
                <w:sz w:val="20"/>
                <w:szCs w:val="20"/>
              </w:rPr>
            </w:pPr>
            <w:r>
              <w:rPr>
                <w:sz w:val="20"/>
                <w:szCs w:val="20"/>
              </w:rPr>
              <w:t>12.4</w:t>
            </w:r>
          </w:p>
        </w:tc>
      </w:tr>
      <w:tr w:rsidR="000A21D8" w14:paraId="3CB96E61" w14:textId="77777777" w:rsidTr="000A21D8">
        <w:tc>
          <w:tcPr>
            <w:tcW w:w="2605" w:type="dxa"/>
          </w:tcPr>
          <w:p w14:paraId="1931CE3F" w14:textId="2C5BD5D2"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200</w:t>
            </w:r>
          </w:p>
        </w:tc>
        <w:tc>
          <w:tcPr>
            <w:tcW w:w="2520" w:type="dxa"/>
          </w:tcPr>
          <w:p w14:paraId="26C217F6" w14:textId="3628E0D5"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120</w:t>
            </w:r>
          </w:p>
        </w:tc>
        <w:tc>
          <w:tcPr>
            <w:tcW w:w="1440" w:type="dxa"/>
          </w:tcPr>
          <w:p w14:paraId="7F1E005F" w14:textId="3C5668EE"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2048</w:t>
            </w:r>
          </w:p>
        </w:tc>
        <w:tc>
          <w:tcPr>
            <w:tcW w:w="1585" w:type="dxa"/>
          </w:tcPr>
          <w:p w14:paraId="3D012BB5" w14:textId="5451A741"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132</w:t>
            </w:r>
          </w:p>
        </w:tc>
        <w:tc>
          <w:tcPr>
            <w:tcW w:w="2038" w:type="dxa"/>
          </w:tcPr>
          <w:p w14:paraId="70F68782" w14:textId="28A99D8C" w:rsidR="000A21D8" w:rsidRPr="000A21D8" w:rsidRDefault="00AC1453" w:rsidP="00165D4D">
            <w:pPr>
              <w:pStyle w:val="ListParagraph"/>
              <w:spacing w:beforeLines="50" w:before="120" w:afterLines="50" w:after="120"/>
              <w:ind w:left="0"/>
              <w:contextualSpacing w:val="0"/>
              <w:jc w:val="center"/>
              <w:outlineLvl w:val="0"/>
              <w:rPr>
                <w:sz w:val="20"/>
                <w:szCs w:val="20"/>
              </w:rPr>
            </w:pPr>
            <w:r>
              <w:rPr>
                <w:sz w:val="20"/>
                <w:szCs w:val="20"/>
              </w:rPr>
              <w:t>12.6</w:t>
            </w:r>
          </w:p>
        </w:tc>
      </w:tr>
      <w:tr w:rsidR="000A21D8" w14:paraId="12181D39" w14:textId="77777777" w:rsidTr="000A21D8">
        <w:tc>
          <w:tcPr>
            <w:tcW w:w="2605" w:type="dxa"/>
          </w:tcPr>
          <w:p w14:paraId="30CC454C" w14:textId="5A269229"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400</w:t>
            </w:r>
          </w:p>
        </w:tc>
        <w:tc>
          <w:tcPr>
            <w:tcW w:w="2520" w:type="dxa"/>
          </w:tcPr>
          <w:p w14:paraId="278B4815" w14:textId="59460DD7"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240</w:t>
            </w:r>
          </w:p>
        </w:tc>
        <w:tc>
          <w:tcPr>
            <w:tcW w:w="1440" w:type="dxa"/>
          </w:tcPr>
          <w:p w14:paraId="25590E72" w14:textId="5A044ABA"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2048</w:t>
            </w:r>
          </w:p>
        </w:tc>
        <w:tc>
          <w:tcPr>
            <w:tcW w:w="1585" w:type="dxa"/>
          </w:tcPr>
          <w:p w14:paraId="648BE375" w14:textId="5B8A4885"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132</w:t>
            </w:r>
          </w:p>
        </w:tc>
        <w:tc>
          <w:tcPr>
            <w:tcW w:w="2038" w:type="dxa"/>
          </w:tcPr>
          <w:p w14:paraId="65A1FA9C" w14:textId="0E0DC20E" w:rsidR="000A21D8" w:rsidRPr="000A21D8" w:rsidRDefault="00AC1453" w:rsidP="00165D4D">
            <w:pPr>
              <w:pStyle w:val="ListParagraph"/>
              <w:spacing w:beforeLines="50" w:before="120" w:afterLines="50" w:after="120"/>
              <w:ind w:left="0"/>
              <w:contextualSpacing w:val="0"/>
              <w:jc w:val="center"/>
              <w:outlineLvl w:val="0"/>
              <w:rPr>
                <w:sz w:val="20"/>
                <w:szCs w:val="20"/>
              </w:rPr>
            </w:pPr>
            <w:r>
              <w:rPr>
                <w:sz w:val="20"/>
                <w:szCs w:val="20"/>
              </w:rPr>
              <w:t>12.7</w:t>
            </w:r>
          </w:p>
        </w:tc>
      </w:tr>
      <w:tr w:rsidR="000A21D8" w14:paraId="1579138F" w14:textId="77777777" w:rsidTr="000A21D8">
        <w:tc>
          <w:tcPr>
            <w:tcW w:w="2605" w:type="dxa"/>
          </w:tcPr>
          <w:p w14:paraId="4225D26C" w14:textId="14C20391"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200</w:t>
            </w:r>
          </w:p>
        </w:tc>
        <w:tc>
          <w:tcPr>
            <w:tcW w:w="2520" w:type="dxa"/>
          </w:tcPr>
          <w:p w14:paraId="40065459" w14:textId="6F8DCF5D"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60</w:t>
            </w:r>
          </w:p>
        </w:tc>
        <w:tc>
          <w:tcPr>
            <w:tcW w:w="1440" w:type="dxa"/>
          </w:tcPr>
          <w:p w14:paraId="4DDEAF60" w14:textId="71B39A5C"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4096</w:t>
            </w:r>
          </w:p>
        </w:tc>
        <w:tc>
          <w:tcPr>
            <w:tcW w:w="1585" w:type="dxa"/>
          </w:tcPr>
          <w:p w14:paraId="72FAD5EE" w14:textId="630D0356"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264</w:t>
            </w:r>
          </w:p>
        </w:tc>
        <w:tc>
          <w:tcPr>
            <w:tcW w:w="2038" w:type="dxa"/>
          </w:tcPr>
          <w:p w14:paraId="1BEE066C" w14:textId="4F1E0FD5" w:rsidR="000A21D8" w:rsidRPr="000A21D8" w:rsidRDefault="00202C9A" w:rsidP="00165D4D">
            <w:pPr>
              <w:pStyle w:val="ListParagraph"/>
              <w:spacing w:beforeLines="50" w:before="120" w:afterLines="50" w:after="120"/>
              <w:ind w:left="0"/>
              <w:contextualSpacing w:val="0"/>
              <w:jc w:val="center"/>
              <w:outlineLvl w:val="0"/>
              <w:rPr>
                <w:sz w:val="20"/>
                <w:szCs w:val="20"/>
              </w:rPr>
            </w:pPr>
            <w:r>
              <w:rPr>
                <w:sz w:val="20"/>
                <w:szCs w:val="20"/>
              </w:rPr>
              <w:t>12.7</w:t>
            </w:r>
          </w:p>
        </w:tc>
      </w:tr>
      <w:tr w:rsidR="000A21D8" w14:paraId="7A68E3AB" w14:textId="77777777" w:rsidTr="000A21D8">
        <w:tc>
          <w:tcPr>
            <w:tcW w:w="2605" w:type="dxa"/>
          </w:tcPr>
          <w:p w14:paraId="60F022DF" w14:textId="720F8EE4"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400</w:t>
            </w:r>
          </w:p>
        </w:tc>
        <w:tc>
          <w:tcPr>
            <w:tcW w:w="2520" w:type="dxa"/>
          </w:tcPr>
          <w:p w14:paraId="7776C19D" w14:textId="2E590FF5"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120</w:t>
            </w:r>
          </w:p>
        </w:tc>
        <w:tc>
          <w:tcPr>
            <w:tcW w:w="1440" w:type="dxa"/>
          </w:tcPr>
          <w:p w14:paraId="21EEA6DD" w14:textId="12359EA1"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4096</w:t>
            </w:r>
          </w:p>
        </w:tc>
        <w:tc>
          <w:tcPr>
            <w:tcW w:w="1585" w:type="dxa"/>
          </w:tcPr>
          <w:p w14:paraId="5B842574" w14:textId="0545DF19"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264</w:t>
            </w:r>
          </w:p>
        </w:tc>
        <w:tc>
          <w:tcPr>
            <w:tcW w:w="2038" w:type="dxa"/>
          </w:tcPr>
          <w:p w14:paraId="779DC3AE" w14:textId="4F523A3E" w:rsidR="000A21D8" w:rsidRPr="000A21D8" w:rsidRDefault="00202C9A" w:rsidP="00165D4D">
            <w:pPr>
              <w:pStyle w:val="ListParagraph"/>
              <w:spacing w:beforeLines="50" w:before="120" w:afterLines="50" w:after="120"/>
              <w:ind w:left="0"/>
              <w:contextualSpacing w:val="0"/>
              <w:jc w:val="center"/>
              <w:outlineLvl w:val="0"/>
              <w:rPr>
                <w:sz w:val="20"/>
                <w:szCs w:val="20"/>
              </w:rPr>
            </w:pPr>
            <w:r>
              <w:rPr>
                <w:sz w:val="20"/>
                <w:szCs w:val="20"/>
              </w:rPr>
              <w:t>12.8</w:t>
            </w:r>
          </w:p>
        </w:tc>
      </w:tr>
      <w:tr w:rsidR="000A21D8" w14:paraId="295598F9" w14:textId="77777777" w:rsidTr="000A21D8">
        <w:tc>
          <w:tcPr>
            <w:tcW w:w="2605" w:type="dxa"/>
          </w:tcPr>
          <w:p w14:paraId="24F301E5" w14:textId="59E9AA07"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800</w:t>
            </w:r>
          </w:p>
        </w:tc>
        <w:tc>
          <w:tcPr>
            <w:tcW w:w="2520" w:type="dxa"/>
          </w:tcPr>
          <w:p w14:paraId="199C81E4" w14:textId="29C5F682"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240</w:t>
            </w:r>
          </w:p>
        </w:tc>
        <w:tc>
          <w:tcPr>
            <w:tcW w:w="1440" w:type="dxa"/>
          </w:tcPr>
          <w:p w14:paraId="242FB72F" w14:textId="2E134CD9"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4096</w:t>
            </w:r>
          </w:p>
        </w:tc>
        <w:tc>
          <w:tcPr>
            <w:tcW w:w="1585" w:type="dxa"/>
          </w:tcPr>
          <w:p w14:paraId="5593581F" w14:textId="648C884A" w:rsidR="000A21D8" w:rsidRPr="000A21D8" w:rsidRDefault="00165D4D" w:rsidP="00165D4D">
            <w:pPr>
              <w:pStyle w:val="ListParagraph"/>
              <w:spacing w:beforeLines="50" w:before="120" w:afterLines="50" w:after="120"/>
              <w:ind w:left="0"/>
              <w:contextualSpacing w:val="0"/>
              <w:jc w:val="center"/>
              <w:outlineLvl w:val="0"/>
              <w:rPr>
                <w:sz w:val="20"/>
                <w:szCs w:val="20"/>
              </w:rPr>
            </w:pPr>
            <w:r>
              <w:rPr>
                <w:sz w:val="20"/>
                <w:szCs w:val="20"/>
              </w:rPr>
              <w:t>264</w:t>
            </w:r>
          </w:p>
        </w:tc>
        <w:tc>
          <w:tcPr>
            <w:tcW w:w="2038" w:type="dxa"/>
          </w:tcPr>
          <w:p w14:paraId="10A87322" w14:textId="20912A87" w:rsidR="000A21D8" w:rsidRPr="000A21D8" w:rsidRDefault="00202C9A" w:rsidP="00165D4D">
            <w:pPr>
              <w:pStyle w:val="ListParagraph"/>
              <w:spacing w:beforeLines="50" w:before="120" w:afterLines="50" w:after="120"/>
              <w:ind w:left="0"/>
              <w:contextualSpacing w:val="0"/>
              <w:jc w:val="center"/>
              <w:outlineLvl w:val="0"/>
              <w:rPr>
                <w:sz w:val="20"/>
                <w:szCs w:val="20"/>
              </w:rPr>
            </w:pPr>
            <w:r>
              <w:rPr>
                <w:sz w:val="20"/>
                <w:szCs w:val="20"/>
              </w:rPr>
              <w:t>12.8</w:t>
            </w:r>
          </w:p>
        </w:tc>
      </w:tr>
    </w:tbl>
    <w:p w14:paraId="1508C70A" w14:textId="77777777" w:rsidR="00147033" w:rsidRDefault="00147033" w:rsidP="00147033">
      <w:pPr>
        <w:pStyle w:val="Caption"/>
      </w:pPr>
    </w:p>
    <w:p w14:paraId="6004A7A5" w14:textId="4ACA927C" w:rsidR="00B17EA9" w:rsidRDefault="00147033" w:rsidP="00147033">
      <w:pPr>
        <w:pStyle w:val="Caption"/>
        <w:jc w:val="center"/>
      </w:pPr>
      <w:bookmarkStart w:id="8" w:name="_Ref40449882"/>
      <w:r>
        <w:t xml:space="preserve">Table </w:t>
      </w:r>
      <w:r>
        <w:fldChar w:fldCharType="begin"/>
      </w:r>
      <w:r>
        <w:instrText xml:space="preserve"> SEQ Table \* ARABIC </w:instrText>
      </w:r>
      <w:r>
        <w:fldChar w:fldCharType="separate"/>
      </w:r>
      <w:r>
        <w:rPr>
          <w:noProof/>
        </w:rPr>
        <w:t>3</w:t>
      </w:r>
      <w:r>
        <w:fldChar w:fldCharType="end"/>
      </w:r>
      <w:bookmarkEnd w:id="8"/>
      <w:r>
        <w:t>: EVM Requirements for Various Modulation</w:t>
      </w:r>
      <w:r w:rsidR="007D6BAE">
        <w:t xml:space="preserve"> Schemes </w:t>
      </w:r>
      <w:r w:rsidR="007D6BAE">
        <w:fldChar w:fldCharType="begin"/>
      </w:r>
      <w:r w:rsidR="007D6BAE">
        <w:instrText xml:space="preserve"> REF _Ref40449526 \n \h </w:instrText>
      </w:r>
      <w:r w:rsidR="007D6BAE">
        <w:fldChar w:fldCharType="separate"/>
      </w:r>
      <w:r w:rsidR="007D6BAE">
        <w:t>[2]</w:t>
      </w:r>
      <w:r w:rsidR="007D6BAE">
        <w:fldChar w:fldCharType="end"/>
      </w:r>
      <w:bookmarkStart w:id="9" w:name="_GoBack"/>
      <w:bookmarkEnd w:id="9"/>
    </w:p>
    <w:tbl>
      <w:tblPr>
        <w:tblW w:w="10340" w:type="dxa"/>
        <w:tblCellMar>
          <w:left w:w="0" w:type="dxa"/>
          <w:right w:w="0" w:type="dxa"/>
        </w:tblCellMar>
        <w:tblLook w:val="0600" w:firstRow="0" w:lastRow="0" w:firstColumn="0" w:lastColumn="0" w:noHBand="1" w:noVBand="1"/>
      </w:tblPr>
      <w:tblGrid>
        <w:gridCol w:w="4960"/>
        <w:gridCol w:w="1720"/>
        <w:gridCol w:w="3660"/>
      </w:tblGrid>
      <w:tr w:rsidR="00165D4D" w:rsidRPr="00165D4D" w14:paraId="3DD396A2" w14:textId="77777777" w:rsidTr="00165D4D">
        <w:trPr>
          <w:trHeight w:val="123"/>
        </w:trPr>
        <w:tc>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395C5"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b/>
                <w:bCs/>
                <w:color w:val="000000" w:themeColor="text1"/>
                <w:kern w:val="24"/>
                <w:sz w:val="20"/>
                <w:szCs w:val="20"/>
                <w:lang w:val="en-GB"/>
              </w:rPr>
              <w:t>Parameter</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058F9E"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b/>
                <w:bCs/>
                <w:color w:val="000000" w:themeColor="text1"/>
                <w:kern w:val="24"/>
                <w:sz w:val="20"/>
                <w:szCs w:val="20"/>
                <w:lang w:val="en-GB"/>
              </w:rPr>
              <w:t>Unit</w:t>
            </w:r>
          </w:p>
        </w:tc>
        <w:tc>
          <w:tcPr>
            <w:tcW w:w="3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38435"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b/>
                <w:bCs/>
                <w:color w:val="000000" w:themeColor="text1"/>
                <w:kern w:val="24"/>
                <w:sz w:val="20"/>
                <w:szCs w:val="20"/>
                <w:lang w:val="en-GB"/>
              </w:rPr>
              <w:t>Average EVM Level</w:t>
            </w:r>
          </w:p>
        </w:tc>
      </w:tr>
      <w:tr w:rsidR="00165D4D" w:rsidRPr="00165D4D" w14:paraId="2382247D" w14:textId="77777777" w:rsidTr="00165D4D">
        <w:trPr>
          <w:trHeight w:val="141"/>
        </w:trPr>
        <w:tc>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9AC6A3"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color w:val="000000" w:themeColor="text1"/>
                <w:kern w:val="24"/>
                <w:sz w:val="20"/>
                <w:szCs w:val="20"/>
                <w:lang w:val="en-GB"/>
              </w:rPr>
              <w:t>QPSK</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C32E77"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cs="v5.0.0"/>
                <w:color w:val="000000" w:themeColor="text1"/>
                <w:kern w:val="24"/>
                <w:sz w:val="20"/>
                <w:szCs w:val="20"/>
                <w:lang w:val="en-GB"/>
              </w:rPr>
              <w:t>%</w:t>
            </w:r>
          </w:p>
        </w:tc>
        <w:tc>
          <w:tcPr>
            <w:tcW w:w="3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DA3723"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cs="v5.0.0"/>
                <w:color w:val="000000" w:themeColor="text1"/>
                <w:kern w:val="24"/>
                <w:sz w:val="20"/>
                <w:szCs w:val="20"/>
                <w:lang w:val="en-GB"/>
              </w:rPr>
              <w:t>17.5</w:t>
            </w:r>
          </w:p>
        </w:tc>
      </w:tr>
      <w:tr w:rsidR="00165D4D" w:rsidRPr="00165D4D" w14:paraId="5622892B" w14:textId="77777777" w:rsidTr="00165D4D">
        <w:trPr>
          <w:trHeight w:val="195"/>
        </w:trPr>
        <w:tc>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EA308"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color w:val="000000" w:themeColor="text1"/>
                <w:kern w:val="24"/>
                <w:sz w:val="20"/>
                <w:szCs w:val="20"/>
                <w:lang w:val="en-GB"/>
              </w:rPr>
              <w:t>16</w:t>
            </w:r>
            <w:r w:rsidRPr="00165D4D">
              <w:rPr>
                <w:rFonts w:ascii="Arial" w:eastAsia="Malgun Gothic" w:hAnsi="Arial"/>
                <w:color w:val="000000" w:themeColor="text1"/>
                <w:kern w:val="24"/>
                <w:sz w:val="20"/>
                <w:szCs w:val="20"/>
                <w:lang w:val="en-GB"/>
              </w:rPr>
              <w:t xml:space="preserve"> </w:t>
            </w:r>
            <w:r w:rsidRPr="00165D4D">
              <w:rPr>
                <w:rFonts w:ascii="Arial" w:eastAsia="MS Mincho" w:hAnsi="Arial"/>
                <w:color w:val="000000" w:themeColor="text1"/>
                <w:kern w:val="24"/>
                <w:sz w:val="20"/>
                <w:szCs w:val="20"/>
                <w:lang w:val="en-GB"/>
              </w:rPr>
              <w:t xml:space="preserve">QAM </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8138A7"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cs="v5.0.0"/>
                <w:color w:val="000000" w:themeColor="text1"/>
                <w:kern w:val="24"/>
                <w:sz w:val="20"/>
                <w:szCs w:val="20"/>
                <w:lang w:val="en-GB"/>
              </w:rPr>
              <w:t>%</w:t>
            </w:r>
          </w:p>
        </w:tc>
        <w:tc>
          <w:tcPr>
            <w:tcW w:w="3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675B33"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cs="v5.0.0"/>
                <w:color w:val="000000" w:themeColor="text1"/>
                <w:kern w:val="24"/>
                <w:sz w:val="20"/>
                <w:szCs w:val="20"/>
                <w:lang w:val="en-GB"/>
              </w:rPr>
              <w:t>12.5</w:t>
            </w:r>
          </w:p>
        </w:tc>
      </w:tr>
      <w:tr w:rsidR="00165D4D" w:rsidRPr="00165D4D" w14:paraId="10FB6DC8" w14:textId="77777777" w:rsidTr="00165D4D">
        <w:trPr>
          <w:trHeight w:val="23"/>
        </w:trPr>
        <w:tc>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F52811"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color w:val="000000" w:themeColor="text1"/>
                <w:kern w:val="24"/>
                <w:sz w:val="20"/>
                <w:szCs w:val="20"/>
                <w:lang w:val="en-GB"/>
              </w:rPr>
              <w:t>64</w:t>
            </w:r>
            <w:r w:rsidRPr="00165D4D">
              <w:rPr>
                <w:rFonts w:ascii="Arial" w:eastAsia="Malgun Gothic" w:hAnsi="Arial"/>
                <w:color w:val="000000" w:themeColor="text1"/>
                <w:kern w:val="24"/>
                <w:sz w:val="20"/>
                <w:szCs w:val="20"/>
                <w:lang w:val="en-GB"/>
              </w:rPr>
              <w:t xml:space="preserve"> </w:t>
            </w:r>
            <w:r w:rsidRPr="00165D4D">
              <w:rPr>
                <w:rFonts w:ascii="Arial" w:eastAsia="MS Mincho" w:hAnsi="Arial"/>
                <w:color w:val="000000" w:themeColor="text1"/>
                <w:kern w:val="24"/>
                <w:sz w:val="20"/>
                <w:szCs w:val="20"/>
                <w:lang w:val="en-GB"/>
              </w:rPr>
              <w:t xml:space="preserve">QAM </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0EC7CE"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cs="v5.0.0"/>
                <w:color w:val="000000" w:themeColor="text1"/>
                <w:kern w:val="24"/>
                <w:sz w:val="20"/>
                <w:szCs w:val="20"/>
                <w:lang w:val="en-GB"/>
              </w:rPr>
              <w:t>%</w:t>
            </w:r>
          </w:p>
        </w:tc>
        <w:tc>
          <w:tcPr>
            <w:tcW w:w="3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13E315"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cs="v5.0.0"/>
                <w:color w:val="000000" w:themeColor="text1"/>
                <w:kern w:val="24"/>
                <w:sz w:val="20"/>
                <w:szCs w:val="20"/>
                <w:lang w:val="en-GB"/>
              </w:rPr>
              <w:t>8</w:t>
            </w:r>
          </w:p>
        </w:tc>
      </w:tr>
      <w:tr w:rsidR="00165D4D" w:rsidRPr="00165D4D" w14:paraId="7468B7DC" w14:textId="77777777" w:rsidTr="00165D4D">
        <w:trPr>
          <w:trHeight w:val="23"/>
        </w:trPr>
        <w:tc>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F3A45"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color w:val="000000" w:themeColor="text1"/>
                <w:kern w:val="24"/>
                <w:sz w:val="20"/>
                <w:szCs w:val="20"/>
                <w:lang w:val="en-GB"/>
              </w:rPr>
              <w:t>256 QAM</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B2DC7"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cs="v5.0.0"/>
                <w:color w:val="000000" w:themeColor="text1"/>
                <w:kern w:val="24"/>
                <w:sz w:val="20"/>
                <w:szCs w:val="20"/>
                <w:lang w:val="en-GB"/>
              </w:rPr>
              <w:t>%</w:t>
            </w:r>
          </w:p>
        </w:tc>
        <w:tc>
          <w:tcPr>
            <w:tcW w:w="3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F7F46C" w14:textId="77777777" w:rsidR="00165D4D" w:rsidRPr="00165D4D" w:rsidRDefault="00165D4D">
            <w:pPr>
              <w:pStyle w:val="NormalWeb"/>
              <w:spacing w:before="0" w:beforeAutospacing="0" w:after="0" w:afterAutospacing="0"/>
              <w:jc w:val="center"/>
              <w:rPr>
                <w:rFonts w:ascii="Arial" w:hAnsi="Arial" w:cs="Arial"/>
                <w:sz w:val="20"/>
                <w:szCs w:val="20"/>
              </w:rPr>
            </w:pPr>
            <w:r w:rsidRPr="00165D4D">
              <w:rPr>
                <w:rFonts w:ascii="Arial" w:eastAsia="MS Mincho" w:hAnsi="Arial" w:cs="v5.0.0"/>
                <w:color w:val="000000" w:themeColor="text1"/>
                <w:kern w:val="24"/>
                <w:sz w:val="20"/>
                <w:szCs w:val="20"/>
                <w:lang w:val="en-GB"/>
              </w:rPr>
              <w:t>3.5</w:t>
            </w:r>
          </w:p>
        </w:tc>
      </w:tr>
    </w:tbl>
    <w:p w14:paraId="4EB953E4" w14:textId="77777777" w:rsidR="007E5AAE" w:rsidRPr="007E5AAE" w:rsidRDefault="007E5AAE" w:rsidP="00165D4D">
      <w:pPr>
        <w:pStyle w:val="ListParagraph"/>
        <w:spacing w:afterLines="50" w:after="120"/>
        <w:ind w:left="0"/>
        <w:rPr>
          <w:b/>
          <w:iCs/>
        </w:rPr>
      </w:pPr>
    </w:p>
    <w:p w14:paraId="04799358"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77777777" w:rsidR="00FD3E20" w:rsidRDefault="00FD3E20" w:rsidP="00FD3E20">
      <w:pPr>
        <w:spacing w:afterLines="50" w:after="120"/>
      </w:pPr>
      <w:r w:rsidRPr="007D4109">
        <w:t>In summary, we have the following observations:</w:t>
      </w:r>
    </w:p>
    <w:p w14:paraId="10CC7074" w14:textId="077E6FB7" w:rsidR="002852B9" w:rsidRPr="004E2EA2" w:rsidRDefault="004E2EA2" w:rsidP="00E03053">
      <w:pPr>
        <w:spacing w:afterLines="50" w:after="120"/>
        <w:rPr>
          <w:b/>
          <w:iCs/>
        </w:rPr>
      </w:pPr>
      <w:r w:rsidRPr="004E2EA2">
        <w:rPr>
          <w:b/>
          <w:iCs/>
        </w:rPr>
        <w:fldChar w:fldCharType="begin"/>
      </w:r>
      <w:r w:rsidRPr="004E2EA2">
        <w:rPr>
          <w:b/>
          <w:iCs/>
        </w:rPr>
        <w:instrText xml:space="preserve"> REF _Ref40448413 \h </w:instrText>
      </w:r>
      <w:r w:rsidRPr="004E2EA2">
        <w:rPr>
          <w:b/>
          <w:iCs/>
        </w:rPr>
      </w:r>
      <w:r w:rsidRPr="004E2EA2">
        <w:rPr>
          <w:b/>
          <w:iCs/>
        </w:rPr>
        <w:instrText xml:space="preserve"> \* MERGEFORMAT </w:instrText>
      </w:r>
      <w:r w:rsidRPr="004E2EA2">
        <w:rPr>
          <w:b/>
          <w:iCs/>
        </w:rPr>
        <w:fldChar w:fldCharType="separate"/>
      </w:r>
      <w:r w:rsidRPr="004E2EA2">
        <w:rPr>
          <w:b/>
        </w:rPr>
        <w:t xml:space="preserve">Observation </w:t>
      </w:r>
      <w:r w:rsidRPr="004E2EA2">
        <w:rPr>
          <w:b/>
          <w:noProof/>
        </w:rPr>
        <w:t>1</w:t>
      </w:r>
      <w:r w:rsidRPr="004E2EA2">
        <w:rPr>
          <w:b/>
        </w:rPr>
        <w:t>: For indoor operations, as far as CP length is concerned, current NR numerology corresponding to SCS=60KHz, 120KHz, and 240KHz could all operate properly.</w:t>
      </w:r>
      <w:r w:rsidRPr="004E2EA2">
        <w:rPr>
          <w:b/>
          <w:iCs/>
        </w:rPr>
        <w:fldChar w:fldCharType="end"/>
      </w:r>
    </w:p>
    <w:p w14:paraId="3C678212" w14:textId="18907428" w:rsidR="004E2EA2" w:rsidRPr="004E2EA2" w:rsidRDefault="004E2EA2" w:rsidP="00E03053">
      <w:pPr>
        <w:spacing w:afterLines="50" w:after="120"/>
        <w:rPr>
          <w:b/>
          <w:iCs/>
        </w:rPr>
      </w:pPr>
      <w:r w:rsidRPr="004E2EA2">
        <w:rPr>
          <w:b/>
          <w:iCs/>
        </w:rPr>
        <w:lastRenderedPageBreak/>
        <w:fldChar w:fldCharType="begin"/>
      </w:r>
      <w:r w:rsidRPr="004E2EA2">
        <w:rPr>
          <w:b/>
          <w:iCs/>
        </w:rPr>
        <w:instrText xml:space="preserve"> REF _Ref40448461 \h </w:instrText>
      </w:r>
      <w:r w:rsidRPr="004E2EA2">
        <w:rPr>
          <w:b/>
          <w:iCs/>
        </w:rPr>
      </w:r>
      <w:r w:rsidRPr="004E2EA2">
        <w:rPr>
          <w:b/>
          <w:iCs/>
        </w:rPr>
        <w:instrText xml:space="preserve"> \* MERGEFORMAT </w:instrText>
      </w:r>
      <w:r w:rsidRPr="004E2EA2">
        <w:rPr>
          <w:b/>
          <w:iCs/>
        </w:rPr>
        <w:fldChar w:fldCharType="separate"/>
      </w:r>
      <w:r w:rsidRPr="004E2EA2">
        <w:rPr>
          <w:b/>
        </w:rPr>
        <w:t xml:space="preserve">Observation </w:t>
      </w:r>
      <w:r w:rsidRPr="004E2EA2">
        <w:rPr>
          <w:b/>
          <w:noProof/>
        </w:rPr>
        <w:t>2</w:t>
      </w:r>
      <w:r w:rsidRPr="004E2EA2">
        <w:rPr>
          <w:b/>
        </w:rPr>
        <w:t>: Larger OFDM FFT size implies higher signal PAPR, which leads to reduced PA power efficiency and cell coverage.</w:t>
      </w:r>
      <w:r w:rsidRPr="004E2EA2">
        <w:rPr>
          <w:b/>
          <w:iCs/>
        </w:rPr>
        <w:fldChar w:fldCharType="end"/>
      </w:r>
    </w:p>
    <w:p w14:paraId="16FA3BE0" w14:textId="78C4F09A" w:rsidR="004E2EA2" w:rsidRPr="004E2EA2" w:rsidRDefault="004E2EA2" w:rsidP="00E03053">
      <w:pPr>
        <w:spacing w:afterLines="50" w:after="120"/>
        <w:rPr>
          <w:b/>
          <w:iCs/>
        </w:rPr>
      </w:pPr>
      <w:r w:rsidRPr="004E2EA2">
        <w:rPr>
          <w:b/>
          <w:iCs/>
        </w:rPr>
        <w:fldChar w:fldCharType="begin"/>
      </w:r>
      <w:r w:rsidRPr="004E2EA2">
        <w:rPr>
          <w:b/>
          <w:iCs/>
        </w:rPr>
        <w:instrText xml:space="preserve"> REF _Ref40448468 \h </w:instrText>
      </w:r>
      <w:r w:rsidRPr="004E2EA2">
        <w:rPr>
          <w:b/>
          <w:iCs/>
        </w:rPr>
      </w:r>
      <w:r w:rsidRPr="004E2EA2">
        <w:rPr>
          <w:b/>
          <w:iCs/>
        </w:rPr>
        <w:instrText xml:space="preserve"> \* MERGEFORMAT </w:instrText>
      </w:r>
      <w:r w:rsidRPr="004E2EA2">
        <w:rPr>
          <w:b/>
          <w:iCs/>
        </w:rPr>
        <w:fldChar w:fldCharType="separate"/>
      </w:r>
      <w:r w:rsidRPr="004E2EA2">
        <w:rPr>
          <w:b/>
        </w:rPr>
        <w:t xml:space="preserve">Observation </w:t>
      </w:r>
      <w:r w:rsidRPr="004E2EA2">
        <w:rPr>
          <w:b/>
          <w:noProof/>
        </w:rPr>
        <w:t>3</w:t>
      </w:r>
      <w:r w:rsidRPr="004E2EA2">
        <w:rPr>
          <w:b/>
        </w:rPr>
        <w:t>: Using existing NR FR2 numerology, assuming the phase noise model given in TR38.803 and 70GHz carrier frequency, higher order modulation schemes like 16QAM, 64QAM, and 256QAM could not meet the EVM requirement.</w:t>
      </w:r>
      <w:r w:rsidRPr="004E2EA2">
        <w:rPr>
          <w:b/>
          <w:iCs/>
        </w:rPr>
        <w:fldChar w:fldCharType="end"/>
      </w: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71F2992C" w14:textId="27688F93" w:rsidR="000C39EA" w:rsidRDefault="000C39EA" w:rsidP="000C39EA">
      <w:pPr>
        <w:numPr>
          <w:ilvl w:val="0"/>
          <w:numId w:val="6"/>
        </w:numPr>
        <w:spacing w:afterLines="50" w:after="120"/>
      </w:pPr>
      <w:bookmarkStart w:id="10" w:name="_Ref528680018"/>
      <w:bookmarkStart w:id="11" w:name="_Ref481596356"/>
      <w:bookmarkStart w:id="12" w:name="_Ref481781528"/>
      <w:bookmarkStart w:id="13" w:name="_Ref481782557"/>
      <w:bookmarkStart w:id="14" w:name="_Ref40359806"/>
      <w:r>
        <w:t>R1-193259, “New SID Study on supporting NR above 52.6GHz”, Sitges, Spain, December</w:t>
      </w:r>
      <w:r w:rsidRPr="000C39EA">
        <w:t>, 2019</w:t>
      </w:r>
      <w:bookmarkEnd w:id="14"/>
    </w:p>
    <w:p w14:paraId="1A37EDAE" w14:textId="5D8A3951" w:rsidR="001243FA" w:rsidRDefault="003E577B" w:rsidP="003E577B">
      <w:pPr>
        <w:numPr>
          <w:ilvl w:val="0"/>
          <w:numId w:val="6"/>
        </w:numPr>
        <w:spacing w:afterLines="50" w:after="120"/>
      </w:pPr>
      <w:bookmarkStart w:id="15" w:name="_Ref40449526"/>
      <w:r>
        <w:t>3GPP TS38.101-2 v16.3.1, “</w:t>
      </w:r>
      <w:r w:rsidR="00746FF0">
        <w:t xml:space="preserve">NR </w:t>
      </w:r>
      <w:r>
        <w:t>User Equipment (UE) r</w:t>
      </w:r>
      <w:r>
        <w:t xml:space="preserve">adio transmission and reception </w:t>
      </w:r>
      <w:r>
        <w:t>Part 2: Range 2 Standalone</w:t>
      </w:r>
      <w:r>
        <w:t>”, March, 2020</w:t>
      </w:r>
      <w:bookmarkEnd w:id="15"/>
    </w:p>
    <w:p w14:paraId="0377ADCF" w14:textId="2FCFFF72" w:rsidR="00BA1B76" w:rsidRDefault="00746FF0" w:rsidP="00746FF0">
      <w:pPr>
        <w:numPr>
          <w:ilvl w:val="0"/>
          <w:numId w:val="6"/>
        </w:numPr>
        <w:spacing w:afterLines="50" w:after="120"/>
      </w:pPr>
      <w:bookmarkStart w:id="16" w:name="_Ref40449572"/>
      <w:r>
        <w:t xml:space="preserve">3GPP TS38.211 v16.1.0, “NR </w:t>
      </w:r>
      <w:r w:rsidRPr="00746FF0">
        <w:t>Physical channels and modulation</w:t>
      </w:r>
      <w:r>
        <w:t>”, March, 2020</w:t>
      </w:r>
      <w:bookmarkEnd w:id="16"/>
    </w:p>
    <w:p w14:paraId="4E3D919C" w14:textId="7DF8AB0C" w:rsidR="002C041B" w:rsidRDefault="005C6FC6" w:rsidP="005C6FC6">
      <w:pPr>
        <w:numPr>
          <w:ilvl w:val="0"/>
          <w:numId w:val="6"/>
        </w:numPr>
        <w:spacing w:afterLines="50" w:after="120"/>
      </w:pPr>
      <w:bookmarkStart w:id="17" w:name="_Ref40449707"/>
      <w:r>
        <w:t>3GPP TR38.803 v14.2.0, “</w:t>
      </w:r>
      <w:r>
        <w:t>Study on new radio access technology:</w:t>
      </w:r>
      <w:r>
        <w:t xml:space="preserve"> </w:t>
      </w:r>
      <w:r>
        <w:t>Radio Frequency (RF) and co-existence aspects</w:t>
      </w:r>
      <w:r>
        <w:t>”, September, 2017</w:t>
      </w:r>
      <w:bookmarkEnd w:id="17"/>
      <w:r>
        <w:t xml:space="preserve"> </w:t>
      </w:r>
    </w:p>
    <w:bookmarkEnd w:id="10"/>
    <w:bookmarkEnd w:id="11"/>
    <w:bookmarkEnd w:id="12"/>
    <w:bookmarkEnd w:id="13"/>
    <w:p w14:paraId="176A8903" w14:textId="77777777" w:rsidR="0054126A" w:rsidRPr="00215987" w:rsidRDefault="0054126A" w:rsidP="0054126A">
      <w:pPr>
        <w:spacing w:afterLines="50" w:after="120"/>
      </w:pPr>
    </w:p>
    <w:p w14:paraId="7BAF22C0" w14:textId="77777777" w:rsidR="00A842F8" w:rsidRDefault="00A842F8" w:rsidP="006C1381">
      <w:pPr>
        <w:rPr>
          <w:rFonts w:eastAsia="SimSun"/>
        </w:rPr>
      </w:pPr>
    </w:p>
    <w:bookmarkEnd w:id="1"/>
    <w:p w14:paraId="3793824A" w14:textId="1CB9DE17" w:rsidR="000D6052" w:rsidRPr="00215987" w:rsidRDefault="000D6052" w:rsidP="00AD457D">
      <w:pPr>
        <w:spacing w:afterLines="50" w:after="120"/>
      </w:pPr>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66B8C" w14:textId="77777777" w:rsidR="00CE05BC" w:rsidRDefault="00CE05BC">
      <w:r>
        <w:separator/>
      </w:r>
    </w:p>
  </w:endnote>
  <w:endnote w:type="continuationSeparator" w:id="0">
    <w:p w14:paraId="1F3BDE66" w14:textId="77777777" w:rsidR="00CE05BC" w:rsidRDefault="00CE0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9D58D" w14:textId="77777777" w:rsidR="00CE05BC" w:rsidRDefault="00CE05BC">
      <w:r>
        <w:separator/>
      </w:r>
    </w:p>
  </w:footnote>
  <w:footnote w:type="continuationSeparator" w:id="0">
    <w:p w14:paraId="71734B5F" w14:textId="77777777" w:rsidR="00CE05BC" w:rsidRDefault="00CE05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5" w15:restartNumberingAfterBreak="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2" w15:restartNumberingAfterBreak="0">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5" w15:restartNumberingAfterBreak="0">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3"/>
  </w:num>
  <w:num w:numId="2">
    <w:abstractNumId w:val="28"/>
  </w:num>
  <w:num w:numId="3">
    <w:abstractNumId w:val="23"/>
  </w:num>
  <w:num w:numId="4">
    <w:abstractNumId w:val="6"/>
  </w:num>
  <w:num w:numId="5">
    <w:abstractNumId w:val="11"/>
  </w:num>
  <w:num w:numId="6">
    <w:abstractNumId w:val="12"/>
  </w:num>
  <w:num w:numId="7">
    <w:abstractNumId w:val="7"/>
  </w:num>
  <w:num w:numId="8">
    <w:abstractNumId w:val="22"/>
  </w:num>
  <w:num w:numId="9">
    <w:abstractNumId w:val="1"/>
  </w:num>
  <w:num w:numId="10">
    <w:abstractNumId w:val="10"/>
  </w:num>
  <w:num w:numId="11">
    <w:abstractNumId w:val="31"/>
  </w:num>
  <w:num w:numId="12">
    <w:abstractNumId w:val="0"/>
  </w:num>
  <w:num w:numId="13">
    <w:abstractNumId w:val="3"/>
  </w:num>
  <w:num w:numId="14">
    <w:abstractNumId w:val="39"/>
  </w:num>
  <w:num w:numId="15">
    <w:abstractNumId w:val="41"/>
  </w:num>
  <w:num w:numId="16">
    <w:abstractNumId w:val="9"/>
  </w:num>
  <w:num w:numId="17">
    <w:abstractNumId w:val="21"/>
  </w:num>
  <w:num w:numId="18">
    <w:abstractNumId w:val="34"/>
  </w:num>
  <w:num w:numId="19">
    <w:abstractNumId w:val="27"/>
  </w:num>
  <w:num w:numId="20">
    <w:abstractNumId w:val="16"/>
  </w:num>
  <w:num w:numId="21">
    <w:abstractNumId w:val="43"/>
  </w:num>
  <w:num w:numId="22">
    <w:abstractNumId w:val="38"/>
  </w:num>
  <w:num w:numId="23">
    <w:abstractNumId w:val="4"/>
  </w:num>
  <w:num w:numId="24">
    <w:abstractNumId w:val="8"/>
  </w:num>
  <w:num w:numId="25">
    <w:abstractNumId w:val="15"/>
  </w:num>
  <w:num w:numId="26">
    <w:abstractNumId w:val="42"/>
  </w:num>
  <w:num w:numId="27">
    <w:abstractNumId w:val="13"/>
  </w:num>
  <w:num w:numId="28">
    <w:abstractNumId w:val="35"/>
  </w:num>
  <w:num w:numId="29">
    <w:abstractNumId w:val="37"/>
  </w:num>
  <w:num w:numId="30">
    <w:abstractNumId w:val="32"/>
  </w:num>
  <w:num w:numId="31">
    <w:abstractNumId w:val="36"/>
  </w:num>
  <w:num w:numId="32">
    <w:abstractNumId w:val="25"/>
  </w:num>
  <w:num w:numId="33">
    <w:abstractNumId w:val="2"/>
  </w:num>
  <w:num w:numId="34">
    <w:abstractNumId w:val="29"/>
  </w:num>
  <w:num w:numId="35">
    <w:abstractNumId w:val="19"/>
  </w:num>
  <w:num w:numId="36">
    <w:abstractNumId w:val="26"/>
  </w:num>
  <w:num w:numId="37">
    <w:abstractNumId w:val="14"/>
  </w:num>
  <w:num w:numId="38">
    <w:abstractNumId w:val="24"/>
  </w:num>
  <w:num w:numId="39">
    <w:abstractNumId w:val="5"/>
  </w:num>
  <w:num w:numId="40">
    <w:abstractNumId w:val="17"/>
  </w:num>
  <w:num w:numId="41">
    <w:abstractNumId w:val="18"/>
  </w:num>
  <w:num w:numId="42">
    <w:abstractNumId w:val="40"/>
  </w:num>
  <w:num w:numId="43">
    <w:abstractNumId w:val="30"/>
  </w:num>
  <w:num w:numId="44">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6194"/>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2231"/>
    <w:rsid w:val="00062A93"/>
    <w:rsid w:val="00063398"/>
    <w:rsid w:val="00063F24"/>
    <w:rsid w:val="000647C0"/>
    <w:rsid w:val="00065D70"/>
    <w:rsid w:val="00066C1A"/>
    <w:rsid w:val="00067374"/>
    <w:rsid w:val="00067A78"/>
    <w:rsid w:val="00073375"/>
    <w:rsid w:val="00073BC3"/>
    <w:rsid w:val="0007517C"/>
    <w:rsid w:val="00075251"/>
    <w:rsid w:val="00075540"/>
    <w:rsid w:val="000761F5"/>
    <w:rsid w:val="00076B98"/>
    <w:rsid w:val="00076E75"/>
    <w:rsid w:val="000773DA"/>
    <w:rsid w:val="000804BA"/>
    <w:rsid w:val="00080D27"/>
    <w:rsid w:val="000816D0"/>
    <w:rsid w:val="00081B12"/>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E13E3"/>
    <w:rsid w:val="000E3102"/>
    <w:rsid w:val="000E4BBD"/>
    <w:rsid w:val="000E4BCD"/>
    <w:rsid w:val="000E639C"/>
    <w:rsid w:val="000F1E63"/>
    <w:rsid w:val="000F4B50"/>
    <w:rsid w:val="000F4C3D"/>
    <w:rsid w:val="000F5FE4"/>
    <w:rsid w:val="000F757F"/>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7C64"/>
    <w:rsid w:val="00121200"/>
    <w:rsid w:val="001225B7"/>
    <w:rsid w:val="00122847"/>
    <w:rsid w:val="001236A4"/>
    <w:rsid w:val="0012372F"/>
    <w:rsid w:val="00123908"/>
    <w:rsid w:val="001243FA"/>
    <w:rsid w:val="00125716"/>
    <w:rsid w:val="00125CE8"/>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9BA"/>
    <w:rsid w:val="00150097"/>
    <w:rsid w:val="00152DB4"/>
    <w:rsid w:val="00153063"/>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20CF"/>
    <w:rsid w:val="00173652"/>
    <w:rsid w:val="00173DFD"/>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A0B1E"/>
    <w:rsid w:val="001A28FE"/>
    <w:rsid w:val="001A2F1C"/>
    <w:rsid w:val="001A2FF5"/>
    <w:rsid w:val="001A7B82"/>
    <w:rsid w:val="001B1CB4"/>
    <w:rsid w:val="001B4281"/>
    <w:rsid w:val="001B5424"/>
    <w:rsid w:val="001B5E24"/>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0E"/>
    <w:rsid w:val="001F4EC9"/>
    <w:rsid w:val="001F6982"/>
    <w:rsid w:val="001F703D"/>
    <w:rsid w:val="00200E87"/>
    <w:rsid w:val="00201DAA"/>
    <w:rsid w:val="00202C9A"/>
    <w:rsid w:val="00202D37"/>
    <w:rsid w:val="00204F59"/>
    <w:rsid w:val="00205B9A"/>
    <w:rsid w:val="00205D8B"/>
    <w:rsid w:val="00205EAF"/>
    <w:rsid w:val="002076C2"/>
    <w:rsid w:val="00210590"/>
    <w:rsid w:val="002106ED"/>
    <w:rsid w:val="00215987"/>
    <w:rsid w:val="002164D8"/>
    <w:rsid w:val="00217F2E"/>
    <w:rsid w:val="002214BF"/>
    <w:rsid w:val="00221A15"/>
    <w:rsid w:val="00221AE6"/>
    <w:rsid w:val="00223789"/>
    <w:rsid w:val="00223F2E"/>
    <w:rsid w:val="002259D0"/>
    <w:rsid w:val="00230019"/>
    <w:rsid w:val="0023012B"/>
    <w:rsid w:val="002309F0"/>
    <w:rsid w:val="0023102D"/>
    <w:rsid w:val="00235A20"/>
    <w:rsid w:val="00235FDB"/>
    <w:rsid w:val="00236AA8"/>
    <w:rsid w:val="00241112"/>
    <w:rsid w:val="00242CE2"/>
    <w:rsid w:val="00243DC2"/>
    <w:rsid w:val="0024455E"/>
    <w:rsid w:val="00246837"/>
    <w:rsid w:val="00247F87"/>
    <w:rsid w:val="002538ED"/>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1CF7"/>
    <w:rsid w:val="00292686"/>
    <w:rsid w:val="00292AB5"/>
    <w:rsid w:val="0029315B"/>
    <w:rsid w:val="002946A4"/>
    <w:rsid w:val="002952E1"/>
    <w:rsid w:val="00296E15"/>
    <w:rsid w:val="00297B83"/>
    <w:rsid w:val="002A0AD7"/>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4988"/>
    <w:rsid w:val="002C64F0"/>
    <w:rsid w:val="002C6E28"/>
    <w:rsid w:val="002C7BC1"/>
    <w:rsid w:val="002D182B"/>
    <w:rsid w:val="002D1B45"/>
    <w:rsid w:val="002D3847"/>
    <w:rsid w:val="002D3AFB"/>
    <w:rsid w:val="002D3D98"/>
    <w:rsid w:val="002D4E8F"/>
    <w:rsid w:val="002D76D2"/>
    <w:rsid w:val="002E1F10"/>
    <w:rsid w:val="002E20C2"/>
    <w:rsid w:val="002E4747"/>
    <w:rsid w:val="002E78BC"/>
    <w:rsid w:val="002F0B0B"/>
    <w:rsid w:val="002F13D0"/>
    <w:rsid w:val="002F4E48"/>
    <w:rsid w:val="003027C8"/>
    <w:rsid w:val="00302A97"/>
    <w:rsid w:val="00303C1F"/>
    <w:rsid w:val="00304298"/>
    <w:rsid w:val="00305D34"/>
    <w:rsid w:val="00307020"/>
    <w:rsid w:val="00311789"/>
    <w:rsid w:val="00312D33"/>
    <w:rsid w:val="0031308F"/>
    <w:rsid w:val="00313C56"/>
    <w:rsid w:val="00313CFE"/>
    <w:rsid w:val="00314490"/>
    <w:rsid w:val="00315A08"/>
    <w:rsid w:val="00317608"/>
    <w:rsid w:val="00317EB4"/>
    <w:rsid w:val="00317F48"/>
    <w:rsid w:val="003214DD"/>
    <w:rsid w:val="00322050"/>
    <w:rsid w:val="00326615"/>
    <w:rsid w:val="003276BC"/>
    <w:rsid w:val="00327E72"/>
    <w:rsid w:val="00330F0B"/>
    <w:rsid w:val="00335660"/>
    <w:rsid w:val="00336533"/>
    <w:rsid w:val="003367E0"/>
    <w:rsid w:val="003374E0"/>
    <w:rsid w:val="00341882"/>
    <w:rsid w:val="0034247C"/>
    <w:rsid w:val="003427C0"/>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61736"/>
    <w:rsid w:val="00363A69"/>
    <w:rsid w:val="00364844"/>
    <w:rsid w:val="003656B5"/>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63F"/>
    <w:rsid w:val="003D13A1"/>
    <w:rsid w:val="003D266A"/>
    <w:rsid w:val="003D2687"/>
    <w:rsid w:val="003D46BE"/>
    <w:rsid w:val="003D46D1"/>
    <w:rsid w:val="003D4AF3"/>
    <w:rsid w:val="003D4B3A"/>
    <w:rsid w:val="003D4BC8"/>
    <w:rsid w:val="003D51BD"/>
    <w:rsid w:val="003D7971"/>
    <w:rsid w:val="003D7BD4"/>
    <w:rsid w:val="003E2F37"/>
    <w:rsid w:val="003E30AE"/>
    <w:rsid w:val="003E4EF1"/>
    <w:rsid w:val="003E577B"/>
    <w:rsid w:val="003F0199"/>
    <w:rsid w:val="003F10BD"/>
    <w:rsid w:val="003F17AD"/>
    <w:rsid w:val="003F1D19"/>
    <w:rsid w:val="003F1D8E"/>
    <w:rsid w:val="003F47CB"/>
    <w:rsid w:val="003F4D51"/>
    <w:rsid w:val="003F5555"/>
    <w:rsid w:val="003F5F57"/>
    <w:rsid w:val="003F698B"/>
    <w:rsid w:val="003F7D6F"/>
    <w:rsid w:val="004006F8"/>
    <w:rsid w:val="004009C0"/>
    <w:rsid w:val="00402D16"/>
    <w:rsid w:val="004036E8"/>
    <w:rsid w:val="00405104"/>
    <w:rsid w:val="004063B2"/>
    <w:rsid w:val="004064E9"/>
    <w:rsid w:val="004120B8"/>
    <w:rsid w:val="004141EB"/>
    <w:rsid w:val="00414ACF"/>
    <w:rsid w:val="0041604B"/>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70C2"/>
    <w:rsid w:val="004572F5"/>
    <w:rsid w:val="004607C3"/>
    <w:rsid w:val="00463383"/>
    <w:rsid w:val="00463C56"/>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C37"/>
    <w:rsid w:val="00480C51"/>
    <w:rsid w:val="00480CF0"/>
    <w:rsid w:val="0048132D"/>
    <w:rsid w:val="00482252"/>
    <w:rsid w:val="00483DAC"/>
    <w:rsid w:val="00486335"/>
    <w:rsid w:val="00490857"/>
    <w:rsid w:val="00491024"/>
    <w:rsid w:val="004912B8"/>
    <w:rsid w:val="00491813"/>
    <w:rsid w:val="0049335A"/>
    <w:rsid w:val="00494DC2"/>
    <w:rsid w:val="004963EA"/>
    <w:rsid w:val="00496643"/>
    <w:rsid w:val="004973F5"/>
    <w:rsid w:val="00497F15"/>
    <w:rsid w:val="004A35DC"/>
    <w:rsid w:val="004A440A"/>
    <w:rsid w:val="004A4436"/>
    <w:rsid w:val="004A5716"/>
    <w:rsid w:val="004A6738"/>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56D8"/>
    <w:rsid w:val="004E01EA"/>
    <w:rsid w:val="004E2D81"/>
    <w:rsid w:val="004E2EA2"/>
    <w:rsid w:val="004E2FB9"/>
    <w:rsid w:val="004E5A17"/>
    <w:rsid w:val="004F16E7"/>
    <w:rsid w:val="004F2271"/>
    <w:rsid w:val="004F354A"/>
    <w:rsid w:val="004F4BA5"/>
    <w:rsid w:val="004F6594"/>
    <w:rsid w:val="004F6810"/>
    <w:rsid w:val="004F6D51"/>
    <w:rsid w:val="004F778F"/>
    <w:rsid w:val="0050043D"/>
    <w:rsid w:val="0050174D"/>
    <w:rsid w:val="00501B78"/>
    <w:rsid w:val="00502AD7"/>
    <w:rsid w:val="00503D6B"/>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6BE6"/>
    <w:rsid w:val="005701A9"/>
    <w:rsid w:val="00572500"/>
    <w:rsid w:val="00572AFD"/>
    <w:rsid w:val="00573041"/>
    <w:rsid w:val="0057312F"/>
    <w:rsid w:val="00573F31"/>
    <w:rsid w:val="0058085F"/>
    <w:rsid w:val="0058357F"/>
    <w:rsid w:val="00583F03"/>
    <w:rsid w:val="00584C38"/>
    <w:rsid w:val="00585D2C"/>
    <w:rsid w:val="0058733E"/>
    <w:rsid w:val="00587DFB"/>
    <w:rsid w:val="00590229"/>
    <w:rsid w:val="00590615"/>
    <w:rsid w:val="00590F80"/>
    <w:rsid w:val="0059141C"/>
    <w:rsid w:val="00592106"/>
    <w:rsid w:val="0059237F"/>
    <w:rsid w:val="00592912"/>
    <w:rsid w:val="0059309B"/>
    <w:rsid w:val="00593806"/>
    <w:rsid w:val="00593B74"/>
    <w:rsid w:val="005945C5"/>
    <w:rsid w:val="00595A83"/>
    <w:rsid w:val="00596FDB"/>
    <w:rsid w:val="0059722A"/>
    <w:rsid w:val="005975E4"/>
    <w:rsid w:val="005975E8"/>
    <w:rsid w:val="005A1934"/>
    <w:rsid w:val="005A1DDB"/>
    <w:rsid w:val="005A2711"/>
    <w:rsid w:val="005A36F1"/>
    <w:rsid w:val="005A5CE4"/>
    <w:rsid w:val="005A701A"/>
    <w:rsid w:val="005B1155"/>
    <w:rsid w:val="005B5D3D"/>
    <w:rsid w:val="005B635F"/>
    <w:rsid w:val="005B67AD"/>
    <w:rsid w:val="005B67F5"/>
    <w:rsid w:val="005C01EF"/>
    <w:rsid w:val="005C1686"/>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E0265"/>
    <w:rsid w:val="005E0D0C"/>
    <w:rsid w:val="005E10EE"/>
    <w:rsid w:val="005E117C"/>
    <w:rsid w:val="005E12CA"/>
    <w:rsid w:val="005E1EF3"/>
    <w:rsid w:val="005E22C3"/>
    <w:rsid w:val="005E29A5"/>
    <w:rsid w:val="005E44FD"/>
    <w:rsid w:val="005F0197"/>
    <w:rsid w:val="005F14D8"/>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7B5"/>
    <w:rsid w:val="006414B7"/>
    <w:rsid w:val="00645856"/>
    <w:rsid w:val="00645F4C"/>
    <w:rsid w:val="0064702E"/>
    <w:rsid w:val="006471B0"/>
    <w:rsid w:val="006509A7"/>
    <w:rsid w:val="006525B0"/>
    <w:rsid w:val="00654E6E"/>
    <w:rsid w:val="0065586D"/>
    <w:rsid w:val="00655B65"/>
    <w:rsid w:val="0066201D"/>
    <w:rsid w:val="00662C60"/>
    <w:rsid w:val="00664204"/>
    <w:rsid w:val="00666E4E"/>
    <w:rsid w:val="00667C5E"/>
    <w:rsid w:val="006713F3"/>
    <w:rsid w:val="00672EDB"/>
    <w:rsid w:val="00673D75"/>
    <w:rsid w:val="00674BBB"/>
    <w:rsid w:val="00675676"/>
    <w:rsid w:val="0067627C"/>
    <w:rsid w:val="0067740E"/>
    <w:rsid w:val="00680A5A"/>
    <w:rsid w:val="00681EA2"/>
    <w:rsid w:val="006832D4"/>
    <w:rsid w:val="006834F7"/>
    <w:rsid w:val="006843EF"/>
    <w:rsid w:val="00691650"/>
    <w:rsid w:val="00691983"/>
    <w:rsid w:val="00693ADB"/>
    <w:rsid w:val="00693FAE"/>
    <w:rsid w:val="00694C4A"/>
    <w:rsid w:val="00695414"/>
    <w:rsid w:val="00695FE9"/>
    <w:rsid w:val="0069640D"/>
    <w:rsid w:val="00697BBB"/>
    <w:rsid w:val="006A1F50"/>
    <w:rsid w:val="006A242F"/>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44A8"/>
    <w:rsid w:val="006B48E8"/>
    <w:rsid w:val="006B5DFA"/>
    <w:rsid w:val="006B7F53"/>
    <w:rsid w:val="006C0CA7"/>
    <w:rsid w:val="006C1381"/>
    <w:rsid w:val="006C1D67"/>
    <w:rsid w:val="006C2731"/>
    <w:rsid w:val="006C2FAE"/>
    <w:rsid w:val="006C346B"/>
    <w:rsid w:val="006C3C52"/>
    <w:rsid w:val="006C65D7"/>
    <w:rsid w:val="006C66AD"/>
    <w:rsid w:val="006C6861"/>
    <w:rsid w:val="006D0FDF"/>
    <w:rsid w:val="006D1CDD"/>
    <w:rsid w:val="006D4C32"/>
    <w:rsid w:val="006D51F8"/>
    <w:rsid w:val="006D6280"/>
    <w:rsid w:val="006E143C"/>
    <w:rsid w:val="006E1FBE"/>
    <w:rsid w:val="006E26DD"/>
    <w:rsid w:val="006E31ED"/>
    <w:rsid w:val="006E4BA2"/>
    <w:rsid w:val="006E6392"/>
    <w:rsid w:val="006E7A57"/>
    <w:rsid w:val="006F36CB"/>
    <w:rsid w:val="006F3968"/>
    <w:rsid w:val="006F614A"/>
    <w:rsid w:val="006F7B83"/>
    <w:rsid w:val="00701078"/>
    <w:rsid w:val="00702C58"/>
    <w:rsid w:val="00703BAC"/>
    <w:rsid w:val="007057F3"/>
    <w:rsid w:val="007067CD"/>
    <w:rsid w:val="00710EC2"/>
    <w:rsid w:val="00710F30"/>
    <w:rsid w:val="0071236A"/>
    <w:rsid w:val="00712516"/>
    <w:rsid w:val="00714F11"/>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F2B"/>
    <w:rsid w:val="0075633B"/>
    <w:rsid w:val="0075740A"/>
    <w:rsid w:val="00757E72"/>
    <w:rsid w:val="00760782"/>
    <w:rsid w:val="007626E5"/>
    <w:rsid w:val="00762743"/>
    <w:rsid w:val="007667C1"/>
    <w:rsid w:val="00766B89"/>
    <w:rsid w:val="0076746E"/>
    <w:rsid w:val="007675FE"/>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4443"/>
    <w:rsid w:val="007956A3"/>
    <w:rsid w:val="007971E2"/>
    <w:rsid w:val="007A19F3"/>
    <w:rsid w:val="007A1CC4"/>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A33"/>
    <w:rsid w:val="007E0F32"/>
    <w:rsid w:val="007E36DB"/>
    <w:rsid w:val="007E40DA"/>
    <w:rsid w:val="007E52E1"/>
    <w:rsid w:val="007E5AAE"/>
    <w:rsid w:val="007E6677"/>
    <w:rsid w:val="007E6A07"/>
    <w:rsid w:val="007F1623"/>
    <w:rsid w:val="007F16B7"/>
    <w:rsid w:val="007F1DB8"/>
    <w:rsid w:val="007F206A"/>
    <w:rsid w:val="007F2DC3"/>
    <w:rsid w:val="007F3315"/>
    <w:rsid w:val="007F33F5"/>
    <w:rsid w:val="007F4BB0"/>
    <w:rsid w:val="008003E3"/>
    <w:rsid w:val="008026F7"/>
    <w:rsid w:val="00802BAD"/>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31642"/>
    <w:rsid w:val="00833393"/>
    <w:rsid w:val="008342E9"/>
    <w:rsid w:val="008351C1"/>
    <w:rsid w:val="00836E0A"/>
    <w:rsid w:val="00837A66"/>
    <w:rsid w:val="00841883"/>
    <w:rsid w:val="00844775"/>
    <w:rsid w:val="008454A6"/>
    <w:rsid w:val="00845F42"/>
    <w:rsid w:val="008504A1"/>
    <w:rsid w:val="00851E57"/>
    <w:rsid w:val="0085257C"/>
    <w:rsid w:val="00852894"/>
    <w:rsid w:val="00852C56"/>
    <w:rsid w:val="0085402E"/>
    <w:rsid w:val="0085438A"/>
    <w:rsid w:val="00854FB3"/>
    <w:rsid w:val="00855942"/>
    <w:rsid w:val="00855A87"/>
    <w:rsid w:val="00857B0E"/>
    <w:rsid w:val="00864E4A"/>
    <w:rsid w:val="00866459"/>
    <w:rsid w:val="00867B4C"/>
    <w:rsid w:val="00867C8A"/>
    <w:rsid w:val="008715DA"/>
    <w:rsid w:val="00871CC7"/>
    <w:rsid w:val="008732C5"/>
    <w:rsid w:val="0087537B"/>
    <w:rsid w:val="00881C58"/>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5C74"/>
    <w:rsid w:val="008A66EA"/>
    <w:rsid w:val="008A74E8"/>
    <w:rsid w:val="008B08BB"/>
    <w:rsid w:val="008B3735"/>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7FE3"/>
    <w:rsid w:val="008E08A3"/>
    <w:rsid w:val="008E20AD"/>
    <w:rsid w:val="008E2E28"/>
    <w:rsid w:val="008E3116"/>
    <w:rsid w:val="008E7348"/>
    <w:rsid w:val="008F0808"/>
    <w:rsid w:val="008F2727"/>
    <w:rsid w:val="008F5767"/>
    <w:rsid w:val="008F57BA"/>
    <w:rsid w:val="008F5E05"/>
    <w:rsid w:val="00900B4D"/>
    <w:rsid w:val="00901EFB"/>
    <w:rsid w:val="009025D4"/>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2E74"/>
    <w:rsid w:val="009434B9"/>
    <w:rsid w:val="00943A1D"/>
    <w:rsid w:val="00945913"/>
    <w:rsid w:val="009461C2"/>
    <w:rsid w:val="0094708D"/>
    <w:rsid w:val="009474F5"/>
    <w:rsid w:val="009506E5"/>
    <w:rsid w:val="00952DF2"/>
    <w:rsid w:val="009532AD"/>
    <w:rsid w:val="0095565F"/>
    <w:rsid w:val="009613D3"/>
    <w:rsid w:val="009656D2"/>
    <w:rsid w:val="009657AF"/>
    <w:rsid w:val="00971C1A"/>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3FE7"/>
    <w:rsid w:val="0099522A"/>
    <w:rsid w:val="0099523E"/>
    <w:rsid w:val="009959D8"/>
    <w:rsid w:val="009964F3"/>
    <w:rsid w:val="0099739A"/>
    <w:rsid w:val="009A0866"/>
    <w:rsid w:val="009A1744"/>
    <w:rsid w:val="009A1DFF"/>
    <w:rsid w:val="009A213D"/>
    <w:rsid w:val="009A2478"/>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A77"/>
    <w:rsid w:val="009C3870"/>
    <w:rsid w:val="009C3D95"/>
    <w:rsid w:val="009C3FA8"/>
    <w:rsid w:val="009C54CF"/>
    <w:rsid w:val="009C59A8"/>
    <w:rsid w:val="009C63A4"/>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33E5"/>
    <w:rsid w:val="009F4E11"/>
    <w:rsid w:val="009F5C15"/>
    <w:rsid w:val="009F6EFF"/>
    <w:rsid w:val="00A002C9"/>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8DA"/>
    <w:rsid w:val="00A20927"/>
    <w:rsid w:val="00A20BFD"/>
    <w:rsid w:val="00A21221"/>
    <w:rsid w:val="00A2129F"/>
    <w:rsid w:val="00A2163F"/>
    <w:rsid w:val="00A21D4A"/>
    <w:rsid w:val="00A2217B"/>
    <w:rsid w:val="00A24C5D"/>
    <w:rsid w:val="00A251BF"/>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60A64"/>
    <w:rsid w:val="00A62CE6"/>
    <w:rsid w:val="00A62F0A"/>
    <w:rsid w:val="00A635CC"/>
    <w:rsid w:val="00A6542B"/>
    <w:rsid w:val="00A65B0C"/>
    <w:rsid w:val="00A66934"/>
    <w:rsid w:val="00A66BB2"/>
    <w:rsid w:val="00A677FA"/>
    <w:rsid w:val="00A710B0"/>
    <w:rsid w:val="00A7184D"/>
    <w:rsid w:val="00A76F86"/>
    <w:rsid w:val="00A778E5"/>
    <w:rsid w:val="00A80E3B"/>
    <w:rsid w:val="00A842F8"/>
    <w:rsid w:val="00A86F97"/>
    <w:rsid w:val="00A906EE"/>
    <w:rsid w:val="00A90CAC"/>
    <w:rsid w:val="00A918CD"/>
    <w:rsid w:val="00A91A49"/>
    <w:rsid w:val="00A9739D"/>
    <w:rsid w:val="00AA253F"/>
    <w:rsid w:val="00AA39BD"/>
    <w:rsid w:val="00AA3E26"/>
    <w:rsid w:val="00AA46A3"/>
    <w:rsid w:val="00AA4F98"/>
    <w:rsid w:val="00AA572D"/>
    <w:rsid w:val="00AA5E5F"/>
    <w:rsid w:val="00AA6932"/>
    <w:rsid w:val="00AA735F"/>
    <w:rsid w:val="00AB065D"/>
    <w:rsid w:val="00AB0EAB"/>
    <w:rsid w:val="00AB1B76"/>
    <w:rsid w:val="00AB1C9F"/>
    <w:rsid w:val="00AB42D9"/>
    <w:rsid w:val="00AB495C"/>
    <w:rsid w:val="00AB4B47"/>
    <w:rsid w:val="00AB62B1"/>
    <w:rsid w:val="00AB7529"/>
    <w:rsid w:val="00AB76CF"/>
    <w:rsid w:val="00AB7BA4"/>
    <w:rsid w:val="00AC10A4"/>
    <w:rsid w:val="00AC1453"/>
    <w:rsid w:val="00AC1D4F"/>
    <w:rsid w:val="00AC296E"/>
    <w:rsid w:val="00AC4702"/>
    <w:rsid w:val="00AC63D1"/>
    <w:rsid w:val="00AC677C"/>
    <w:rsid w:val="00AC68C9"/>
    <w:rsid w:val="00AD111F"/>
    <w:rsid w:val="00AD1FC7"/>
    <w:rsid w:val="00AD2049"/>
    <w:rsid w:val="00AD2A54"/>
    <w:rsid w:val="00AD44A7"/>
    <w:rsid w:val="00AD457D"/>
    <w:rsid w:val="00AD562B"/>
    <w:rsid w:val="00AD7618"/>
    <w:rsid w:val="00AE1B95"/>
    <w:rsid w:val="00AE23C8"/>
    <w:rsid w:val="00AE245E"/>
    <w:rsid w:val="00AE4161"/>
    <w:rsid w:val="00AE6ADA"/>
    <w:rsid w:val="00AE7EA7"/>
    <w:rsid w:val="00AF050C"/>
    <w:rsid w:val="00AF53D1"/>
    <w:rsid w:val="00AF7D55"/>
    <w:rsid w:val="00B0107B"/>
    <w:rsid w:val="00B018E0"/>
    <w:rsid w:val="00B02135"/>
    <w:rsid w:val="00B04F85"/>
    <w:rsid w:val="00B05314"/>
    <w:rsid w:val="00B05597"/>
    <w:rsid w:val="00B068A9"/>
    <w:rsid w:val="00B07019"/>
    <w:rsid w:val="00B07169"/>
    <w:rsid w:val="00B079C8"/>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DA7"/>
    <w:rsid w:val="00B2662F"/>
    <w:rsid w:val="00B30931"/>
    <w:rsid w:val="00B31096"/>
    <w:rsid w:val="00B31B90"/>
    <w:rsid w:val="00B31F66"/>
    <w:rsid w:val="00B32A2A"/>
    <w:rsid w:val="00B332C0"/>
    <w:rsid w:val="00B3393D"/>
    <w:rsid w:val="00B3460C"/>
    <w:rsid w:val="00B34D9F"/>
    <w:rsid w:val="00B363F9"/>
    <w:rsid w:val="00B367AA"/>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60171"/>
    <w:rsid w:val="00B61385"/>
    <w:rsid w:val="00B6298D"/>
    <w:rsid w:val="00B63F66"/>
    <w:rsid w:val="00B652AB"/>
    <w:rsid w:val="00B67093"/>
    <w:rsid w:val="00B70D6A"/>
    <w:rsid w:val="00B71DE1"/>
    <w:rsid w:val="00B72EEA"/>
    <w:rsid w:val="00B733D1"/>
    <w:rsid w:val="00B73DD8"/>
    <w:rsid w:val="00B74A2F"/>
    <w:rsid w:val="00B7627B"/>
    <w:rsid w:val="00B82644"/>
    <w:rsid w:val="00B83373"/>
    <w:rsid w:val="00B8361E"/>
    <w:rsid w:val="00B83FC8"/>
    <w:rsid w:val="00B85374"/>
    <w:rsid w:val="00B8577D"/>
    <w:rsid w:val="00B8722F"/>
    <w:rsid w:val="00B87533"/>
    <w:rsid w:val="00B8772E"/>
    <w:rsid w:val="00B87E7F"/>
    <w:rsid w:val="00B90437"/>
    <w:rsid w:val="00B90AF0"/>
    <w:rsid w:val="00B92819"/>
    <w:rsid w:val="00B94B33"/>
    <w:rsid w:val="00B9514F"/>
    <w:rsid w:val="00B95FEE"/>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9F6"/>
    <w:rsid w:val="00C11634"/>
    <w:rsid w:val="00C131A2"/>
    <w:rsid w:val="00C13777"/>
    <w:rsid w:val="00C13AAA"/>
    <w:rsid w:val="00C13EE8"/>
    <w:rsid w:val="00C14424"/>
    <w:rsid w:val="00C14E11"/>
    <w:rsid w:val="00C15E97"/>
    <w:rsid w:val="00C2031B"/>
    <w:rsid w:val="00C2068C"/>
    <w:rsid w:val="00C2294C"/>
    <w:rsid w:val="00C2325B"/>
    <w:rsid w:val="00C2521A"/>
    <w:rsid w:val="00C2677C"/>
    <w:rsid w:val="00C273A7"/>
    <w:rsid w:val="00C27A4F"/>
    <w:rsid w:val="00C30115"/>
    <w:rsid w:val="00C30EA7"/>
    <w:rsid w:val="00C313A4"/>
    <w:rsid w:val="00C31F06"/>
    <w:rsid w:val="00C31F55"/>
    <w:rsid w:val="00C31FFF"/>
    <w:rsid w:val="00C32C31"/>
    <w:rsid w:val="00C32D3E"/>
    <w:rsid w:val="00C33509"/>
    <w:rsid w:val="00C3372D"/>
    <w:rsid w:val="00C340E5"/>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966"/>
    <w:rsid w:val="00C56B56"/>
    <w:rsid w:val="00C57F07"/>
    <w:rsid w:val="00C61275"/>
    <w:rsid w:val="00C62A2F"/>
    <w:rsid w:val="00C6413D"/>
    <w:rsid w:val="00C64278"/>
    <w:rsid w:val="00C65BF5"/>
    <w:rsid w:val="00C676FF"/>
    <w:rsid w:val="00C707F4"/>
    <w:rsid w:val="00C711CA"/>
    <w:rsid w:val="00C7183E"/>
    <w:rsid w:val="00C751B0"/>
    <w:rsid w:val="00C753E0"/>
    <w:rsid w:val="00C77940"/>
    <w:rsid w:val="00C811F5"/>
    <w:rsid w:val="00C8271B"/>
    <w:rsid w:val="00C84390"/>
    <w:rsid w:val="00C84A21"/>
    <w:rsid w:val="00C87F13"/>
    <w:rsid w:val="00C87FEB"/>
    <w:rsid w:val="00C91077"/>
    <w:rsid w:val="00C915BC"/>
    <w:rsid w:val="00C92937"/>
    <w:rsid w:val="00C93576"/>
    <w:rsid w:val="00C94D69"/>
    <w:rsid w:val="00CA0854"/>
    <w:rsid w:val="00CA0B3A"/>
    <w:rsid w:val="00CA38EF"/>
    <w:rsid w:val="00CA5C25"/>
    <w:rsid w:val="00CB077B"/>
    <w:rsid w:val="00CB088F"/>
    <w:rsid w:val="00CB0918"/>
    <w:rsid w:val="00CB0F16"/>
    <w:rsid w:val="00CB0F45"/>
    <w:rsid w:val="00CB175E"/>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510B"/>
    <w:rsid w:val="00CE67D7"/>
    <w:rsid w:val="00CE7774"/>
    <w:rsid w:val="00CE7DBA"/>
    <w:rsid w:val="00CF1DFC"/>
    <w:rsid w:val="00CF3DF8"/>
    <w:rsid w:val="00CF443F"/>
    <w:rsid w:val="00CF6EF5"/>
    <w:rsid w:val="00D0229D"/>
    <w:rsid w:val="00D03376"/>
    <w:rsid w:val="00D03619"/>
    <w:rsid w:val="00D0637B"/>
    <w:rsid w:val="00D0768D"/>
    <w:rsid w:val="00D106F1"/>
    <w:rsid w:val="00D16619"/>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DCE"/>
    <w:rsid w:val="00D64E61"/>
    <w:rsid w:val="00D64E99"/>
    <w:rsid w:val="00D66219"/>
    <w:rsid w:val="00D662CC"/>
    <w:rsid w:val="00D676BE"/>
    <w:rsid w:val="00D67D2D"/>
    <w:rsid w:val="00D67F0E"/>
    <w:rsid w:val="00D72C9B"/>
    <w:rsid w:val="00D72ED8"/>
    <w:rsid w:val="00D73980"/>
    <w:rsid w:val="00D74800"/>
    <w:rsid w:val="00D75D5B"/>
    <w:rsid w:val="00D7651E"/>
    <w:rsid w:val="00D76EF6"/>
    <w:rsid w:val="00D803D1"/>
    <w:rsid w:val="00D8077A"/>
    <w:rsid w:val="00D81345"/>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303"/>
    <w:rsid w:val="00DA0B74"/>
    <w:rsid w:val="00DA0C09"/>
    <w:rsid w:val="00DA1881"/>
    <w:rsid w:val="00DA34D6"/>
    <w:rsid w:val="00DA3647"/>
    <w:rsid w:val="00DA38F6"/>
    <w:rsid w:val="00DA41AA"/>
    <w:rsid w:val="00DA4395"/>
    <w:rsid w:val="00DA506C"/>
    <w:rsid w:val="00DA5D4A"/>
    <w:rsid w:val="00DA7294"/>
    <w:rsid w:val="00DB6CCD"/>
    <w:rsid w:val="00DB750E"/>
    <w:rsid w:val="00DC20BE"/>
    <w:rsid w:val="00DC37A0"/>
    <w:rsid w:val="00DC384E"/>
    <w:rsid w:val="00DC393B"/>
    <w:rsid w:val="00DC3A8B"/>
    <w:rsid w:val="00DC4812"/>
    <w:rsid w:val="00DC692C"/>
    <w:rsid w:val="00DC6F2B"/>
    <w:rsid w:val="00DD1669"/>
    <w:rsid w:val="00DD17AC"/>
    <w:rsid w:val="00DD2B3A"/>
    <w:rsid w:val="00DD454B"/>
    <w:rsid w:val="00DD47E9"/>
    <w:rsid w:val="00DD4A2A"/>
    <w:rsid w:val="00DD5E20"/>
    <w:rsid w:val="00DD628C"/>
    <w:rsid w:val="00DD643C"/>
    <w:rsid w:val="00DD6A84"/>
    <w:rsid w:val="00DD7033"/>
    <w:rsid w:val="00DE1383"/>
    <w:rsid w:val="00DE1561"/>
    <w:rsid w:val="00DE2A83"/>
    <w:rsid w:val="00DE3F47"/>
    <w:rsid w:val="00DE52DB"/>
    <w:rsid w:val="00DE7751"/>
    <w:rsid w:val="00DF0656"/>
    <w:rsid w:val="00DF0F21"/>
    <w:rsid w:val="00DF2742"/>
    <w:rsid w:val="00DF3AB5"/>
    <w:rsid w:val="00DF4466"/>
    <w:rsid w:val="00DF5053"/>
    <w:rsid w:val="00DF55C4"/>
    <w:rsid w:val="00DF5FBC"/>
    <w:rsid w:val="00DF6A3C"/>
    <w:rsid w:val="00DF758E"/>
    <w:rsid w:val="00DF7AC0"/>
    <w:rsid w:val="00E029E7"/>
    <w:rsid w:val="00E02D92"/>
    <w:rsid w:val="00E03053"/>
    <w:rsid w:val="00E03240"/>
    <w:rsid w:val="00E05762"/>
    <w:rsid w:val="00E059AC"/>
    <w:rsid w:val="00E05DF5"/>
    <w:rsid w:val="00E069E3"/>
    <w:rsid w:val="00E11798"/>
    <w:rsid w:val="00E11E19"/>
    <w:rsid w:val="00E12FA8"/>
    <w:rsid w:val="00E1379E"/>
    <w:rsid w:val="00E1584E"/>
    <w:rsid w:val="00E15AE7"/>
    <w:rsid w:val="00E16EE4"/>
    <w:rsid w:val="00E17314"/>
    <w:rsid w:val="00E17839"/>
    <w:rsid w:val="00E2001A"/>
    <w:rsid w:val="00E20051"/>
    <w:rsid w:val="00E209EB"/>
    <w:rsid w:val="00E22B0D"/>
    <w:rsid w:val="00E23776"/>
    <w:rsid w:val="00E24DA7"/>
    <w:rsid w:val="00E30A24"/>
    <w:rsid w:val="00E31617"/>
    <w:rsid w:val="00E31DF3"/>
    <w:rsid w:val="00E31EF6"/>
    <w:rsid w:val="00E34399"/>
    <w:rsid w:val="00E3770B"/>
    <w:rsid w:val="00E403FC"/>
    <w:rsid w:val="00E4133A"/>
    <w:rsid w:val="00E4161B"/>
    <w:rsid w:val="00E41A19"/>
    <w:rsid w:val="00E42445"/>
    <w:rsid w:val="00E4434F"/>
    <w:rsid w:val="00E450DB"/>
    <w:rsid w:val="00E457EC"/>
    <w:rsid w:val="00E47B2A"/>
    <w:rsid w:val="00E50392"/>
    <w:rsid w:val="00E50CE8"/>
    <w:rsid w:val="00E5147F"/>
    <w:rsid w:val="00E51C64"/>
    <w:rsid w:val="00E525E0"/>
    <w:rsid w:val="00E5439C"/>
    <w:rsid w:val="00E54928"/>
    <w:rsid w:val="00E5617F"/>
    <w:rsid w:val="00E62048"/>
    <w:rsid w:val="00E65951"/>
    <w:rsid w:val="00E6785A"/>
    <w:rsid w:val="00E67880"/>
    <w:rsid w:val="00E7111A"/>
    <w:rsid w:val="00E71D9A"/>
    <w:rsid w:val="00E73323"/>
    <w:rsid w:val="00E74330"/>
    <w:rsid w:val="00E7491B"/>
    <w:rsid w:val="00E75AEB"/>
    <w:rsid w:val="00E775E1"/>
    <w:rsid w:val="00E77F50"/>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C07BE"/>
    <w:rsid w:val="00EC308A"/>
    <w:rsid w:val="00EC6B84"/>
    <w:rsid w:val="00EC7509"/>
    <w:rsid w:val="00EC7CAA"/>
    <w:rsid w:val="00EC7DBD"/>
    <w:rsid w:val="00EC7E5B"/>
    <w:rsid w:val="00EC7F2E"/>
    <w:rsid w:val="00ED15F7"/>
    <w:rsid w:val="00ED3371"/>
    <w:rsid w:val="00ED39A8"/>
    <w:rsid w:val="00ED46BB"/>
    <w:rsid w:val="00ED4842"/>
    <w:rsid w:val="00ED5C52"/>
    <w:rsid w:val="00ED5FCC"/>
    <w:rsid w:val="00ED72B8"/>
    <w:rsid w:val="00ED78C0"/>
    <w:rsid w:val="00EE0F5D"/>
    <w:rsid w:val="00EE0F74"/>
    <w:rsid w:val="00EE2D71"/>
    <w:rsid w:val="00EE2FD4"/>
    <w:rsid w:val="00EE3B83"/>
    <w:rsid w:val="00EE5AD4"/>
    <w:rsid w:val="00EE694F"/>
    <w:rsid w:val="00EF0CD7"/>
    <w:rsid w:val="00EF28FD"/>
    <w:rsid w:val="00EF29A0"/>
    <w:rsid w:val="00EF501A"/>
    <w:rsid w:val="00EF5314"/>
    <w:rsid w:val="00EF6EAD"/>
    <w:rsid w:val="00EF7C8D"/>
    <w:rsid w:val="00F006C2"/>
    <w:rsid w:val="00F0112D"/>
    <w:rsid w:val="00F0211C"/>
    <w:rsid w:val="00F0230A"/>
    <w:rsid w:val="00F02375"/>
    <w:rsid w:val="00F02CBF"/>
    <w:rsid w:val="00F03B13"/>
    <w:rsid w:val="00F05BE6"/>
    <w:rsid w:val="00F06485"/>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7747"/>
    <w:rsid w:val="00F60928"/>
    <w:rsid w:val="00F60D04"/>
    <w:rsid w:val="00F63176"/>
    <w:rsid w:val="00F701B7"/>
    <w:rsid w:val="00F71084"/>
    <w:rsid w:val="00F72A1C"/>
    <w:rsid w:val="00F73D2B"/>
    <w:rsid w:val="00F7656A"/>
    <w:rsid w:val="00F8001F"/>
    <w:rsid w:val="00F80EAC"/>
    <w:rsid w:val="00F815AF"/>
    <w:rsid w:val="00F82816"/>
    <w:rsid w:val="00F8399D"/>
    <w:rsid w:val="00F84430"/>
    <w:rsid w:val="00F84FE7"/>
    <w:rsid w:val="00F850AB"/>
    <w:rsid w:val="00F853B3"/>
    <w:rsid w:val="00F86617"/>
    <w:rsid w:val="00F86D83"/>
    <w:rsid w:val="00F910C7"/>
    <w:rsid w:val="00F920E0"/>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CE7"/>
    <w:rsid w:val="00FB061F"/>
    <w:rsid w:val="00FB1380"/>
    <w:rsid w:val="00FB1663"/>
    <w:rsid w:val="00FB1718"/>
    <w:rsid w:val="00FB6575"/>
    <w:rsid w:val="00FC054B"/>
    <w:rsid w:val="00FC61DB"/>
    <w:rsid w:val="00FC6693"/>
    <w:rsid w:val="00FC7F1E"/>
    <w:rsid w:val="00FD13F9"/>
    <w:rsid w:val="00FD29DA"/>
    <w:rsid w:val="00FD3E20"/>
    <w:rsid w:val="00FD42F0"/>
    <w:rsid w:val="00FD5337"/>
    <w:rsid w:val="00FD60B5"/>
    <w:rsid w:val="00FE0166"/>
    <w:rsid w:val="00FE0B35"/>
    <w:rsid w:val="00FE273A"/>
    <w:rsid w:val="00FE2B69"/>
    <w:rsid w:val="00FE5998"/>
    <w:rsid w:val="00FE71E5"/>
    <w:rsid w:val="00FE7D4F"/>
    <w:rsid w:val="00FF08FB"/>
    <w:rsid w:val="00FF303C"/>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1493F12B-14F8-4F32-AB95-0716CA5CA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1907</TotalTime>
  <Pages>4</Pages>
  <Words>1315</Words>
  <Characters>7498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26</cp:revision>
  <cp:lastPrinted>2018-01-12T00:47:00Z</cp:lastPrinted>
  <dcterms:created xsi:type="dcterms:W3CDTF">2019-10-31T21:50:00Z</dcterms:created>
  <dcterms:modified xsi:type="dcterms:W3CDTF">2020-05-15T22:47:00Z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