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highlight w:val="yellow"/>
        </w:rPr>
      </w:pPr>
      <w:r>
        <w:t>3GPP TSG-RAN WG1 Meeting #101</w:t>
      </w:r>
      <w:r>
        <w:tab/>
      </w:r>
      <w:r>
        <w:rPr>
          <w:sz w:val="32"/>
          <w:szCs w:val="32"/>
        </w:rPr>
        <w:t>Tdoc R1-20</w:t>
      </w:r>
      <w:r>
        <w:rPr>
          <w:sz w:val="32"/>
          <w:szCs w:val="32"/>
          <w:highlight w:val="yellow"/>
        </w:rPr>
        <w:t>nnnn</w:t>
      </w:r>
    </w:p>
    <w:p>
      <w:pPr>
        <w:pStyle w:val="63"/>
      </w:pPr>
      <w:r>
        <w:t>eMeeting, May 25</w:t>
      </w:r>
      <w:r>
        <w:rPr>
          <w:vertAlign w:val="superscript"/>
        </w:rPr>
        <w:t>th</w:t>
      </w:r>
      <w:r>
        <w:t xml:space="preserve"> – June 5</w:t>
      </w:r>
      <w:r>
        <w:rPr>
          <w:vertAlign w:val="superscript"/>
        </w:rPr>
        <w:t>th</w:t>
      </w:r>
      <w:r>
        <w:t>, 2020</w:t>
      </w:r>
    </w:p>
    <w:p>
      <w:pPr>
        <w:pStyle w:val="63"/>
      </w:pPr>
    </w:p>
    <w:p>
      <w:pPr>
        <w:pStyle w:val="63"/>
        <w:rPr>
          <w:sz w:val="22"/>
          <w:szCs w:val="22"/>
          <w:lang w:val="en-US"/>
        </w:rPr>
      </w:pPr>
      <w:r>
        <w:rPr>
          <w:sz w:val="22"/>
          <w:szCs w:val="22"/>
          <w:lang w:val="en-US"/>
        </w:rPr>
        <w:t>Agenda Item:</w:t>
      </w:r>
      <w:r>
        <w:rPr>
          <w:sz w:val="22"/>
          <w:szCs w:val="22"/>
          <w:lang w:val="en-US"/>
        </w:rPr>
        <w:tab/>
      </w:r>
      <w:r>
        <w:rPr>
          <w:sz w:val="22"/>
          <w:szCs w:val="22"/>
          <w:lang w:val="en-US"/>
        </w:rPr>
        <w:t>7.2.6.5</w:t>
      </w:r>
    </w:p>
    <w:p>
      <w:pPr>
        <w:pStyle w:val="63"/>
        <w:rPr>
          <w:sz w:val="22"/>
          <w:szCs w:val="22"/>
        </w:rPr>
      </w:pPr>
      <w:r>
        <w:rPr>
          <w:sz w:val="22"/>
          <w:szCs w:val="22"/>
        </w:rPr>
        <w:t>Source:</w:t>
      </w:r>
      <w:r>
        <w:rPr>
          <w:sz w:val="22"/>
          <w:szCs w:val="22"/>
        </w:rPr>
        <w:tab/>
      </w:r>
      <w:r>
        <w:rPr>
          <w:sz w:val="22"/>
          <w:szCs w:val="22"/>
        </w:rPr>
        <w:t>Moderator (Ericsson)</w:t>
      </w:r>
    </w:p>
    <w:p>
      <w:pPr>
        <w:pStyle w:val="63"/>
        <w:rPr>
          <w:sz w:val="22"/>
          <w:szCs w:val="22"/>
        </w:rPr>
      </w:pPr>
      <w:r>
        <w:rPr>
          <w:sz w:val="22"/>
          <w:szCs w:val="22"/>
        </w:rPr>
        <w:t>Title:</w:t>
      </w:r>
      <w:r>
        <w:rPr>
          <w:sz w:val="22"/>
          <w:szCs w:val="22"/>
        </w:rPr>
        <w:tab/>
      </w:r>
      <w:r>
        <w:rPr>
          <w:sz w:val="22"/>
          <w:szCs w:val="22"/>
        </w:rPr>
        <w:t>FL summary 1 of low PAPR RS</w:t>
      </w:r>
    </w:p>
    <w:p>
      <w:pPr>
        <w:pStyle w:val="63"/>
        <w:rPr>
          <w:sz w:val="22"/>
          <w:szCs w:val="22"/>
        </w:rPr>
      </w:pPr>
      <w:r>
        <w:rPr>
          <w:sz w:val="22"/>
          <w:szCs w:val="22"/>
        </w:rPr>
        <w:t>Document for:</w:t>
      </w:r>
      <w:r>
        <w:rPr>
          <w:sz w:val="22"/>
          <w:szCs w:val="22"/>
        </w:rPr>
        <w:tab/>
      </w:r>
      <w:r>
        <w:rPr>
          <w:sz w:val="22"/>
          <w:szCs w:val="22"/>
        </w:rPr>
        <w:t xml:space="preserve">Discussion </w:t>
      </w:r>
    </w:p>
    <w:p>
      <w:pPr>
        <w:pStyle w:val="2"/>
      </w:pPr>
      <w:bookmarkStart w:id="0" w:name="_Ref178064866"/>
      <w:r>
        <w:t>1</w:t>
      </w:r>
      <w:r>
        <w:tab/>
      </w:r>
      <w:bookmarkEnd w:id="0"/>
      <w:r>
        <w:t>Introduction</w:t>
      </w:r>
    </w:p>
    <w:p>
      <w:pPr>
        <w:pStyle w:val="113"/>
        <w:tabs>
          <w:tab w:val="left" w:pos="1276"/>
          <w:tab w:val="clear" w:pos="1622"/>
        </w:tabs>
        <w:ind w:left="0" w:firstLine="0"/>
        <w:rPr>
          <w:lang w:val="en-US"/>
        </w:rPr>
      </w:pPr>
      <w:r>
        <w:t xml:space="preserve">This </w:t>
      </w:r>
      <w:r>
        <w:rPr>
          <w:lang w:val="en-US"/>
        </w:rPr>
        <w:t>document contains the feature lead summary of critical issues related to maintenance of the low PAPR RS topic under Rel-16 eMIMO WI. Note that the number of low PAPR RS sub topics is restricted to two topics in this e-meeting.</w:t>
      </w:r>
    </w:p>
    <w:p>
      <w:pPr>
        <w:pStyle w:val="113"/>
        <w:tabs>
          <w:tab w:val="left" w:pos="1276"/>
          <w:tab w:val="clear" w:pos="1622"/>
        </w:tabs>
        <w:ind w:left="0" w:firstLine="0"/>
        <w:rPr>
          <w:lang w:val="en-US"/>
        </w:rPr>
      </w:pPr>
    </w:p>
    <w:p>
      <w:pPr>
        <w:pStyle w:val="113"/>
        <w:tabs>
          <w:tab w:val="left" w:pos="1276"/>
          <w:tab w:val="clear" w:pos="1622"/>
        </w:tabs>
        <w:ind w:left="0" w:firstLine="0"/>
        <w:rPr>
          <w:lang w:val="en-US"/>
        </w:rPr>
      </w:pPr>
      <w:r>
        <w:rPr>
          <w:lang w:val="en-US"/>
        </w:rPr>
        <w:t xml:space="preserve">Hence, the first phase discussion will be used to select two topics from the below list of six. In addition, if there are no objections, the editorial issues will be sent to the corresponding editors for inclusion in the next version of the specification. </w:t>
      </w:r>
    </w:p>
    <w:p>
      <w:pPr>
        <w:pStyle w:val="113"/>
        <w:tabs>
          <w:tab w:val="left" w:pos="1276"/>
          <w:tab w:val="clear" w:pos="1622"/>
        </w:tabs>
        <w:ind w:left="0" w:firstLine="0"/>
        <w:rPr>
          <w:b/>
          <w:bCs/>
          <w:lang w:val="en-US"/>
        </w:rPr>
      </w:pPr>
    </w:p>
    <w:p>
      <w:pPr>
        <w:pStyle w:val="2"/>
        <w:rPr>
          <w:rStyle w:val="68"/>
        </w:rPr>
      </w:pPr>
      <w:r>
        <w:rPr>
          <w:rStyle w:val="68"/>
        </w:rPr>
        <w:t xml:space="preserve">2 Low PAPR RS maintenance issues </w:t>
      </w:r>
    </w:p>
    <w:p>
      <w:pPr>
        <w:pStyle w:val="113"/>
        <w:tabs>
          <w:tab w:val="left" w:pos="1276"/>
          <w:tab w:val="clear" w:pos="1622"/>
        </w:tabs>
        <w:ind w:left="0" w:firstLine="0"/>
        <w:jc w:val="both"/>
        <w:rPr>
          <w:lang w:val="en-US"/>
        </w:rPr>
      </w:pPr>
    </w:p>
    <w:p>
      <w:pPr>
        <w:pStyle w:val="113"/>
        <w:tabs>
          <w:tab w:val="left" w:pos="1276"/>
          <w:tab w:val="clear" w:pos="1622"/>
        </w:tabs>
        <w:ind w:left="0" w:firstLine="0"/>
        <w:jc w:val="both"/>
        <w:rPr>
          <w:lang w:val="en-US"/>
        </w:rPr>
      </w:pPr>
      <w:r>
        <w:rPr>
          <w:lang w:val="en-US"/>
        </w:rPr>
        <w:t>In the summary below, six identified issues are found plus one editorial. This low PAPR subtopic allows two issues/threads to be selected for the e-meeting discussions next week. Please share your views on the priority of these issues (1-6) by the following, using the first table below.  Please also indicate whether you are OK or not with the editorial issue 7, in which case there are no concerns, I will notify the spec editor(s) for inclusion in the next spec version.</w:t>
      </w:r>
    </w:p>
    <w:p/>
    <w:p>
      <w:pPr>
        <w:pStyle w:val="133"/>
        <w:numPr>
          <w:ilvl w:val="0"/>
          <w:numId w:val="13"/>
        </w:numPr>
        <w:overflowPunct/>
        <w:autoSpaceDE/>
        <w:autoSpaceDN/>
        <w:adjustRightInd/>
        <w:textAlignment w:val="auto"/>
        <w:rPr>
          <w:rFonts w:eastAsia="Times New Roman"/>
        </w:rPr>
      </w:pPr>
      <w:r>
        <w:rPr>
          <w:rFonts w:eastAsia="Times New Roman"/>
        </w:rPr>
        <w:t>H- High priority</w:t>
      </w:r>
    </w:p>
    <w:p>
      <w:pPr>
        <w:pStyle w:val="133"/>
        <w:numPr>
          <w:ilvl w:val="0"/>
          <w:numId w:val="13"/>
        </w:numPr>
        <w:overflowPunct/>
        <w:autoSpaceDE/>
        <w:autoSpaceDN/>
        <w:adjustRightInd/>
        <w:textAlignment w:val="auto"/>
        <w:rPr>
          <w:rFonts w:eastAsia="Times New Roman"/>
        </w:rPr>
      </w:pPr>
      <w:r>
        <w:rPr>
          <w:rFonts w:eastAsia="Times New Roman"/>
        </w:rPr>
        <w:t>M-Medium priority</w:t>
      </w:r>
    </w:p>
    <w:p>
      <w:pPr>
        <w:pStyle w:val="133"/>
        <w:numPr>
          <w:ilvl w:val="0"/>
          <w:numId w:val="13"/>
        </w:numPr>
        <w:overflowPunct/>
        <w:autoSpaceDE/>
        <w:autoSpaceDN/>
        <w:adjustRightInd/>
        <w:textAlignment w:val="auto"/>
        <w:rPr>
          <w:rFonts w:eastAsia="Times New Roman"/>
        </w:rPr>
      </w:pPr>
      <w:r>
        <w:rPr>
          <w:rFonts w:eastAsia="Times New Roman"/>
        </w:rPr>
        <w:t>L-Low priority</w:t>
      </w:r>
    </w:p>
    <w:p>
      <w:pPr>
        <w:pStyle w:val="133"/>
        <w:numPr>
          <w:ilvl w:val="0"/>
          <w:numId w:val="13"/>
        </w:numPr>
        <w:overflowPunct/>
        <w:autoSpaceDE/>
        <w:autoSpaceDN/>
        <w:adjustRightInd/>
        <w:textAlignment w:val="auto"/>
        <w:rPr>
          <w:rFonts w:eastAsia="Times New Roman"/>
        </w:rPr>
      </w:pPr>
      <w:r>
        <w:rPr>
          <w:rFonts w:eastAsia="Times New Roman"/>
        </w:rPr>
        <w:t>N-Not needed/disagree that this is an issue</w:t>
      </w:r>
    </w:p>
    <w:p>
      <w:pPr>
        <w:rPr>
          <w:rFonts w:eastAsiaTheme="minorHAnsi"/>
        </w:rPr>
      </w:pPr>
    </w:p>
    <w:tbl>
      <w:tblPr>
        <w:tblStyle w:val="51"/>
        <w:tblW w:w="6080" w:type="dxa"/>
        <w:tblInd w:w="0" w:type="dxa"/>
        <w:tblLayout w:type="fixed"/>
        <w:tblCellMar>
          <w:top w:w="0" w:type="dxa"/>
          <w:left w:w="0" w:type="dxa"/>
          <w:bottom w:w="0" w:type="dxa"/>
          <w:right w:w="0" w:type="dxa"/>
        </w:tblCellMar>
      </w:tblPr>
      <w:tblGrid>
        <w:gridCol w:w="1408"/>
        <w:gridCol w:w="664"/>
        <w:gridCol w:w="594"/>
        <w:gridCol w:w="594"/>
        <w:gridCol w:w="594"/>
        <w:gridCol w:w="593"/>
        <w:gridCol w:w="446"/>
        <w:gridCol w:w="1187"/>
      </w:tblGrid>
      <w:tr>
        <w:tblPrEx>
          <w:tblLayout w:type="fixed"/>
          <w:tblCellMar>
            <w:top w:w="0" w:type="dxa"/>
            <w:left w:w="0" w:type="dxa"/>
            <w:bottom w:w="0" w:type="dxa"/>
            <w:right w:w="0" w:type="dxa"/>
          </w:tblCellMar>
        </w:tblPrEx>
        <w:trPr>
          <w:trHeight w:val="235" w:hRule="atLeast"/>
        </w:trPr>
        <w:tc>
          <w:tcPr>
            <w:tcW w:w="1408" w:type="dxa"/>
            <w:vMerge w:val="restart"/>
            <w:tcBorders>
              <w:top w:val="single" w:color="auto" w:sz="8" w:space="0"/>
              <w:left w:val="single" w:color="auto" w:sz="8" w:space="0"/>
              <w:bottom w:val="single" w:color="auto" w:sz="8" w:space="0"/>
              <w:right w:val="single" w:color="auto" w:sz="8" w:space="0"/>
            </w:tcBorders>
            <w:shd w:val="clear" w:color="auto" w:fill="FFC000"/>
            <w:tcMar>
              <w:top w:w="0" w:type="dxa"/>
              <w:left w:w="108" w:type="dxa"/>
              <w:bottom w:w="0" w:type="dxa"/>
              <w:right w:w="108" w:type="dxa"/>
            </w:tcMar>
          </w:tcPr>
          <w:p>
            <w:pPr>
              <w:pStyle w:val="15"/>
              <w:spacing w:after="0" w:line="252" w:lineRule="auto"/>
              <w:rPr>
                <w:lang w:val="de-DE"/>
              </w:rPr>
            </w:pPr>
            <w:r>
              <w:rPr>
                <w:b/>
                <w:bCs/>
                <w:sz w:val="18"/>
                <w:szCs w:val="18"/>
                <w:lang w:val="de-DE"/>
              </w:rPr>
              <w:t>Compan</w:t>
            </w:r>
            <w:r>
              <w:rPr>
                <w:b/>
                <w:bCs/>
                <w:color w:val="000000"/>
                <w:sz w:val="18"/>
                <w:szCs w:val="18"/>
                <w:lang w:val="de-DE"/>
              </w:rPr>
              <w:t>y</w:t>
            </w:r>
          </w:p>
        </w:tc>
        <w:tc>
          <w:tcPr>
            <w:tcW w:w="4672" w:type="dxa"/>
            <w:gridSpan w:val="7"/>
            <w:tcBorders>
              <w:top w:val="single" w:color="auto" w:sz="8" w:space="0"/>
              <w:left w:val="nil"/>
              <w:bottom w:val="single" w:color="auto" w:sz="8" w:space="0"/>
              <w:right w:val="single" w:color="auto" w:sz="8" w:space="0"/>
            </w:tcBorders>
            <w:shd w:val="clear" w:color="auto" w:fill="FFC000"/>
            <w:tcMar>
              <w:top w:w="0" w:type="dxa"/>
              <w:left w:w="108" w:type="dxa"/>
              <w:bottom w:w="0" w:type="dxa"/>
              <w:right w:w="108" w:type="dxa"/>
            </w:tcMar>
          </w:tcPr>
          <w:p>
            <w:pPr>
              <w:pStyle w:val="15"/>
              <w:spacing w:after="0" w:line="252" w:lineRule="auto"/>
              <w:jc w:val="center"/>
              <w:rPr>
                <w:lang w:val="de-DE"/>
              </w:rPr>
            </w:pPr>
            <w:r>
              <w:rPr>
                <w:b/>
                <w:bCs/>
                <w:color w:val="000000"/>
                <w:sz w:val="18"/>
                <w:szCs w:val="18"/>
                <w:lang w:val="de-DE"/>
              </w:rPr>
              <w:t>Issue Index</w:t>
            </w:r>
          </w:p>
        </w:tc>
      </w:tr>
      <w:tr>
        <w:tblPrEx>
          <w:tblLayout w:type="fixed"/>
          <w:tblCellMar>
            <w:top w:w="0" w:type="dxa"/>
            <w:left w:w="0" w:type="dxa"/>
            <w:bottom w:w="0" w:type="dxa"/>
            <w:right w:w="0" w:type="dxa"/>
          </w:tblCellMar>
        </w:tblPrEx>
        <w:trPr>
          <w:trHeight w:val="451" w:hRule="atLeast"/>
        </w:trPr>
        <w:tc>
          <w:tcPr>
            <w:tcW w:w="1408" w:type="dxa"/>
            <w:vMerge w:val="continue"/>
            <w:tcBorders>
              <w:top w:val="single" w:color="auto" w:sz="8" w:space="0"/>
              <w:left w:val="single" w:color="auto" w:sz="8" w:space="0"/>
              <w:bottom w:val="single" w:color="auto" w:sz="8" w:space="0"/>
              <w:right w:val="single" w:color="auto" w:sz="8" w:space="0"/>
            </w:tcBorders>
            <w:vAlign w:val="center"/>
          </w:tcPr>
          <w:p>
            <w:pPr>
              <w:rPr>
                <w:rFonts w:ascii="Calibri" w:hAnsi="Calibri" w:cs="Calibri" w:eastAsiaTheme="minorHAnsi"/>
                <w:sz w:val="22"/>
                <w:szCs w:val="22"/>
                <w:lang w:val="de-DE"/>
              </w:rPr>
            </w:pPr>
          </w:p>
        </w:tc>
        <w:tc>
          <w:tcPr>
            <w:tcW w:w="66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b/>
                <w:bCs/>
                <w:lang w:val="de-DE"/>
              </w:rPr>
            </w:pPr>
            <w:r>
              <w:rPr>
                <w:b/>
                <w:bCs/>
                <w:sz w:val="18"/>
                <w:szCs w:val="18"/>
                <w:lang w:val="de-DE"/>
              </w:rPr>
              <w:t>1</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b/>
                <w:bCs/>
                <w:lang w:val="de-DE"/>
              </w:rPr>
            </w:pPr>
            <w:r>
              <w:rPr>
                <w:b/>
                <w:bCs/>
                <w:sz w:val="18"/>
                <w:szCs w:val="18"/>
                <w:lang w:val="de-DE"/>
              </w:rPr>
              <w:t>2</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b/>
                <w:bCs/>
                <w:lang w:val="de-DE"/>
              </w:rPr>
            </w:pPr>
            <w:r>
              <w:rPr>
                <w:b/>
                <w:bCs/>
                <w:sz w:val="18"/>
                <w:szCs w:val="18"/>
                <w:lang w:val="de-DE"/>
              </w:rPr>
              <w:t>3</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b/>
                <w:bCs/>
                <w:lang w:val="de-DE"/>
              </w:rPr>
            </w:pPr>
            <w:r>
              <w:rPr>
                <w:b/>
                <w:bCs/>
                <w:sz w:val="18"/>
                <w:szCs w:val="18"/>
                <w:lang w:val="de-DE"/>
              </w:rPr>
              <w:t>4</w:t>
            </w:r>
          </w:p>
        </w:tc>
        <w:tc>
          <w:tcPr>
            <w:tcW w:w="593"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b/>
                <w:bCs/>
                <w:lang w:val="de-DE"/>
              </w:rPr>
            </w:pPr>
            <w:r>
              <w:rPr>
                <w:b/>
                <w:bCs/>
                <w:sz w:val="18"/>
                <w:szCs w:val="18"/>
                <w:lang w:val="de-DE"/>
              </w:rPr>
              <w:t xml:space="preserve">5 </w:t>
            </w:r>
          </w:p>
        </w:tc>
        <w:tc>
          <w:tcPr>
            <w:tcW w:w="446"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b/>
                <w:bCs/>
                <w:lang w:val="de-DE"/>
              </w:rPr>
            </w:pPr>
            <w:r>
              <w:rPr>
                <w:b/>
                <w:bCs/>
                <w:sz w:val="18"/>
                <w:szCs w:val="18"/>
                <w:lang w:val="de-DE"/>
              </w:rPr>
              <w:t>6</w:t>
            </w:r>
          </w:p>
        </w:tc>
        <w:tc>
          <w:tcPr>
            <w:tcW w:w="1187"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b/>
                <w:bCs/>
                <w:lang w:val="de-DE"/>
              </w:rPr>
            </w:pPr>
            <w:r>
              <w:rPr>
                <w:b/>
                <w:bCs/>
                <w:sz w:val="18"/>
                <w:szCs w:val="18"/>
                <w:lang w:val="de-DE"/>
              </w:rPr>
              <w:t>7 (editorial)</w:t>
            </w:r>
          </w:p>
        </w:tc>
      </w:tr>
      <w:tr>
        <w:tblPrEx>
          <w:tblLayout w:type="fixed"/>
          <w:tblCellMar>
            <w:top w:w="0" w:type="dxa"/>
            <w:left w:w="0" w:type="dxa"/>
            <w:bottom w:w="0" w:type="dxa"/>
            <w:right w:w="0" w:type="dxa"/>
          </w:tblCellMar>
        </w:tblPrEx>
        <w:trPr>
          <w:trHeight w:val="259" w:hRule="atLeast"/>
        </w:trPr>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 Ericsson</w:t>
            </w:r>
          </w:p>
        </w:tc>
        <w:tc>
          <w:tcPr>
            <w:tcW w:w="66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L</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H</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M</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N</w:t>
            </w:r>
          </w:p>
        </w:tc>
        <w:tc>
          <w:tcPr>
            <w:tcW w:w="593"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L</w:t>
            </w:r>
          </w:p>
        </w:tc>
        <w:tc>
          <w:tcPr>
            <w:tcW w:w="446"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L</w:t>
            </w:r>
          </w:p>
        </w:tc>
        <w:tc>
          <w:tcPr>
            <w:tcW w:w="1187"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 OK</w:t>
            </w:r>
          </w:p>
        </w:tc>
      </w:tr>
      <w:tr>
        <w:tblPrEx>
          <w:tblLayout w:type="fixed"/>
          <w:tblCellMar>
            <w:top w:w="0" w:type="dxa"/>
            <w:left w:w="0" w:type="dxa"/>
            <w:bottom w:w="0" w:type="dxa"/>
            <w:right w:w="0" w:type="dxa"/>
          </w:tblCellMar>
        </w:tblPrEx>
        <w:trPr>
          <w:trHeight w:val="738" w:hRule="atLeast"/>
        </w:trPr>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spacing w:after="0" w:line="252" w:lineRule="auto"/>
              <w:rPr>
                <w:rFonts w:hint="default" w:eastAsia="宋体"/>
                <w:sz w:val="20"/>
                <w:szCs w:val="20"/>
                <w:lang w:val="en-US" w:eastAsia="zh-CN"/>
              </w:rPr>
            </w:pPr>
            <w:r>
              <w:rPr>
                <w:rFonts w:hint="eastAsia" w:eastAsia="宋体"/>
                <w:sz w:val="20"/>
                <w:szCs w:val="20"/>
                <w:lang w:val="en-US" w:eastAsia="zh-CN"/>
              </w:rPr>
              <w:t>ZTE</w:t>
            </w:r>
          </w:p>
        </w:tc>
        <w:tc>
          <w:tcPr>
            <w:tcW w:w="66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rFonts w:hint="eastAsia" w:eastAsia="宋体"/>
                <w:sz w:val="20"/>
                <w:szCs w:val="20"/>
                <w:lang w:val="en-US" w:eastAsia="zh-CN"/>
              </w:rPr>
            </w:pPr>
            <w:r>
              <w:rPr>
                <w:rFonts w:hint="eastAsia" w:eastAsia="宋体"/>
                <w:sz w:val="20"/>
                <w:szCs w:val="20"/>
                <w:lang w:val="en-US" w:eastAsia="zh-CN"/>
              </w:rPr>
              <w:t>L</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rFonts w:hint="eastAsia" w:eastAsia="宋体"/>
                <w:sz w:val="20"/>
                <w:szCs w:val="20"/>
                <w:lang w:val="en-US" w:eastAsia="zh-CN"/>
              </w:rPr>
            </w:pPr>
            <w:r>
              <w:rPr>
                <w:rFonts w:hint="eastAsia" w:eastAsia="宋体"/>
                <w:sz w:val="20"/>
                <w:szCs w:val="20"/>
                <w:lang w:val="en-US" w:eastAsia="zh-CN"/>
              </w:rPr>
              <w:t>H</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rFonts w:hint="eastAsia" w:eastAsia="宋体"/>
                <w:sz w:val="20"/>
                <w:szCs w:val="20"/>
                <w:lang w:val="en-US" w:eastAsia="zh-CN"/>
              </w:rPr>
            </w:pPr>
            <w:r>
              <w:rPr>
                <w:rFonts w:hint="eastAsia" w:eastAsia="宋体"/>
                <w:sz w:val="20"/>
                <w:szCs w:val="20"/>
                <w:lang w:val="en-US" w:eastAsia="zh-CN"/>
              </w:rPr>
              <w:t>H</w:t>
            </w: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rFonts w:hint="eastAsia" w:eastAsia="宋体"/>
                <w:sz w:val="20"/>
                <w:szCs w:val="20"/>
                <w:lang w:val="en-US" w:eastAsia="zh-CN"/>
              </w:rPr>
            </w:pPr>
            <w:r>
              <w:rPr>
                <w:rFonts w:hint="eastAsia" w:eastAsia="宋体"/>
                <w:sz w:val="20"/>
                <w:szCs w:val="20"/>
                <w:lang w:val="en-US" w:eastAsia="zh-CN"/>
              </w:rPr>
              <w:t>N</w:t>
            </w:r>
          </w:p>
        </w:tc>
        <w:tc>
          <w:tcPr>
            <w:tcW w:w="593"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rFonts w:hint="eastAsia" w:eastAsia="宋体"/>
                <w:sz w:val="20"/>
                <w:szCs w:val="20"/>
                <w:lang w:val="en-US" w:eastAsia="zh-CN"/>
              </w:rPr>
            </w:pPr>
            <w:r>
              <w:rPr>
                <w:rFonts w:hint="eastAsia" w:eastAsia="宋体"/>
                <w:sz w:val="20"/>
                <w:szCs w:val="20"/>
                <w:lang w:val="en-US" w:eastAsia="zh-CN"/>
              </w:rPr>
              <w:t>L</w:t>
            </w:r>
          </w:p>
        </w:tc>
        <w:tc>
          <w:tcPr>
            <w:tcW w:w="446"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rFonts w:hint="default" w:eastAsia="宋体"/>
                <w:sz w:val="20"/>
                <w:szCs w:val="20"/>
                <w:lang w:val="en-US" w:eastAsia="zh-CN"/>
              </w:rPr>
            </w:pPr>
            <w:r>
              <w:rPr>
                <w:rFonts w:hint="eastAsia" w:eastAsia="宋体"/>
                <w:sz w:val="20"/>
                <w:szCs w:val="20"/>
                <w:lang w:val="en-US" w:eastAsia="zh-CN"/>
              </w:rPr>
              <w:t>L</w:t>
            </w:r>
          </w:p>
        </w:tc>
        <w:tc>
          <w:tcPr>
            <w:tcW w:w="1187"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20"/>
                <w:szCs w:val="20"/>
                <w:lang w:val="de-DE"/>
              </w:rPr>
            </w:pPr>
            <w:r>
              <w:rPr>
                <w:rFonts w:eastAsia="Calibri"/>
                <w:sz w:val="20"/>
                <w:szCs w:val="20"/>
                <w:lang w:val="de-DE"/>
              </w:rPr>
              <w:t>should be  6.4.1.1.</w:t>
            </w:r>
            <w:r>
              <w:rPr>
                <w:rFonts w:hint="eastAsia" w:eastAsia="宋体"/>
                <w:color w:val="C00000"/>
                <w:sz w:val="20"/>
                <w:szCs w:val="20"/>
                <w:highlight w:val="yellow"/>
                <w:lang w:val="en-US" w:eastAsia="zh-CN"/>
              </w:rPr>
              <w:t>1.</w:t>
            </w:r>
            <w:r>
              <w:rPr>
                <w:rFonts w:eastAsia="Calibri"/>
                <w:sz w:val="20"/>
                <w:szCs w:val="20"/>
                <w:lang w:val="de-DE"/>
              </w:rPr>
              <w:t>2</w:t>
            </w:r>
          </w:p>
        </w:tc>
      </w:tr>
      <w:tr>
        <w:tblPrEx>
          <w:tblLayout w:type="fixed"/>
          <w:tblCellMar>
            <w:top w:w="0" w:type="dxa"/>
            <w:left w:w="0" w:type="dxa"/>
            <w:bottom w:w="0" w:type="dxa"/>
            <w:right w:w="0" w:type="dxa"/>
          </w:tblCellMar>
        </w:tblPrEx>
        <w:trPr>
          <w:trHeight w:val="283" w:hRule="atLeast"/>
        </w:trPr>
        <w:tc>
          <w:tcPr>
            <w:tcW w:w="1408"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66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c>
          <w:tcPr>
            <w:tcW w:w="594"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593"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446"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1187"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r>
      <w:tr>
        <w:tblPrEx>
          <w:tblLayout w:type="fixed"/>
          <w:tblCellMar>
            <w:top w:w="0" w:type="dxa"/>
            <w:left w:w="0" w:type="dxa"/>
            <w:bottom w:w="0" w:type="dxa"/>
            <w:right w:w="0" w:type="dxa"/>
          </w:tblCellMar>
        </w:tblPrEx>
        <w:trPr>
          <w:trHeight w:val="283" w:hRule="atLeast"/>
        </w:trPr>
        <w:tc>
          <w:tcPr>
            <w:tcW w:w="1408"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664"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c>
          <w:tcPr>
            <w:tcW w:w="594"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594"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c>
          <w:tcPr>
            <w:tcW w:w="594"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59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446"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1187"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r>
      <w:tr>
        <w:tblPrEx>
          <w:tblLayout w:type="fixed"/>
          <w:tblCellMar>
            <w:top w:w="0" w:type="dxa"/>
            <w:left w:w="0" w:type="dxa"/>
            <w:bottom w:w="0" w:type="dxa"/>
            <w:right w:w="0" w:type="dxa"/>
          </w:tblCellMar>
        </w:tblPrEx>
        <w:trPr>
          <w:trHeight w:val="273" w:hRule="atLeast"/>
        </w:trPr>
        <w:tc>
          <w:tcPr>
            <w:tcW w:w="1408"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664"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c>
          <w:tcPr>
            <w:tcW w:w="594"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594"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c>
          <w:tcPr>
            <w:tcW w:w="594"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593"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446"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1187" w:type="dxa"/>
            <w:tcBorders>
              <w:top w:val="single" w:color="auto" w:sz="4" w:space="0"/>
              <w:left w:val="nil"/>
              <w:bottom w:val="single" w:color="auto" w:sz="4"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r>
      <w:tr>
        <w:tblPrEx>
          <w:tblLayout w:type="fixed"/>
          <w:tblCellMar>
            <w:top w:w="0" w:type="dxa"/>
            <w:left w:w="0" w:type="dxa"/>
            <w:bottom w:w="0" w:type="dxa"/>
            <w:right w:w="0" w:type="dxa"/>
          </w:tblCellMar>
        </w:tblPrEx>
        <w:trPr>
          <w:trHeight w:val="293" w:hRule="atLeast"/>
        </w:trPr>
        <w:tc>
          <w:tcPr>
            <w:tcW w:w="1408"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664"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c>
          <w:tcPr>
            <w:tcW w:w="594"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594"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c>
          <w:tcPr>
            <w:tcW w:w="594"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593"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446"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18"/>
                <w:szCs w:val="18"/>
                <w:lang w:val="de-DE"/>
              </w:rPr>
            </w:pPr>
          </w:p>
        </w:tc>
        <w:tc>
          <w:tcPr>
            <w:tcW w:w="1187" w:type="dxa"/>
            <w:tcBorders>
              <w:top w:val="single" w:color="auto" w:sz="4" w:space="0"/>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p>
        </w:tc>
      </w:tr>
    </w:tbl>
    <w:p/>
    <w:p>
      <w:pPr>
        <w:pStyle w:val="113"/>
        <w:tabs>
          <w:tab w:val="left" w:pos="1276"/>
          <w:tab w:val="clear" w:pos="1622"/>
        </w:tabs>
        <w:ind w:left="0" w:firstLine="0"/>
        <w:jc w:val="both"/>
        <w:rPr>
          <w:lang w:val="en-US"/>
        </w:rPr>
      </w:pPr>
      <w:r>
        <w:rPr>
          <w:lang w:val="en-US"/>
        </w:rPr>
        <w:t>Also, if you have comments, please use the table below:</w:t>
      </w:r>
    </w:p>
    <w:p/>
    <w:tbl>
      <w:tblPr>
        <w:tblStyle w:val="51"/>
        <w:tblW w:w="9350" w:type="dxa"/>
        <w:tblInd w:w="0" w:type="dxa"/>
        <w:tblLayout w:type="fixed"/>
        <w:tblCellMar>
          <w:top w:w="0" w:type="dxa"/>
          <w:left w:w="0" w:type="dxa"/>
          <w:bottom w:w="0" w:type="dxa"/>
          <w:right w:w="0" w:type="dxa"/>
        </w:tblCellMar>
      </w:tblPr>
      <w:tblGrid>
        <w:gridCol w:w="1695"/>
        <w:gridCol w:w="7655"/>
      </w:tblGrid>
      <w:tr>
        <w:tblPrEx>
          <w:tblLayout w:type="fixed"/>
          <w:tblCellMar>
            <w:top w:w="0" w:type="dxa"/>
            <w:left w:w="0" w:type="dxa"/>
            <w:bottom w:w="0" w:type="dxa"/>
            <w:right w:w="0" w:type="dxa"/>
          </w:tblCellMar>
        </w:tblPrEx>
        <w:tc>
          <w:tcPr>
            <w:tcW w:w="1695" w:type="dxa"/>
            <w:tcBorders>
              <w:top w:val="single" w:color="auto" w:sz="8" w:space="0"/>
              <w:left w:val="single" w:color="auto" w:sz="8" w:space="0"/>
              <w:bottom w:val="single" w:color="auto" w:sz="8" w:space="0"/>
              <w:right w:val="single" w:color="auto" w:sz="8" w:space="0"/>
            </w:tcBorders>
            <w:shd w:val="clear" w:color="auto" w:fill="FFC000"/>
            <w:tcMar>
              <w:top w:w="0" w:type="dxa"/>
              <w:left w:w="108" w:type="dxa"/>
              <w:bottom w:w="0" w:type="dxa"/>
              <w:right w:w="108" w:type="dxa"/>
            </w:tcMar>
          </w:tcPr>
          <w:p>
            <w:pPr>
              <w:pStyle w:val="15"/>
              <w:spacing w:after="0" w:line="252" w:lineRule="auto"/>
              <w:rPr>
                <w:b/>
                <w:bCs/>
                <w:sz w:val="18"/>
                <w:szCs w:val="18"/>
                <w:lang w:val="de-DE"/>
              </w:rPr>
            </w:pPr>
            <w:r>
              <w:rPr>
                <w:b/>
                <w:bCs/>
                <w:sz w:val="18"/>
                <w:szCs w:val="18"/>
                <w:lang w:val="de-DE"/>
              </w:rPr>
              <w:t>Company</w:t>
            </w:r>
          </w:p>
        </w:tc>
        <w:tc>
          <w:tcPr>
            <w:tcW w:w="7655" w:type="dxa"/>
            <w:tcBorders>
              <w:top w:val="single" w:color="auto" w:sz="8" w:space="0"/>
              <w:left w:val="nil"/>
              <w:bottom w:val="single" w:color="auto" w:sz="8" w:space="0"/>
              <w:right w:val="single" w:color="auto" w:sz="8" w:space="0"/>
            </w:tcBorders>
            <w:shd w:val="clear" w:color="auto" w:fill="FFC000"/>
            <w:tcMar>
              <w:top w:w="0" w:type="dxa"/>
              <w:left w:w="108" w:type="dxa"/>
              <w:bottom w:w="0" w:type="dxa"/>
              <w:right w:w="108" w:type="dxa"/>
            </w:tcMar>
          </w:tcPr>
          <w:p>
            <w:pPr>
              <w:pStyle w:val="15"/>
              <w:spacing w:after="0" w:line="252" w:lineRule="auto"/>
              <w:rPr>
                <w:b/>
                <w:bCs/>
                <w:sz w:val="18"/>
                <w:szCs w:val="18"/>
                <w:lang w:val="de-DE"/>
              </w:rPr>
            </w:pPr>
            <w:r>
              <w:rPr>
                <w:b/>
                <w:bCs/>
                <w:color w:val="000000"/>
                <w:sz w:val="18"/>
                <w:szCs w:val="18"/>
                <w:lang w:val="de-DE"/>
              </w:rPr>
              <w:t>Comment</w:t>
            </w:r>
          </w:p>
        </w:tc>
      </w:tr>
      <w:tr>
        <w:tblPrEx>
          <w:tblLayout w:type="fixed"/>
          <w:tblCellMar>
            <w:top w:w="0" w:type="dxa"/>
            <w:left w:w="0" w:type="dxa"/>
            <w:bottom w:w="0" w:type="dxa"/>
            <w:right w:w="0" w:type="dxa"/>
          </w:tblCellMar>
        </w:tblPrEx>
        <w:tc>
          <w:tcPr>
            <w:tcW w:w="169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spacing w:after="0" w:line="252" w:lineRule="auto"/>
              <w:rPr>
                <w:sz w:val="22"/>
                <w:szCs w:val="22"/>
                <w:lang w:val="de-DE"/>
              </w:rPr>
            </w:pPr>
            <w:r>
              <w:rPr>
                <w:sz w:val="22"/>
                <w:szCs w:val="22"/>
                <w:lang w:val="de-DE"/>
              </w:rPr>
              <w:t>Ericsson</w:t>
            </w:r>
          </w:p>
        </w:tc>
        <w:tc>
          <w:tcPr>
            <w:tcW w:w="7655"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r>
              <w:rPr>
                <w:lang w:val="de-DE"/>
              </w:rPr>
              <w:t xml:space="preserve">Issue 1,5 and 6 can be handled in company CR phase later. Issue 2 and 3 seem most useful for discussion. Issue 4 may be technically useful but is not an essential correction. </w:t>
            </w:r>
          </w:p>
        </w:tc>
      </w:tr>
      <w:tr>
        <w:tblPrEx>
          <w:tblLayout w:type="fixed"/>
          <w:tblCellMar>
            <w:top w:w="0" w:type="dxa"/>
            <w:left w:w="0" w:type="dxa"/>
            <w:bottom w:w="0" w:type="dxa"/>
            <w:right w:w="0" w:type="dxa"/>
          </w:tblCellMar>
        </w:tblPrEx>
        <w:tc>
          <w:tcPr>
            <w:tcW w:w="169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spacing w:after="0" w:line="252" w:lineRule="auto"/>
              <w:rPr>
                <w:rFonts w:hint="default" w:eastAsia="宋体"/>
                <w:lang w:val="en-US" w:eastAsia="zh-CN"/>
              </w:rPr>
            </w:pPr>
            <w:r>
              <w:rPr>
                <w:rFonts w:hint="eastAsia" w:eastAsia="宋体"/>
                <w:lang w:val="en-US" w:eastAsia="zh-CN"/>
              </w:rPr>
              <w:t>ZTE</w:t>
            </w:r>
          </w:p>
        </w:tc>
        <w:tc>
          <w:tcPr>
            <w:tcW w:w="7655" w:type="dxa"/>
            <w:tcBorders>
              <w:top w:val="nil"/>
              <w:left w:val="nil"/>
              <w:bottom w:val="single" w:color="auto" w:sz="8" w:space="0"/>
              <w:right w:val="single" w:color="auto" w:sz="8" w:space="0"/>
            </w:tcBorders>
            <w:tcMar>
              <w:top w:w="0" w:type="dxa"/>
              <w:left w:w="108" w:type="dxa"/>
              <w:bottom w:w="0" w:type="dxa"/>
              <w:right w:w="108" w:type="dxa"/>
            </w:tcMar>
          </w:tcPr>
          <w:p>
            <w:pPr>
              <w:pStyle w:val="15"/>
              <w:numPr>
                <w:numId w:val="0"/>
              </w:numPr>
              <w:spacing w:after="0" w:line="252" w:lineRule="auto"/>
              <w:ind w:leftChars="0"/>
              <w:rPr>
                <w:rFonts w:hint="eastAsia" w:eastAsia="宋体"/>
                <w:lang w:val="en-US" w:eastAsia="zh-CN"/>
              </w:rPr>
            </w:pPr>
            <w:r>
              <w:rPr>
                <w:rFonts w:hint="eastAsia" w:eastAsia="宋体"/>
                <w:lang w:val="en-US" w:eastAsia="zh-CN"/>
              </w:rPr>
              <w:t xml:space="preserve">- Issue 3 has been raised in several meetings. We hope to close it in this meeting. Either to agree or reject it is fine for us. </w:t>
            </w:r>
          </w:p>
          <w:p>
            <w:pPr>
              <w:pStyle w:val="15"/>
              <w:numPr>
                <w:numId w:val="0"/>
              </w:numPr>
              <w:spacing w:after="0" w:line="252" w:lineRule="auto"/>
              <w:ind w:leftChars="0"/>
              <w:rPr>
                <w:rFonts w:hint="eastAsia" w:eastAsia="宋体"/>
                <w:lang w:val="en-US" w:eastAsia="zh-CN"/>
              </w:rPr>
            </w:pPr>
            <w:r>
              <w:rPr>
                <w:rFonts w:hint="eastAsia" w:eastAsia="宋体"/>
                <w:lang w:val="en-US" w:eastAsia="zh-CN"/>
              </w:rPr>
              <w:t xml:space="preserve">- We sympathize the issue 4 technically, but it is too late to further check the evaluation. </w:t>
            </w:r>
          </w:p>
          <w:p>
            <w:pPr>
              <w:pStyle w:val="15"/>
              <w:numPr>
                <w:numId w:val="0"/>
              </w:numPr>
              <w:spacing w:after="0" w:line="252" w:lineRule="auto"/>
              <w:ind w:leftChars="0"/>
              <w:rPr>
                <w:rFonts w:hint="default" w:eastAsia="宋体"/>
                <w:lang w:val="en-US" w:eastAsia="zh-CN"/>
              </w:rPr>
            </w:pPr>
            <w:r>
              <w:rPr>
                <w:rFonts w:hint="eastAsia" w:eastAsia="宋体"/>
                <w:lang w:val="en-US" w:eastAsia="zh-CN"/>
              </w:rPr>
              <w:t xml:space="preserve">- Issue 6 is nothing related with low PAPR RS. In addition, it is clear enough for the relationship between DMRS port and CDM group based on table </w:t>
            </w:r>
            <w:r>
              <w:t>6.4.1.1.3-1</w:t>
            </w:r>
            <w:r>
              <w:rPr>
                <w:rFonts w:hint="eastAsia" w:eastAsia="宋体"/>
                <w:lang w:val="en-US" w:eastAsia="zh-CN"/>
              </w:rPr>
              <w:t xml:space="preserve"> in 38.211.</w:t>
            </w:r>
            <w:bookmarkStart w:id="1" w:name="_GoBack"/>
            <w:bookmarkEnd w:id="1"/>
          </w:p>
        </w:tc>
      </w:tr>
      <w:tr>
        <w:tblPrEx>
          <w:tblLayout w:type="fixed"/>
          <w:tblCellMar>
            <w:top w:w="0" w:type="dxa"/>
            <w:left w:w="0" w:type="dxa"/>
            <w:bottom w:w="0" w:type="dxa"/>
            <w:right w:w="0" w:type="dxa"/>
          </w:tblCellMar>
        </w:tblPrEx>
        <w:tc>
          <w:tcPr>
            <w:tcW w:w="169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p>
        </w:tc>
        <w:tc>
          <w:tcPr>
            <w:tcW w:w="7655" w:type="dxa"/>
            <w:tcBorders>
              <w:top w:val="nil"/>
              <w:left w:val="nil"/>
              <w:bottom w:val="single" w:color="auto" w:sz="8" w:space="0"/>
              <w:right w:val="single" w:color="auto" w:sz="8" w:space="0"/>
            </w:tcBorders>
            <w:tcMar>
              <w:top w:w="0" w:type="dxa"/>
              <w:left w:w="108" w:type="dxa"/>
              <w:bottom w:w="0" w:type="dxa"/>
              <w:right w:w="108" w:type="dxa"/>
            </w:tcMar>
          </w:tcPr>
          <w:p>
            <w:pPr>
              <w:pStyle w:val="15"/>
              <w:spacing w:after="0" w:line="252" w:lineRule="auto"/>
              <w:rPr>
                <w:lang w:val="de-DE"/>
              </w:rPr>
            </w:pPr>
          </w:p>
        </w:tc>
      </w:tr>
    </w:tbl>
    <w:p>
      <w:pPr>
        <w:rPr>
          <w:rFonts w:ascii="Calibri" w:hAnsi="Calibri" w:cs="Calibri" w:eastAsiaTheme="minorHAnsi"/>
          <w:sz w:val="22"/>
          <w:szCs w:val="22"/>
          <w:lang w:val="en-US"/>
        </w:rPr>
      </w:pPr>
    </w:p>
    <w:p/>
    <w:p>
      <w:pPr>
        <w:pStyle w:val="3"/>
      </w:pPr>
      <w:r>
        <w:t xml:space="preserve">2.1 Identified issues </w:t>
      </w:r>
    </w:p>
    <w:p>
      <w:pPr>
        <w:pStyle w:val="15"/>
      </w:pPr>
    </w:p>
    <w:tbl>
      <w:tblPr>
        <w:tblStyle w:val="5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700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tcPr>
          <w:p>
            <w:pPr>
              <w:pStyle w:val="15"/>
              <w:rPr>
                <w:rFonts w:eastAsia="Calibri"/>
                <w:sz w:val="22"/>
                <w:szCs w:val="22"/>
                <w:lang w:val="de-DE"/>
              </w:rPr>
            </w:pPr>
            <w:r>
              <w:rPr>
                <w:rFonts w:eastAsia="Calibri"/>
                <w:sz w:val="22"/>
                <w:szCs w:val="22"/>
                <w:lang w:val="de-DE"/>
              </w:rPr>
              <w:t>Issue #</w:t>
            </w:r>
          </w:p>
        </w:tc>
        <w:tc>
          <w:tcPr>
            <w:tcW w:w="7002" w:type="dxa"/>
          </w:tcPr>
          <w:p>
            <w:pPr>
              <w:pStyle w:val="15"/>
              <w:rPr>
                <w:rFonts w:eastAsia="Calibri"/>
                <w:sz w:val="22"/>
                <w:szCs w:val="22"/>
                <w:lang w:val="de-DE"/>
              </w:rPr>
            </w:pPr>
            <w:r>
              <w:rPr>
                <w:rFonts w:eastAsia="Calibri"/>
                <w:sz w:val="22"/>
                <w:szCs w:val="22"/>
                <w:lang w:val="de-DE"/>
              </w:rPr>
              <w:t>Description</w:t>
            </w:r>
          </w:p>
        </w:tc>
        <w:tc>
          <w:tcPr>
            <w:tcW w:w="1560" w:type="dxa"/>
          </w:tcPr>
          <w:p>
            <w:pPr>
              <w:pStyle w:val="15"/>
              <w:rPr>
                <w:rFonts w:eastAsia="宋体" w:cs="Arial"/>
                <w:bCs/>
                <w:sz w:val="22"/>
                <w:szCs w:val="22"/>
                <w:lang w:val="de-DE" w:eastAsia="ja-JP"/>
              </w:rPr>
            </w:pPr>
            <w:r>
              <w:rPr>
                <w:rFonts w:eastAsia="宋体" w:cs="Arial"/>
                <w:bCs/>
                <w:sz w:val="22"/>
                <w:szCs w:val="22"/>
                <w:lang w:val="de-DE" w:eastAsia="ja-JP"/>
              </w:rPr>
              <w:t>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tcPr>
          <w:p>
            <w:pPr>
              <w:pStyle w:val="15"/>
              <w:rPr>
                <w:rFonts w:eastAsia="Calibri" w:cs="Arial"/>
                <w:sz w:val="20"/>
                <w:szCs w:val="20"/>
                <w:lang w:val="de-DE"/>
              </w:rPr>
            </w:pPr>
            <w:r>
              <w:rPr>
                <w:rFonts w:eastAsia="Calibri" w:cs="Arial"/>
                <w:sz w:val="20"/>
                <w:szCs w:val="20"/>
                <w:lang w:val="de-DE"/>
              </w:rPr>
              <w:t>1</w:t>
            </w:r>
          </w:p>
        </w:tc>
        <w:tc>
          <w:tcPr>
            <w:tcW w:w="7002" w:type="dxa"/>
          </w:tcPr>
          <w:p>
            <w:pPr>
              <w:pStyle w:val="15"/>
              <w:rPr>
                <w:rFonts w:eastAsia="Calibri" w:cs="Arial"/>
                <w:iCs/>
                <w:sz w:val="20"/>
                <w:szCs w:val="20"/>
                <w:lang w:val="de-DE"/>
              </w:rPr>
            </w:pPr>
            <w:r>
              <w:rPr>
                <w:rFonts w:eastAsia="Calibri" w:cs="Arial"/>
                <w:iCs/>
                <w:sz w:val="20"/>
                <w:szCs w:val="20"/>
                <w:lang w:val="de-DE"/>
              </w:rPr>
              <w:t xml:space="preserve">For PUSCH, clarify in 38.211 that </w:t>
            </w:r>
            <m:oMath>
              <m:sSub>
                <m:sSubPr>
                  <m:ctrlPr>
                    <w:rPr>
                      <w:rFonts w:ascii="Cambria Math" w:hAnsi="Cambria Math" w:eastAsia="Calibri" w:cs="Arial"/>
                      <w:i/>
                      <w:sz w:val="20"/>
                      <w:szCs w:val="20"/>
                      <w:lang w:val="de-DE"/>
                    </w:rPr>
                  </m:ctrlPr>
                </m:sSubPr>
                <m:e>
                  <m:r>
                    <w:rPr>
                      <w:rFonts w:ascii="Cambria Math" w:hAnsi="Cambria Math" w:eastAsia="Calibri" w:cs="Arial"/>
                      <w:sz w:val="20"/>
                      <w:szCs w:val="20"/>
                      <w:lang w:val="de-DE"/>
                    </w:rPr>
                    <m:t>n</m:t>
                  </m:r>
                  <m:ctrlPr>
                    <w:rPr>
                      <w:rFonts w:ascii="Cambria Math" w:hAnsi="Cambria Math" w:eastAsia="Calibri" w:cs="Arial"/>
                      <w:i/>
                      <w:sz w:val="20"/>
                      <w:szCs w:val="20"/>
                      <w:lang w:val="de-DE"/>
                    </w:rPr>
                  </m:ctrlPr>
                </m:e>
                <m:sub>
                  <m:r>
                    <m:rPr>
                      <m:nor/>
                      <m:sty m:val="p"/>
                    </m:rPr>
                    <w:rPr>
                      <w:rFonts w:eastAsia="Calibri" w:cs="Arial"/>
                      <w:sz w:val="20"/>
                      <w:szCs w:val="20"/>
                      <w:lang w:val="de-DE"/>
                    </w:rPr>
                    <m:t>SCID</m:t>
                  </m:r>
                  <m:ctrlPr>
                    <w:rPr>
                      <w:rFonts w:ascii="Cambria Math" w:hAnsi="Cambria Math" w:eastAsia="Calibri" w:cs="Arial"/>
                      <w:i/>
                      <w:sz w:val="20"/>
                      <w:szCs w:val="20"/>
                      <w:lang w:val="de-DE"/>
                    </w:rPr>
                  </m:ctrlPr>
                </m:sub>
              </m:sSub>
            </m:oMath>
            <w:r>
              <w:rPr>
                <w:rFonts w:eastAsia="Calibri" w:cs="Arial"/>
                <w:sz w:val="20"/>
                <w:szCs w:val="20"/>
                <w:lang w:val="de-DE"/>
              </w:rPr>
              <w:t xml:space="preserve"> is given by antenna ports field in DCI</w:t>
            </w:r>
          </w:p>
        </w:tc>
        <w:tc>
          <w:tcPr>
            <w:tcW w:w="1560" w:type="dxa"/>
          </w:tcPr>
          <w:p>
            <w:pPr>
              <w:pStyle w:val="15"/>
              <w:rPr>
                <w:rFonts w:eastAsia="Calibri" w:cs="Arial"/>
                <w:sz w:val="20"/>
                <w:szCs w:val="20"/>
                <w:lang w:val="de-DE"/>
              </w:rPr>
            </w:pPr>
            <w:r>
              <w:rPr>
                <w:rFonts w:eastAsia="Calibri" w:cs="Arial"/>
                <w:sz w:val="20"/>
                <w:szCs w:val="20"/>
                <w:lang w:val="de-DE"/>
              </w:rPr>
              <w:t>R1-2003400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tcPr>
          <w:p>
            <w:pPr>
              <w:pStyle w:val="15"/>
              <w:rPr>
                <w:rFonts w:eastAsia="宋体" w:cs="Arial"/>
                <w:sz w:val="20"/>
                <w:szCs w:val="20"/>
                <w:lang w:val="de-DE"/>
              </w:rPr>
            </w:pPr>
            <w:r>
              <w:rPr>
                <w:rFonts w:eastAsia="宋体" w:cs="Arial"/>
                <w:sz w:val="20"/>
                <w:szCs w:val="20"/>
                <w:lang w:val="de-DE"/>
              </w:rPr>
              <w:t>2</w:t>
            </w:r>
          </w:p>
        </w:tc>
        <w:tc>
          <w:tcPr>
            <w:tcW w:w="7002" w:type="dxa"/>
          </w:tcPr>
          <w:p>
            <w:pPr>
              <w:rPr>
                <w:rFonts w:ascii="Arial" w:hAnsi="Arial" w:eastAsia="Calibri" w:cs="Arial"/>
                <w:sz w:val="20"/>
                <w:szCs w:val="20"/>
                <w:lang w:val="de-DE" w:eastAsia="zh-CN"/>
              </w:rPr>
            </w:pPr>
            <w:r>
              <w:rPr>
                <w:rFonts w:ascii="Arial" w:hAnsi="Arial" w:eastAsia="宋体" w:cs="Arial"/>
                <w:sz w:val="20"/>
                <w:szCs w:val="20"/>
                <w:lang w:val="de-DE"/>
              </w:rPr>
              <w:t xml:space="preserve">In 38.214, </w:t>
            </w:r>
            <w:r>
              <w:rPr>
                <w:rFonts w:ascii="Arial" w:hAnsi="Arial" w:eastAsia="Calibri" w:cs="Arial"/>
                <w:sz w:val="20"/>
                <w:szCs w:val="20"/>
                <w:lang w:val="de-DE" w:eastAsia="zh-CN"/>
              </w:rPr>
              <w:t xml:space="preserve">there is a missing case for determining the </w:t>
            </w:r>
            <m:oMath>
              <m:sSubSup>
                <m:sSubSupPr>
                  <m:ctrlPr>
                    <w:rPr>
                      <w:rFonts w:ascii="Cambria Math" w:hAnsi="Cambria Math" w:eastAsia="Malgun Gothic" w:cs="Arial"/>
                      <w:i/>
                      <w:sz w:val="20"/>
                      <w:szCs w:val="20"/>
                      <w:lang w:val="en-GB"/>
                    </w:rPr>
                  </m:ctrlPr>
                </m:sSubSupPr>
                <m:e>
                  <m:r>
                    <w:rPr>
                      <w:rFonts w:ascii="Cambria Math" w:hAnsi="Cambria Math" w:eastAsia="Malgun Gothic" w:cs="Arial"/>
                      <w:sz w:val="20"/>
                      <w:szCs w:val="20"/>
                      <w:lang w:val="en-GB"/>
                    </w:rPr>
                    <m:t>n</m:t>
                  </m:r>
                  <m:ctrlPr>
                    <w:rPr>
                      <w:rFonts w:ascii="Cambria Math" w:hAnsi="Cambria Math" w:eastAsia="Malgun Gothic" w:cs="Arial"/>
                      <w:i/>
                      <w:sz w:val="20"/>
                      <w:szCs w:val="20"/>
                      <w:lang w:val="en-GB"/>
                    </w:rPr>
                  </m:ctrlPr>
                </m:e>
                <m:sub>
                  <m:r>
                    <m:rPr>
                      <m:nor/>
                      <m:sty m:val="p"/>
                    </m:rPr>
                    <w:rPr>
                      <w:rFonts w:ascii="Arial" w:hAnsi="Arial" w:eastAsia="Malgun Gothic" w:cs="Arial"/>
                      <w:sz w:val="20"/>
                      <w:szCs w:val="20"/>
                      <w:lang w:val="en-GB"/>
                    </w:rPr>
                    <m:t>ID</m:t>
                  </m:r>
                  <m:ctrlPr>
                    <w:rPr>
                      <w:rFonts w:ascii="Cambria Math" w:hAnsi="Cambria Math" w:eastAsia="Malgun Gothic" w:cs="Arial"/>
                      <w:i/>
                      <w:sz w:val="20"/>
                      <w:szCs w:val="20"/>
                      <w:lang w:val="en-GB"/>
                    </w:rPr>
                  </m:ctrlPr>
                </m:sub>
                <m:sup>
                  <m:r>
                    <m:rPr>
                      <m:nor/>
                      <m:sty m:val="p"/>
                    </m:rPr>
                    <w:rPr>
                      <w:rFonts w:ascii="Arial" w:hAnsi="Arial" w:eastAsia="Malgun Gothic" w:cs="Arial"/>
                      <w:sz w:val="20"/>
                      <w:szCs w:val="20"/>
                      <w:lang w:val="en-GB"/>
                    </w:rPr>
                    <m:t>RS</m:t>
                  </m:r>
                  <m:ctrlPr>
                    <w:rPr>
                      <w:rFonts w:ascii="Cambria Math" w:hAnsi="Cambria Math" w:eastAsia="Malgun Gothic" w:cs="Arial"/>
                      <w:i/>
                      <w:sz w:val="20"/>
                      <w:szCs w:val="20"/>
                      <w:lang w:val="en-GB"/>
                    </w:rPr>
                  </m:ctrlPr>
                </m:sup>
              </m:sSubSup>
            </m:oMath>
            <w:r>
              <w:rPr>
                <w:rFonts w:ascii="Arial" w:hAnsi="Arial" w:eastAsia="Calibri" w:cs="Arial"/>
                <w:sz w:val="20"/>
                <w:szCs w:val="20"/>
                <w:lang w:val="de-DE" w:eastAsia="zh-CN"/>
              </w:rPr>
              <w:t xml:space="preserve">: </w:t>
            </w:r>
            <w:r>
              <w:rPr>
                <w:rFonts w:ascii="Arial" w:hAnsi="Arial" w:eastAsia="等线" w:cs="Arial"/>
                <w:sz w:val="20"/>
                <w:szCs w:val="20"/>
                <w:lang w:val="en-GB"/>
              </w:rPr>
              <w:t xml:space="preserve">“the higher-layer parameter </w:t>
            </w:r>
            <w:r>
              <w:rPr>
                <w:rFonts w:ascii="Arial" w:hAnsi="Arial" w:eastAsia="等线" w:cs="Arial"/>
                <w:i/>
                <w:iCs/>
                <w:sz w:val="20"/>
                <w:szCs w:val="20"/>
                <w:lang w:val="en-GB"/>
              </w:rPr>
              <w:t>dmrsUplinkTransformPrecoding-r16</w:t>
            </w:r>
            <w:r>
              <w:rPr>
                <w:rFonts w:ascii="Arial" w:hAnsi="Arial" w:eastAsia="等线" w:cs="Arial"/>
                <w:sz w:val="20"/>
                <w:szCs w:val="20"/>
                <w:lang w:val="en-GB"/>
              </w:rPr>
              <w:t xml:space="preserve"> is configured and π/2-BPSK modulation is not used for PUSCH”.</w:t>
            </w:r>
          </w:p>
        </w:tc>
        <w:tc>
          <w:tcPr>
            <w:tcW w:w="1560" w:type="dxa"/>
          </w:tcPr>
          <w:p>
            <w:pPr>
              <w:pStyle w:val="15"/>
              <w:rPr>
                <w:rFonts w:eastAsia="Calibri" w:cs="Arial"/>
                <w:bCs/>
                <w:kern w:val="2"/>
                <w:sz w:val="20"/>
                <w:szCs w:val="20"/>
                <w:lang w:val="de-DE"/>
              </w:rPr>
            </w:pPr>
            <w:r>
              <w:rPr>
                <w:rFonts w:eastAsia="Calibri" w:cs="Arial"/>
                <w:bCs/>
                <w:kern w:val="2"/>
                <w:sz w:val="20"/>
                <w:szCs w:val="20"/>
                <w:lang w:val="de-DE"/>
              </w:rPr>
              <w:t>R1-2003534</w:t>
            </w:r>
          </w:p>
          <w:p>
            <w:pPr>
              <w:pStyle w:val="15"/>
              <w:rPr>
                <w:rFonts w:eastAsia="Calibri" w:cs="Arial"/>
                <w:bCs/>
                <w:kern w:val="2"/>
                <w:sz w:val="20"/>
                <w:szCs w:val="20"/>
                <w:lang w:val="de-DE"/>
              </w:rPr>
            </w:pPr>
            <w:r>
              <w:rPr>
                <w:rFonts w:eastAsia="Calibri" w:cs="Arial"/>
                <w:bCs/>
                <w:kern w:val="2"/>
                <w:sz w:val="20"/>
                <w:szCs w:val="20"/>
                <w:lang w:val="de-DE"/>
              </w:rPr>
              <w:t>R1-2004268</w:t>
            </w:r>
          </w:p>
          <w:p>
            <w:pPr>
              <w:pStyle w:val="15"/>
              <w:rPr>
                <w:rFonts w:eastAsia="宋体" w:cs="Arial"/>
                <w:bCs/>
                <w:sz w:val="20"/>
                <w:szCs w:val="20"/>
                <w:lang w:val="de-DE" w:eastAsia="ja-JP"/>
              </w:rPr>
            </w:pPr>
            <w:r>
              <w:rPr>
                <w:rFonts w:eastAsia="Calibri" w:cs="Arial"/>
                <w:bCs/>
                <w:kern w:val="2"/>
                <w:sz w:val="20"/>
                <w:szCs w:val="20"/>
                <w:lang w:val="de-DE"/>
              </w:rPr>
              <w:t>R1-2003707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tcPr>
          <w:p>
            <w:pPr>
              <w:pStyle w:val="15"/>
              <w:rPr>
                <w:rFonts w:eastAsia="宋体" w:cs="Arial"/>
                <w:sz w:val="20"/>
                <w:szCs w:val="20"/>
                <w:lang w:val="de-DE"/>
              </w:rPr>
            </w:pPr>
            <w:r>
              <w:rPr>
                <w:rFonts w:eastAsia="宋体" w:cs="Arial"/>
                <w:sz w:val="20"/>
                <w:szCs w:val="20"/>
                <w:lang w:val="de-DE"/>
              </w:rPr>
              <w:t>3</w:t>
            </w:r>
          </w:p>
        </w:tc>
        <w:tc>
          <w:tcPr>
            <w:tcW w:w="7002" w:type="dxa"/>
          </w:tcPr>
          <w:p>
            <w:pPr>
              <w:pStyle w:val="15"/>
              <w:rPr>
                <w:rFonts w:eastAsia="Calibri" w:cs="Arial"/>
                <w:sz w:val="20"/>
                <w:szCs w:val="20"/>
                <w:lang w:val="de-DE" w:eastAsia="zh-TW"/>
              </w:rPr>
            </w:pPr>
            <w:r>
              <w:rPr>
                <w:rFonts w:eastAsia="Calibri" w:cs="Arial"/>
                <w:sz w:val="20"/>
                <w:szCs w:val="20"/>
                <w:lang w:val="de-DE" w:eastAsia="zh-TW"/>
              </w:rPr>
              <w:t xml:space="preserve">It was agreed that the PUCCH with </w:t>
            </w:r>
            <w:r>
              <w:rPr>
                <w:rFonts w:eastAsia="Calibri" w:cs="Arial"/>
                <w:sz w:val="20"/>
                <w:szCs w:val="20"/>
                <w:lang w:val="de-DE"/>
              </w:rPr>
              <w:t xml:space="preserve">pi/2-BPSK DMRS </w:t>
            </w:r>
            <w:r>
              <w:rPr>
                <w:rFonts w:eastAsia="Calibri" w:cs="Arial"/>
                <w:sz w:val="20"/>
                <w:szCs w:val="20"/>
                <w:lang w:val="de-DE" w:eastAsia="zh-TW"/>
              </w:rPr>
              <w:t xml:space="preserve">multiplexing capacity is a single port, the spec is missing the description </w:t>
            </w:r>
          </w:p>
        </w:tc>
        <w:tc>
          <w:tcPr>
            <w:tcW w:w="1560" w:type="dxa"/>
          </w:tcPr>
          <w:p>
            <w:pPr>
              <w:pStyle w:val="15"/>
              <w:rPr>
                <w:rFonts w:eastAsia="宋体" w:cs="Arial"/>
                <w:sz w:val="20"/>
                <w:szCs w:val="20"/>
                <w:lang w:val="en-GB" w:eastAsia="ja-JP"/>
              </w:rPr>
            </w:pPr>
            <w:r>
              <w:rPr>
                <w:rFonts w:eastAsia="宋体" w:cs="Arial"/>
                <w:sz w:val="20"/>
                <w:szCs w:val="20"/>
                <w:lang w:val="en-GB" w:eastAsia="ja-JP"/>
              </w:rPr>
              <w:t>R1-2003663</w:t>
            </w:r>
          </w:p>
          <w:p>
            <w:pPr>
              <w:pStyle w:val="15"/>
              <w:rPr>
                <w:rFonts w:eastAsia="宋体" w:cs="Arial"/>
                <w:sz w:val="20"/>
                <w:szCs w:val="20"/>
                <w:lang w:val="de-DE" w:eastAsia="ja-JP"/>
              </w:rPr>
            </w:pPr>
            <w:r>
              <w:rPr>
                <w:rFonts w:eastAsia="宋体" w:cs="Arial"/>
                <w:sz w:val="20"/>
                <w:szCs w:val="20"/>
                <w:lang w:val="de-DE" w:eastAsia="ja-JP"/>
              </w:rPr>
              <w:t>R1-2004268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tcPr>
          <w:p>
            <w:pPr>
              <w:pStyle w:val="15"/>
              <w:rPr>
                <w:rFonts w:eastAsia="宋体"/>
                <w:sz w:val="22"/>
                <w:szCs w:val="22"/>
                <w:lang w:val="de-DE"/>
              </w:rPr>
            </w:pPr>
            <w:r>
              <w:rPr>
                <w:rFonts w:eastAsia="宋体"/>
                <w:sz w:val="22"/>
                <w:szCs w:val="22"/>
                <w:lang w:val="de-DE"/>
              </w:rPr>
              <w:t>4</w:t>
            </w:r>
          </w:p>
        </w:tc>
        <w:tc>
          <w:tcPr>
            <w:tcW w:w="7002" w:type="dxa"/>
          </w:tcPr>
          <w:p>
            <w:pPr>
              <w:pStyle w:val="15"/>
              <w:rPr>
                <w:rFonts w:eastAsia="Calibri"/>
                <w:sz w:val="22"/>
                <w:szCs w:val="22"/>
                <w:lang w:val="de-DE"/>
              </w:rPr>
            </w:pPr>
            <w:r>
              <w:rPr>
                <w:rFonts w:eastAsia="Calibri" w:cs="Arial"/>
                <w:sz w:val="20"/>
                <w:szCs w:val="20"/>
                <w:lang w:val="de-DE" w:eastAsia="zh-TW"/>
              </w:rPr>
              <w:t>Proposal to improve interference randomization for the case of length 12 and 24 CGS sequences for PUCCH.</w:t>
            </w:r>
            <w:r>
              <w:rPr>
                <w:rFonts w:eastAsia="Calibri"/>
                <w:sz w:val="22"/>
                <w:szCs w:val="22"/>
                <w:lang w:val="de-DE"/>
              </w:rPr>
              <w:t xml:space="preserve"> </w:t>
            </w:r>
          </w:p>
        </w:tc>
        <w:tc>
          <w:tcPr>
            <w:tcW w:w="1560" w:type="dxa"/>
          </w:tcPr>
          <w:p>
            <w:pPr>
              <w:pStyle w:val="15"/>
              <w:rPr>
                <w:rFonts w:eastAsia="宋体" w:cs="Arial"/>
                <w:bCs/>
                <w:sz w:val="22"/>
                <w:szCs w:val="22"/>
                <w:lang w:val="de-DE" w:eastAsia="ja-JP"/>
              </w:rPr>
            </w:pPr>
            <w:r>
              <w:rPr>
                <w:rFonts w:eastAsia="宋体" w:cs="Arial"/>
                <w:bCs/>
                <w:sz w:val="20"/>
                <w:szCs w:val="20"/>
                <w:lang w:val="de-DE" w:eastAsia="ja-JP"/>
              </w:rPr>
              <w:t>R1-2003744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tcPr>
          <w:p>
            <w:pPr>
              <w:pStyle w:val="15"/>
              <w:rPr>
                <w:rFonts w:eastAsia="宋体"/>
                <w:sz w:val="22"/>
                <w:szCs w:val="22"/>
                <w:lang w:val="de-DE"/>
              </w:rPr>
            </w:pPr>
            <w:r>
              <w:rPr>
                <w:rFonts w:eastAsia="宋体"/>
                <w:sz w:val="22"/>
                <w:szCs w:val="22"/>
                <w:lang w:val="de-DE"/>
              </w:rPr>
              <w:t>5</w:t>
            </w:r>
          </w:p>
        </w:tc>
        <w:tc>
          <w:tcPr>
            <w:tcW w:w="7002" w:type="dxa"/>
          </w:tcPr>
          <w:p>
            <w:pPr>
              <w:pStyle w:val="15"/>
              <w:rPr>
                <w:rFonts w:eastAsia="宋体" w:cs="Arial"/>
                <w:bCs/>
                <w:sz w:val="22"/>
                <w:szCs w:val="22"/>
                <w:lang w:val="en-US"/>
              </w:rPr>
            </w:pPr>
            <w:r>
              <w:rPr>
                <w:rFonts w:eastAsia="Calibri" w:cs="Arial"/>
                <w:sz w:val="20"/>
                <w:szCs w:val="20"/>
                <w:lang w:val="de-DE" w:eastAsia="zh-TW"/>
              </w:rPr>
              <w:t xml:space="preserve">A sentence that the low-PAPR sequence of type 2 changes for different values of </w:t>
            </w:r>
            <m:oMath>
              <m:r>
                <w:rPr>
                  <w:rFonts w:ascii="Cambria Math" w:hAnsi="Cambria Math" w:eastAsia="Calibri" w:cs="Arial"/>
                  <w:sz w:val="20"/>
                  <w:szCs w:val="20"/>
                  <w:lang w:val="de-DE" w:eastAsia="zh-TW"/>
                </w:rPr>
                <m:t>α</m:t>
              </m:r>
            </m:oMath>
            <w:r>
              <w:rPr>
                <w:rFonts w:eastAsia="Calibri" w:cs="Arial"/>
                <w:sz w:val="20"/>
                <w:szCs w:val="20"/>
                <w:lang w:val="de-DE" w:eastAsia="zh-TW"/>
              </w:rPr>
              <w:t xml:space="preserve"> and </w:t>
            </w:r>
            <m:oMath>
              <m:r>
                <w:rPr>
                  <w:rFonts w:ascii="Cambria Math" w:hAnsi="Cambria Math" w:eastAsia="Calibri" w:cs="Arial"/>
                  <w:sz w:val="20"/>
                  <w:szCs w:val="20"/>
                  <w:lang w:val="de-DE" w:eastAsia="zh-TW"/>
                </w:rPr>
                <m:t>δ</m:t>
              </m:r>
            </m:oMath>
            <w:r>
              <w:rPr>
                <w:rFonts w:eastAsia="Calibri" w:cs="Arial"/>
                <w:sz w:val="20"/>
                <w:szCs w:val="20"/>
                <w:lang w:val="de-DE" w:eastAsia="zh-TW"/>
              </w:rPr>
              <w:t xml:space="preserve"> in Section 5.2.3 is incorrect and should be removed/replaced. </w:t>
            </w:r>
          </w:p>
        </w:tc>
        <w:tc>
          <w:tcPr>
            <w:tcW w:w="1560" w:type="dxa"/>
          </w:tcPr>
          <w:p>
            <w:pPr>
              <w:pStyle w:val="15"/>
              <w:rPr>
                <w:rFonts w:eastAsia="宋体" w:cs="Arial"/>
                <w:bCs/>
                <w:sz w:val="22"/>
                <w:szCs w:val="22"/>
                <w:lang w:val="de-DE" w:eastAsia="ja-JP"/>
              </w:rPr>
            </w:pPr>
            <w:r>
              <w:rPr>
                <w:rFonts w:eastAsia="宋体" w:cs="Arial"/>
                <w:bCs/>
                <w:sz w:val="22"/>
                <w:szCs w:val="22"/>
                <w:lang w:val="de-DE" w:eastAsia="ja-JP"/>
              </w:rPr>
              <w:t>R1-2004050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1" w:type="dxa"/>
          </w:tcPr>
          <w:p>
            <w:pPr>
              <w:pStyle w:val="15"/>
              <w:rPr>
                <w:rFonts w:eastAsia="宋体"/>
                <w:sz w:val="22"/>
                <w:szCs w:val="22"/>
                <w:lang w:val="de-DE"/>
              </w:rPr>
            </w:pPr>
            <w:r>
              <w:rPr>
                <w:rFonts w:eastAsia="宋体"/>
                <w:sz w:val="22"/>
                <w:szCs w:val="22"/>
                <w:lang w:val="de-DE"/>
              </w:rPr>
              <w:t>6</w:t>
            </w:r>
          </w:p>
        </w:tc>
        <w:tc>
          <w:tcPr>
            <w:tcW w:w="7002" w:type="dxa"/>
          </w:tcPr>
          <w:p>
            <w:pPr>
              <w:pStyle w:val="15"/>
              <w:rPr>
                <w:rFonts w:eastAsia="宋体"/>
                <w:sz w:val="22"/>
                <w:szCs w:val="22"/>
                <w:lang w:val="de-DE"/>
              </w:rPr>
            </w:pPr>
            <w:r>
              <w:rPr>
                <w:rFonts w:eastAsia="Calibri"/>
                <w:sz w:val="22"/>
                <w:szCs w:val="22"/>
                <w:lang w:val="de-DE"/>
              </w:rPr>
              <w:t xml:space="preserve">RAN1 have introduced different DMRS sequence </w:t>
            </w:r>
            <w:r>
              <w:rPr>
                <w:rFonts w:eastAsia="Calibri"/>
                <w:position w:val="-12"/>
                <w:sz w:val="22"/>
                <w:szCs w:val="22"/>
                <w:lang w:val="de-DE"/>
              </w:rPr>
              <w:drawing>
                <wp:inline distT="0" distB="0" distL="0" distR="0">
                  <wp:extent cx="273685"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rFonts w:eastAsia="Calibri"/>
                <w:sz w:val="22"/>
                <w:szCs w:val="22"/>
                <w:lang w:val="de-DE"/>
              </w:rPr>
              <w:t xml:space="preserve"> on different DMRS ports associated with different CDM group </w:t>
            </w:r>
            <m:oMath>
              <m:r>
                <w:rPr>
                  <w:rFonts w:ascii="Cambria Math" w:hAnsi="Cambria Math" w:eastAsia="Calibri"/>
                  <w:sz w:val="22"/>
                  <w:szCs w:val="22"/>
                  <w:lang w:val="de-DE"/>
                </w:rPr>
                <m:t>λ</m:t>
              </m:r>
            </m:oMath>
            <w:r>
              <w:rPr>
                <w:rFonts w:eastAsia="Calibri"/>
                <w:sz w:val="22"/>
                <w:szCs w:val="22"/>
                <w:lang w:val="de-DE"/>
              </w:rPr>
              <w:t xml:space="preserve"> in Rel.16 PUSCH, The specification in 38.211, </w:t>
            </w:r>
            <w:r>
              <w:rPr>
                <w:rFonts w:eastAsia="Calibri"/>
                <w:sz w:val="22"/>
                <w:szCs w:val="22"/>
                <w:lang w:val="en-GB"/>
              </w:rPr>
              <w:t xml:space="preserve">clause 6.4.1.2.1.1 does not clearly specify </w:t>
            </w:r>
            <w:r>
              <w:rPr>
                <w:rFonts w:eastAsia="Calibri"/>
                <w:position w:val="-12"/>
                <w:sz w:val="22"/>
                <w:szCs w:val="22"/>
                <w:lang w:val="de-DE"/>
              </w:rPr>
              <w:drawing>
                <wp:inline distT="0" distB="0" distL="0" distR="0">
                  <wp:extent cx="273685"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3685" cy="180975"/>
                          </a:xfrm>
                          <a:prstGeom prst="rect">
                            <a:avLst/>
                          </a:prstGeom>
                          <a:noFill/>
                          <a:ln>
                            <a:noFill/>
                          </a:ln>
                        </pic:spPr>
                      </pic:pic>
                    </a:graphicData>
                  </a:graphic>
                </wp:inline>
              </w:drawing>
            </w:r>
            <w:r>
              <w:rPr>
                <w:rFonts w:eastAsia="Calibri"/>
                <w:sz w:val="22"/>
                <w:szCs w:val="22"/>
                <w:lang w:val="de-DE"/>
              </w:rPr>
              <w:t xml:space="preserve"> for a PTRS port </w:t>
            </w:r>
            <w:r>
              <w:rPr>
                <w:rFonts w:eastAsia="Calibri"/>
                <w:position w:val="-12"/>
                <w:sz w:val="22"/>
                <w:szCs w:val="22"/>
                <w:lang w:val="de-DE"/>
              </w:rPr>
              <w:drawing>
                <wp:inline distT="0" distB="0" distL="0" distR="0">
                  <wp:extent cx="180975" cy="1809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Pr>
                <w:rFonts w:eastAsia="Calibri"/>
                <w:sz w:val="22"/>
                <w:szCs w:val="22"/>
                <w:lang w:val="de-DE"/>
              </w:rPr>
              <w:t xml:space="preserve"> or </w:t>
            </w:r>
            <w:r>
              <w:rPr>
                <w:rFonts w:eastAsia="Calibri"/>
                <w:position w:val="-12"/>
                <w:sz w:val="22"/>
                <w:szCs w:val="22"/>
                <w:lang w:val="de-DE"/>
              </w:rPr>
              <w:drawing>
                <wp:inline distT="0" distB="0" distL="0" distR="0">
                  <wp:extent cx="45974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59740" cy="180975"/>
                          </a:xfrm>
                          <a:prstGeom prst="rect">
                            <a:avLst/>
                          </a:prstGeom>
                          <a:noFill/>
                          <a:ln>
                            <a:noFill/>
                          </a:ln>
                        </pic:spPr>
                      </pic:pic>
                    </a:graphicData>
                  </a:graphic>
                </wp:inline>
              </w:drawing>
            </w:r>
            <w:r>
              <w:rPr>
                <w:rFonts w:eastAsia="Calibri"/>
                <w:sz w:val="22"/>
                <w:szCs w:val="22"/>
                <w:lang w:val="de-DE"/>
              </w:rPr>
              <w:t xml:space="preserve"> is based on which CDM group</w:t>
            </w:r>
          </w:p>
        </w:tc>
        <w:tc>
          <w:tcPr>
            <w:tcW w:w="1560" w:type="dxa"/>
          </w:tcPr>
          <w:p>
            <w:pPr>
              <w:pStyle w:val="15"/>
              <w:rPr>
                <w:rFonts w:eastAsia="宋体" w:cs="Arial"/>
                <w:bCs/>
                <w:sz w:val="22"/>
                <w:szCs w:val="22"/>
                <w:lang w:val="de-DE" w:eastAsia="ja-JP"/>
              </w:rPr>
            </w:pPr>
            <w:r>
              <w:rPr>
                <w:rFonts w:eastAsia="宋体" w:cs="Arial"/>
                <w:bCs/>
                <w:sz w:val="22"/>
                <w:szCs w:val="22"/>
                <w:lang w:val="de-DE" w:eastAsia="ja-JP"/>
              </w:rPr>
              <w:t>R1-2004466</w:t>
            </w:r>
          </w:p>
        </w:tc>
      </w:tr>
    </w:tbl>
    <w:p>
      <w:pPr>
        <w:pStyle w:val="15"/>
      </w:pPr>
    </w:p>
    <w:p>
      <w:pPr>
        <w:pStyle w:val="3"/>
      </w:pPr>
      <w:r>
        <w:t>2.2 Editorial issues</w:t>
      </w:r>
    </w:p>
    <w:p>
      <w:pPr>
        <w:pStyle w:val="15"/>
      </w:pPr>
    </w:p>
    <w:tbl>
      <w:tblPr>
        <w:tblStyle w:val="5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700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5"/>
              <w:rPr>
                <w:rFonts w:eastAsia="Calibri"/>
                <w:sz w:val="22"/>
                <w:szCs w:val="22"/>
                <w:lang w:val="de-DE"/>
              </w:rPr>
            </w:pPr>
            <w:r>
              <w:rPr>
                <w:rFonts w:eastAsia="Calibri"/>
                <w:sz w:val="22"/>
                <w:szCs w:val="22"/>
                <w:lang w:val="de-DE"/>
              </w:rPr>
              <w:t>Issue #</w:t>
            </w:r>
          </w:p>
        </w:tc>
        <w:tc>
          <w:tcPr>
            <w:tcW w:w="7000" w:type="dxa"/>
          </w:tcPr>
          <w:p>
            <w:pPr>
              <w:pStyle w:val="15"/>
              <w:rPr>
                <w:rFonts w:eastAsia="Calibri"/>
                <w:sz w:val="22"/>
                <w:szCs w:val="22"/>
                <w:lang w:val="de-DE"/>
              </w:rPr>
            </w:pPr>
            <w:r>
              <w:rPr>
                <w:rFonts w:eastAsia="Calibri"/>
                <w:sz w:val="22"/>
                <w:szCs w:val="22"/>
                <w:lang w:val="de-DE"/>
              </w:rPr>
              <w:t>Description</w:t>
            </w:r>
          </w:p>
        </w:tc>
        <w:tc>
          <w:tcPr>
            <w:tcW w:w="1560" w:type="dxa"/>
          </w:tcPr>
          <w:p>
            <w:pPr>
              <w:pStyle w:val="15"/>
              <w:rPr>
                <w:rFonts w:eastAsia="宋体" w:cs="Arial"/>
                <w:bCs/>
                <w:sz w:val="22"/>
                <w:szCs w:val="22"/>
                <w:lang w:val="de-DE" w:eastAsia="ja-JP"/>
              </w:rPr>
            </w:pPr>
            <w:r>
              <w:rPr>
                <w:rFonts w:eastAsia="宋体" w:cs="Arial"/>
                <w:bCs/>
                <w:sz w:val="22"/>
                <w:szCs w:val="22"/>
                <w:lang w:val="de-DE" w:eastAsia="ja-JP"/>
              </w:rPr>
              <w:t>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5"/>
              <w:rPr>
                <w:rFonts w:eastAsia="Calibri"/>
                <w:sz w:val="22"/>
                <w:szCs w:val="22"/>
                <w:lang w:val="de-DE"/>
              </w:rPr>
            </w:pPr>
            <w:r>
              <w:rPr>
                <w:rFonts w:eastAsia="Calibri"/>
                <w:sz w:val="22"/>
                <w:szCs w:val="22"/>
                <w:lang w:val="de-DE"/>
              </w:rPr>
              <w:t>7</w:t>
            </w:r>
          </w:p>
        </w:tc>
        <w:tc>
          <w:tcPr>
            <w:tcW w:w="7000" w:type="dxa"/>
          </w:tcPr>
          <w:p>
            <w:pPr>
              <w:pStyle w:val="15"/>
              <w:rPr>
                <w:rFonts w:eastAsia="Calibri"/>
                <w:sz w:val="22"/>
                <w:szCs w:val="22"/>
                <w:lang w:val="de-DE"/>
              </w:rPr>
            </w:pPr>
            <w:r>
              <w:rPr>
                <w:rFonts w:eastAsia="Calibri"/>
                <w:sz w:val="22"/>
                <w:szCs w:val="22"/>
                <w:lang w:val="de-DE"/>
              </w:rPr>
              <w:t xml:space="preserve">In 38.212, the reference to 38.211 is wrong, it should be Clause 6.4.1.1.2 instead of 6.4.1.1.1. </w:t>
            </w:r>
          </w:p>
        </w:tc>
        <w:tc>
          <w:tcPr>
            <w:tcW w:w="1560" w:type="dxa"/>
          </w:tcPr>
          <w:p>
            <w:pPr>
              <w:pStyle w:val="15"/>
              <w:rPr>
                <w:rFonts w:eastAsia="Calibri"/>
                <w:sz w:val="22"/>
                <w:szCs w:val="22"/>
                <w:lang w:val="de-DE"/>
              </w:rPr>
            </w:pPr>
            <w:r>
              <w:rPr>
                <w:rFonts w:eastAsia="Calibri"/>
                <w:sz w:val="22"/>
                <w:szCs w:val="22"/>
                <w:lang w:val="de-DE"/>
              </w:rPr>
              <w:t>R1-2003400</w:t>
            </w:r>
          </w:p>
        </w:tc>
      </w:tr>
    </w:tbl>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4</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4</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56B794D"/>
    <w:multiLevelType w:val="multilevel"/>
    <w:tmpl w:val="356B79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7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10"/>
  </w:num>
  <w:num w:numId="7">
    <w:abstractNumId w:val="0"/>
  </w:num>
  <w:num w:numId="8">
    <w:abstractNumId w:val="12"/>
  </w:num>
  <w:num w:numId="9">
    <w:abstractNumId w:val="7"/>
  </w:num>
  <w:num w:numId="10">
    <w:abstractNumId w:val="6"/>
  </w:num>
  <w:num w:numId="11">
    <w:abstractNumId w:val="8"/>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D07"/>
    <w:rsid w:val="000D4797"/>
    <w:rsid w:val="000E0527"/>
    <w:rsid w:val="000E1E92"/>
    <w:rsid w:val="000E50FC"/>
    <w:rsid w:val="000F06D6"/>
    <w:rsid w:val="000F0EB1"/>
    <w:rsid w:val="000F1106"/>
    <w:rsid w:val="000F3BE9"/>
    <w:rsid w:val="000F3F6C"/>
    <w:rsid w:val="000F6DF3"/>
    <w:rsid w:val="001005FF"/>
    <w:rsid w:val="001062FB"/>
    <w:rsid w:val="001063E6"/>
    <w:rsid w:val="00113CF4"/>
    <w:rsid w:val="00114DD1"/>
    <w:rsid w:val="001153EA"/>
    <w:rsid w:val="00115643"/>
    <w:rsid w:val="00116765"/>
    <w:rsid w:val="00117F9B"/>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4E5"/>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C17F4"/>
    <w:rsid w:val="001C1CE5"/>
    <w:rsid w:val="001C3D2A"/>
    <w:rsid w:val="001D51BA"/>
    <w:rsid w:val="001D53E7"/>
    <w:rsid w:val="001D6342"/>
    <w:rsid w:val="001D6D53"/>
    <w:rsid w:val="001E0D53"/>
    <w:rsid w:val="001E3B4E"/>
    <w:rsid w:val="001E58E2"/>
    <w:rsid w:val="001E7AED"/>
    <w:rsid w:val="001F3916"/>
    <w:rsid w:val="001F54C5"/>
    <w:rsid w:val="001F57A2"/>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895"/>
    <w:rsid w:val="002319E4"/>
    <w:rsid w:val="0023226A"/>
    <w:rsid w:val="00235632"/>
    <w:rsid w:val="00235872"/>
    <w:rsid w:val="00241559"/>
    <w:rsid w:val="002435B3"/>
    <w:rsid w:val="002458EB"/>
    <w:rsid w:val="002500C8"/>
    <w:rsid w:val="00255300"/>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41E6"/>
    <w:rsid w:val="002D071A"/>
    <w:rsid w:val="002D34B2"/>
    <w:rsid w:val="002D3581"/>
    <w:rsid w:val="002D423E"/>
    <w:rsid w:val="002D48B0"/>
    <w:rsid w:val="002D5B37"/>
    <w:rsid w:val="002D7637"/>
    <w:rsid w:val="002E14FF"/>
    <w:rsid w:val="002E17F2"/>
    <w:rsid w:val="002E7CAE"/>
    <w:rsid w:val="002F13E4"/>
    <w:rsid w:val="002F1B7B"/>
    <w:rsid w:val="002F2771"/>
    <w:rsid w:val="002F37A9"/>
    <w:rsid w:val="00301CE6"/>
    <w:rsid w:val="0030256B"/>
    <w:rsid w:val="00304596"/>
    <w:rsid w:val="0030501F"/>
    <w:rsid w:val="00307BA1"/>
    <w:rsid w:val="00311702"/>
    <w:rsid w:val="00311E82"/>
    <w:rsid w:val="00312669"/>
    <w:rsid w:val="00313FD6"/>
    <w:rsid w:val="003143BD"/>
    <w:rsid w:val="00315363"/>
    <w:rsid w:val="003203ED"/>
    <w:rsid w:val="00322C9F"/>
    <w:rsid w:val="00324D23"/>
    <w:rsid w:val="00331751"/>
    <w:rsid w:val="00334579"/>
    <w:rsid w:val="00335858"/>
    <w:rsid w:val="00336BDA"/>
    <w:rsid w:val="00342BD7"/>
    <w:rsid w:val="00346DB5"/>
    <w:rsid w:val="003477B1"/>
    <w:rsid w:val="00356C57"/>
    <w:rsid w:val="00357380"/>
    <w:rsid w:val="003602D9"/>
    <w:rsid w:val="003604CE"/>
    <w:rsid w:val="00362839"/>
    <w:rsid w:val="00370E47"/>
    <w:rsid w:val="003742AC"/>
    <w:rsid w:val="00377CE1"/>
    <w:rsid w:val="00385BF0"/>
    <w:rsid w:val="00391E9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223"/>
    <w:rsid w:val="003D5B1F"/>
    <w:rsid w:val="003E15FA"/>
    <w:rsid w:val="003E55E4"/>
    <w:rsid w:val="003E74E3"/>
    <w:rsid w:val="003F05C7"/>
    <w:rsid w:val="003F2CD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D72"/>
    <w:rsid w:val="00437447"/>
    <w:rsid w:val="00441A92"/>
    <w:rsid w:val="004431DC"/>
    <w:rsid w:val="00444F56"/>
    <w:rsid w:val="00446488"/>
    <w:rsid w:val="004517AA"/>
    <w:rsid w:val="004517DC"/>
    <w:rsid w:val="00452946"/>
    <w:rsid w:val="00452CAC"/>
    <w:rsid w:val="00453F6D"/>
    <w:rsid w:val="00457565"/>
    <w:rsid w:val="00457970"/>
    <w:rsid w:val="00457B71"/>
    <w:rsid w:val="00461560"/>
    <w:rsid w:val="00462063"/>
    <w:rsid w:val="00464689"/>
    <w:rsid w:val="004669E2"/>
    <w:rsid w:val="00470C31"/>
    <w:rsid w:val="00471DE0"/>
    <w:rsid w:val="004734D0"/>
    <w:rsid w:val="0047556B"/>
    <w:rsid w:val="00477768"/>
    <w:rsid w:val="00483B1C"/>
    <w:rsid w:val="004855B4"/>
    <w:rsid w:val="00492BC5"/>
    <w:rsid w:val="00494886"/>
    <w:rsid w:val="004964F1"/>
    <w:rsid w:val="00497601"/>
    <w:rsid w:val="004A16BC"/>
    <w:rsid w:val="004A21ED"/>
    <w:rsid w:val="004A2B94"/>
    <w:rsid w:val="004B6F6A"/>
    <w:rsid w:val="004B7C0C"/>
    <w:rsid w:val="004C3898"/>
    <w:rsid w:val="004D115F"/>
    <w:rsid w:val="004D36B1"/>
    <w:rsid w:val="004D5A05"/>
    <w:rsid w:val="004D7EBD"/>
    <w:rsid w:val="004E001C"/>
    <w:rsid w:val="004E143F"/>
    <w:rsid w:val="004E2680"/>
    <w:rsid w:val="004E28F9"/>
    <w:rsid w:val="004E462E"/>
    <w:rsid w:val="004E56DC"/>
    <w:rsid w:val="004E5FBA"/>
    <w:rsid w:val="004E76F4"/>
    <w:rsid w:val="004F0B4E"/>
    <w:rsid w:val="004F0B6C"/>
    <w:rsid w:val="004F2078"/>
    <w:rsid w:val="004F3769"/>
    <w:rsid w:val="004F4DA3"/>
    <w:rsid w:val="004F718D"/>
    <w:rsid w:val="00506557"/>
    <w:rsid w:val="0050677A"/>
    <w:rsid w:val="005108D8"/>
    <w:rsid w:val="005116F9"/>
    <w:rsid w:val="00511715"/>
    <w:rsid w:val="005153A7"/>
    <w:rsid w:val="005219CF"/>
    <w:rsid w:val="00534B59"/>
    <w:rsid w:val="00536759"/>
    <w:rsid w:val="00537C62"/>
    <w:rsid w:val="00546970"/>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595D"/>
    <w:rsid w:val="005B6F83"/>
    <w:rsid w:val="005C544B"/>
    <w:rsid w:val="005C74FB"/>
    <w:rsid w:val="005D1602"/>
    <w:rsid w:val="005D26AA"/>
    <w:rsid w:val="005E385F"/>
    <w:rsid w:val="005E5B81"/>
    <w:rsid w:val="005F2CB1"/>
    <w:rsid w:val="005F3025"/>
    <w:rsid w:val="005F618C"/>
    <w:rsid w:val="005F70BD"/>
    <w:rsid w:val="0060283C"/>
    <w:rsid w:val="00604F14"/>
    <w:rsid w:val="00606561"/>
    <w:rsid w:val="00611B83"/>
    <w:rsid w:val="00613257"/>
    <w:rsid w:val="00620A71"/>
    <w:rsid w:val="00620D80"/>
    <w:rsid w:val="006234A6"/>
    <w:rsid w:val="00624B67"/>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115F"/>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2908"/>
    <w:rsid w:val="0070346E"/>
    <w:rsid w:val="00704EDB"/>
    <w:rsid w:val="00706101"/>
    <w:rsid w:val="00707072"/>
    <w:rsid w:val="00707D61"/>
    <w:rsid w:val="00712287"/>
    <w:rsid w:val="00712772"/>
    <w:rsid w:val="007148D3"/>
    <w:rsid w:val="00715B9A"/>
    <w:rsid w:val="0071605A"/>
    <w:rsid w:val="007218EF"/>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1715"/>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7F533C"/>
    <w:rsid w:val="00803FAE"/>
    <w:rsid w:val="0080605F"/>
    <w:rsid w:val="00807786"/>
    <w:rsid w:val="00810196"/>
    <w:rsid w:val="00811FCB"/>
    <w:rsid w:val="008158D6"/>
    <w:rsid w:val="0081658C"/>
    <w:rsid w:val="00817196"/>
    <w:rsid w:val="00820450"/>
    <w:rsid w:val="008235DB"/>
    <w:rsid w:val="00824AB4"/>
    <w:rsid w:val="00825C42"/>
    <w:rsid w:val="00825D25"/>
    <w:rsid w:val="00827D6F"/>
    <w:rsid w:val="008376AC"/>
    <w:rsid w:val="008444E8"/>
    <w:rsid w:val="00844E80"/>
    <w:rsid w:val="00846FE7"/>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7FB"/>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5BBE"/>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496B"/>
    <w:rsid w:val="008F5E16"/>
    <w:rsid w:val="009003EA"/>
    <w:rsid w:val="009012AE"/>
    <w:rsid w:val="00902350"/>
    <w:rsid w:val="0090336B"/>
    <w:rsid w:val="009053AA"/>
    <w:rsid w:val="00906939"/>
    <w:rsid w:val="00910B7D"/>
    <w:rsid w:val="00911DFB"/>
    <w:rsid w:val="009139D9"/>
    <w:rsid w:val="00914AD8"/>
    <w:rsid w:val="00915481"/>
    <w:rsid w:val="00916079"/>
    <w:rsid w:val="009165BA"/>
    <w:rsid w:val="00917CE9"/>
    <w:rsid w:val="00920BF2"/>
    <w:rsid w:val="00922010"/>
    <w:rsid w:val="00923F90"/>
    <w:rsid w:val="00926909"/>
    <w:rsid w:val="00931BD9"/>
    <w:rsid w:val="009368F3"/>
    <w:rsid w:val="00936EA9"/>
    <w:rsid w:val="00941636"/>
    <w:rsid w:val="00942781"/>
    <w:rsid w:val="00943742"/>
    <w:rsid w:val="0094495D"/>
    <w:rsid w:val="00945C05"/>
    <w:rsid w:val="00946945"/>
    <w:rsid w:val="00946952"/>
    <w:rsid w:val="00947713"/>
    <w:rsid w:val="00950DE7"/>
    <w:rsid w:val="00953604"/>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CBA"/>
    <w:rsid w:val="009A6369"/>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314"/>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61499"/>
    <w:rsid w:val="00A62A77"/>
    <w:rsid w:val="00A63483"/>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594"/>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81A6C"/>
    <w:rsid w:val="00B843BF"/>
    <w:rsid w:val="00B85DE5"/>
    <w:rsid w:val="00B90F73"/>
    <w:rsid w:val="00B93B59"/>
    <w:rsid w:val="00B9406A"/>
    <w:rsid w:val="00BA2280"/>
    <w:rsid w:val="00BA2A08"/>
    <w:rsid w:val="00BA2ABE"/>
    <w:rsid w:val="00BA56D2"/>
    <w:rsid w:val="00BA76E0"/>
    <w:rsid w:val="00BB0D9A"/>
    <w:rsid w:val="00BB1F37"/>
    <w:rsid w:val="00BB2A25"/>
    <w:rsid w:val="00BB51E9"/>
    <w:rsid w:val="00BB720D"/>
    <w:rsid w:val="00BC0FDC"/>
    <w:rsid w:val="00BC2DEB"/>
    <w:rsid w:val="00BC3053"/>
    <w:rsid w:val="00BC4D2E"/>
    <w:rsid w:val="00BD48AC"/>
    <w:rsid w:val="00BD5F1A"/>
    <w:rsid w:val="00BE10D7"/>
    <w:rsid w:val="00BE1234"/>
    <w:rsid w:val="00BE2FA6"/>
    <w:rsid w:val="00BE333F"/>
    <w:rsid w:val="00BE6B2A"/>
    <w:rsid w:val="00BE7406"/>
    <w:rsid w:val="00BE7603"/>
    <w:rsid w:val="00BF3279"/>
    <w:rsid w:val="00BF74C7"/>
    <w:rsid w:val="00C00279"/>
    <w:rsid w:val="00C00D9D"/>
    <w:rsid w:val="00C015F1"/>
    <w:rsid w:val="00C01F33"/>
    <w:rsid w:val="00C02CC6"/>
    <w:rsid w:val="00C0331E"/>
    <w:rsid w:val="00C040E1"/>
    <w:rsid w:val="00C040F7"/>
    <w:rsid w:val="00C044AB"/>
    <w:rsid w:val="00C05706"/>
    <w:rsid w:val="00C07377"/>
    <w:rsid w:val="00C10478"/>
    <w:rsid w:val="00C12107"/>
    <w:rsid w:val="00C14D4B"/>
    <w:rsid w:val="00C154BB"/>
    <w:rsid w:val="00C24E9C"/>
    <w:rsid w:val="00C279B5"/>
    <w:rsid w:val="00C27C45"/>
    <w:rsid w:val="00C35007"/>
    <w:rsid w:val="00C3719D"/>
    <w:rsid w:val="00C37CB2"/>
    <w:rsid w:val="00C473A5"/>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A395F"/>
    <w:rsid w:val="00CB1F63"/>
    <w:rsid w:val="00CB7170"/>
    <w:rsid w:val="00CC040E"/>
    <w:rsid w:val="00CC111F"/>
    <w:rsid w:val="00CC2011"/>
    <w:rsid w:val="00CC3EA0"/>
    <w:rsid w:val="00CC4B52"/>
    <w:rsid w:val="00CC77AA"/>
    <w:rsid w:val="00CC7B45"/>
    <w:rsid w:val="00CD118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0256"/>
    <w:rsid w:val="00DA305E"/>
    <w:rsid w:val="00DA5417"/>
    <w:rsid w:val="00DA56E8"/>
    <w:rsid w:val="00DB0A9F"/>
    <w:rsid w:val="00DB377D"/>
    <w:rsid w:val="00DC1CB2"/>
    <w:rsid w:val="00DC2D36"/>
    <w:rsid w:val="00DC53EF"/>
    <w:rsid w:val="00DD4B10"/>
    <w:rsid w:val="00DD6CBF"/>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3223"/>
    <w:rsid w:val="00E758EC"/>
    <w:rsid w:val="00E8234C"/>
    <w:rsid w:val="00E83974"/>
    <w:rsid w:val="00E83AA9"/>
    <w:rsid w:val="00E85928"/>
    <w:rsid w:val="00E87822"/>
    <w:rsid w:val="00E87BA1"/>
    <w:rsid w:val="00E90395"/>
    <w:rsid w:val="00E90E49"/>
    <w:rsid w:val="00E917F9"/>
    <w:rsid w:val="00E9291C"/>
    <w:rsid w:val="00E93FFE"/>
    <w:rsid w:val="00E94F8A"/>
    <w:rsid w:val="00EA7A41"/>
    <w:rsid w:val="00EB077B"/>
    <w:rsid w:val="00EB4EA2"/>
    <w:rsid w:val="00EC24D5"/>
    <w:rsid w:val="00EC27C6"/>
    <w:rsid w:val="00EC4207"/>
    <w:rsid w:val="00EC5653"/>
    <w:rsid w:val="00EC642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A62"/>
    <w:rsid w:val="00F46E2B"/>
    <w:rsid w:val="00F4766C"/>
    <w:rsid w:val="00F5060E"/>
    <w:rsid w:val="00F507D1"/>
    <w:rsid w:val="00F519CE"/>
    <w:rsid w:val="00F51ADA"/>
    <w:rsid w:val="00F5221D"/>
    <w:rsid w:val="00F57E25"/>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 w:val="0B947DDC"/>
    <w:rsid w:val="0D517EEE"/>
    <w:rsid w:val="15742875"/>
    <w:rsid w:val="16DD3B20"/>
    <w:rsid w:val="20965622"/>
    <w:rsid w:val="20974DB5"/>
    <w:rsid w:val="2D954845"/>
    <w:rsid w:val="34B20454"/>
    <w:rsid w:val="3A512EF6"/>
    <w:rsid w:val="447974B2"/>
    <w:rsid w:val="45382AAC"/>
    <w:rsid w:val="52382C0F"/>
    <w:rsid w:val="5F3E3B53"/>
    <w:rsid w:val="630B6025"/>
    <w:rsid w:val="63EB11FA"/>
    <w:rsid w:val="683135BD"/>
    <w:rsid w:val="6E55776C"/>
    <w:rsid w:val="74B62932"/>
    <w:rsid w:val="76512F99"/>
    <w:rsid w:val="76C85B18"/>
    <w:rsid w:val="7C951236"/>
    <w:rsid w:val="7D9079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rPr>
      <w:lang w:eastAsia="ja-JP"/>
    </w:rPr>
  </w:style>
  <w:style w:type="paragraph" w:styleId="14">
    <w:name w:val="List"/>
    <w:basedOn w:val="15"/>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uiPriority w:val="0"/>
    <w:pPr>
      <w:numPr>
        <w:numId w:val="5"/>
      </w:numPr>
    </w:pPr>
  </w:style>
  <w:style w:type="paragraph" w:styleId="28">
    <w:name w:val="List Bullet"/>
    <w:basedOn w:val="14"/>
    <w:uiPriority w:val="0"/>
    <w:pPr>
      <w:numPr>
        <w:ilvl w:val="0"/>
        <w:numId w:val="6"/>
      </w:numPr>
    </w:pPr>
    <w:rPr>
      <w:lang w:eastAsia="ja-JP"/>
    </w:rPr>
  </w:style>
  <w:style w:type="paragraph" w:styleId="29">
    <w:name w:val="caption"/>
    <w:basedOn w:val="1"/>
    <w:next w:val="1"/>
    <w:link w:val="150"/>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uiPriority w:val="0"/>
    <w:pPr>
      <w:numPr>
        <w:numId w:val="8"/>
      </w:numPr>
    </w:pPr>
  </w:style>
  <w:style w:type="paragraph" w:styleId="36">
    <w:name w:val="toc 8"/>
    <w:basedOn w:val="22"/>
    <w:next w:val="1"/>
    <w:uiPriority w:val="39"/>
    <w:pPr>
      <w:spacing w:before="180"/>
      <w:ind w:left="2693" w:hanging="2693"/>
    </w:pPr>
    <w:rPr>
      <w:b/>
    </w:rPr>
  </w:style>
  <w:style w:type="paragraph" w:styleId="37">
    <w:name w:val="Balloon Text"/>
    <w:basedOn w:val="1"/>
    <w:link w:val="108"/>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uiPriority w:val="99"/>
    <w:pPr>
      <w:overflowPunct/>
      <w:autoSpaceDE/>
      <w:autoSpaceDN/>
      <w:adjustRightInd/>
      <w:spacing w:before="100" w:beforeAutospacing="1" w:after="100" w:afterAutospacing="1"/>
      <w:textAlignment w:val="auto"/>
    </w:pPr>
    <w:rPr>
      <w:rFonts w:ascii="Calibri" w:hAnsi="Calibri" w:cs="Calibri" w:eastAsiaTheme="minorEastAsia"/>
      <w:sz w:val="22"/>
      <w:szCs w:val="22"/>
      <w:lang w:val="sv-SE" w:eastAsia="zh-CN"/>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701"/>
        <w:tab w:val="clear" w:pos="1304"/>
      </w:tabs>
      <w:ind w:left="1701" w:hanging="1701"/>
    </w:pPr>
    <w:rPr>
      <w:b/>
      <w:bCs/>
    </w:rPr>
  </w:style>
  <w:style w:type="character" w:customStyle="1" w:styleId="74">
    <w:name w:val="Body Text Char"/>
    <w:link w:val="15"/>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link w:val="149"/>
    <w:qFormat/>
    <w:uiPriority w:val="0"/>
    <w:pPr>
      <w:jc w:val="center"/>
    </w:pPr>
  </w:style>
  <w:style w:type="paragraph" w:customStyle="1" w:styleId="80">
    <w:name w:val="TAH"/>
    <w:basedOn w:val="79"/>
    <w:link w:val="141"/>
    <w:uiPriority w:val="0"/>
    <w:rPr>
      <w:b/>
    </w:rPr>
  </w:style>
  <w:style w:type="paragraph" w:customStyle="1" w:styleId="81">
    <w:name w:val="TAN"/>
    <w:basedOn w:val="78"/>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89">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90">
    <w:name w:val="ZGSM"/>
    <w:uiPriority w:val="0"/>
  </w:style>
  <w:style w:type="paragraph" w:customStyle="1" w:styleId="9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3">
    <w:name w:val="ZTD"/>
    <w:basedOn w:val="87"/>
    <w:uiPriority w:val="0"/>
    <w:pPr>
      <w:framePr w:hRule="auto" w:y="852"/>
    </w:pPr>
    <w:rPr>
      <w:i w:val="0"/>
      <w:sz w:val="40"/>
    </w:rPr>
  </w:style>
  <w:style w:type="paragraph" w:customStyle="1" w:styleId="94">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5">
    <w:name w:val="ZV"/>
    <w:basedOn w:val="94"/>
    <w:uiPriority w:val="0"/>
    <w:pPr>
      <w:framePr w:y="16161"/>
    </w:pPr>
  </w:style>
  <w:style w:type="paragraph" w:customStyle="1" w:styleId="96">
    <w:name w:val="FP"/>
    <w:basedOn w:val="1"/>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uiPriority w:val="0"/>
    <w:rPr>
      <w:rFonts w:ascii="Times New Roman" w:hAnsi="Times New Roman"/>
      <w:lang w:eastAsia="ja-JP"/>
    </w:rPr>
  </w:style>
  <w:style w:type="character" w:customStyle="1" w:styleId="102">
    <w:name w:val="B5 Char"/>
    <w:link w:val="75"/>
    <w:uiPriority w:val="0"/>
    <w:rPr>
      <w:rFonts w:ascii="Times New Roman" w:hAnsi="Times New Roman"/>
      <w:lang w:eastAsia="ja-JP"/>
    </w:rPr>
  </w:style>
  <w:style w:type="paragraph" w:customStyle="1" w:styleId="103">
    <w:name w:val="B6"/>
    <w:basedOn w:val="75"/>
    <w:link w:val="104"/>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uiPriority w:val="0"/>
    <w:pPr>
      <w:ind w:left="2269"/>
    </w:pPr>
  </w:style>
  <w:style w:type="character" w:customStyle="1" w:styleId="106">
    <w:name w:val="B7 Char"/>
    <w:basedOn w:val="104"/>
    <w:link w:val="105"/>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sz w:val="18"/>
      <w:szCs w:val="18"/>
      <w:lang w:eastAsia="ja-JP"/>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Times New Roman" w:cs="Times New Roman"/>
      <w:lang w:val="en-GB" w:eastAsia="ko-KR" w:bidi="ar-SA"/>
    </w:rPr>
  </w:style>
  <w:style w:type="character" w:customStyle="1" w:styleId="112">
    <w:name w:val="CR Cover Page Zchn"/>
    <w:link w:val="111"/>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locked/>
    <w:uiPriority w:val="0"/>
    <w:rPr>
      <w:rFonts w:ascii="Arial" w:hAnsi="Arial" w:eastAsia="MS Mincho"/>
      <w:szCs w:val="24"/>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uiPriority w:val="0"/>
    <w:rPr>
      <w:rFonts w:ascii="Times New Roman" w:hAnsi="Times New Roman"/>
      <w:color w:val="FF0000"/>
      <w:lang w:val="zh-CN" w:eastAsia="zh-CN"/>
    </w:rPr>
  </w:style>
  <w:style w:type="paragraph" w:customStyle="1" w:styleId="118">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Header Char"/>
    <w:link w:val="39"/>
    <w:uiPriority w:val="0"/>
    <w:rPr>
      <w:rFonts w:ascii="Arial" w:hAnsi="Arial"/>
      <w:b/>
      <w:sz w:val="18"/>
      <w:lang w:eastAsia="ja-JP"/>
    </w:rPr>
  </w:style>
  <w:style w:type="character" w:customStyle="1" w:styleId="121">
    <w:name w:val="Footer Char"/>
    <w:link w:val="38"/>
    <w:uiPriority w:val="0"/>
    <w:rPr>
      <w:rFonts w:ascii="Arial" w:hAnsi="Arial"/>
      <w:b/>
      <w:i/>
      <w:sz w:val="18"/>
      <w:lang w:eastAsia="ja-JP"/>
    </w:rPr>
  </w:style>
  <w:style w:type="character" w:customStyle="1" w:styleId="122">
    <w:name w:val="Footnote Text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ascii="Arial" w:hAnsi="Arial"/>
      <w:sz w:val="32"/>
      <w:lang w:eastAsia="ja-JP"/>
    </w:rPr>
  </w:style>
  <w:style w:type="character" w:customStyle="1" w:styleId="125">
    <w:name w:val="Heading 3 Char"/>
    <w:link w:val="4"/>
    <w:qFormat/>
    <w:uiPriority w:val="0"/>
    <w:rPr>
      <w:rFonts w:ascii="Arial" w:hAnsi="Arial"/>
      <w:sz w:val="28"/>
      <w:lang w:eastAsia="ja-JP"/>
    </w:rPr>
  </w:style>
  <w:style w:type="character" w:customStyle="1" w:styleId="126">
    <w:name w:val="Heading 4 Char"/>
    <w:link w:val="5"/>
    <w:qFormat/>
    <w:uiPriority w:val="0"/>
    <w:rPr>
      <w:rFonts w:ascii="Arial" w:hAnsi="Arial"/>
      <w:sz w:val="24"/>
      <w:lang w:eastAsia="ja-JP"/>
    </w:rPr>
  </w:style>
  <w:style w:type="character" w:customStyle="1" w:styleId="127">
    <w:name w:val="Heading 5 Char"/>
    <w:link w:val="6"/>
    <w:qFormat/>
    <w:uiPriority w:val="0"/>
    <w:rPr>
      <w:rFonts w:ascii="Arial" w:hAnsi="Arial"/>
      <w:sz w:val="22"/>
      <w:lang w:eastAsia="ja-JP"/>
    </w:rPr>
  </w:style>
  <w:style w:type="character" w:customStyle="1" w:styleId="128">
    <w:name w:val="Heading 6 Char"/>
    <w:link w:val="7"/>
    <w:qFormat/>
    <w:uiPriority w:val="0"/>
    <w:rPr>
      <w:rFonts w:ascii="Arial" w:hAnsi="Arial"/>
      <w:lang w:eastAsia="ja-JP"/>
    </w:rPr>
  </w:style>
  <w:style w:type="character" w:customStyle="1" w:styleId="129">
    <w:name w:val="Heading 7 Char"/>
    <w:link w:val="9"/>
    <w:qFormat/>
    <w:uiPriority w:val="0"/>
    <w:rPr>
      <w:rFonts w:ascii="Arial" w:hAnsi="Arial"/>
      <w:lang w:eastAsia="ja-JP"/>
    </w:rPr>
  </w:style>
  <w:style w:type="character" w:customStyle="1" w:styleId="130">
    <w:name w:val="Heading 8 Char"/>
    <w:link w:val="10"/>
    <w:qFormat/>
    <w:uiPriority w:val="0"/>
    <w:rPr>
      <w:rFonts w:ascii="Arial" w:hAnsi="Arial"/>
      <w:sz w:val="36"/>
      <w:lang w:eastAsia="ja-JP"/>
    </w:rPr>
  </w:style>
  <w:style w:type="character" w:customStyle="1" w:styleId="131">
    <w:name w:val="Heading 9 Char"/>
    <w:link w:val="11"/>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List Paragraph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paragraph" w:customStyle="1" w:styleId="147">
    <w:name w:val="IvD bodytext"/>
    <w:basedOn w:val="15"/>
    <w:link w:val="148"/>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48">
    <w:name w:val="IvD bodytext Char"/>
    <w:basedOn w:val="53"/>
    <w:link w:val="147"/>
    <w:qFormat/>
    <w:uiPriority w:val="0"/>
    <w:rPr>
      <w:rFonts w:ascii="Arial" w:hAnsi="Arial"/>
      <w:spacing w:val="2"/>
      <w:lang w:val="en-US" w:eastAsia="en-US"/>
    </w:rPr>
  </w:style>
  <w:style w:type="character" w:customStyle="1" w:styleId="149">
    <w:name w:val="TAC Char"/>
    <w:link w:val="79"/>
    <w:locked/>
    <w:uiPriority w:val="0"/>
    <w:rPr>
      <w:rFonts w:ascii="Arial" w:hAnsi="Arial"/>
      <w:sz w:val="18"/>
      <w:lang w:val="zh-CN" w:eastAsia="zh-CN"/>
    </w:rPr>
  </w:style>
  <w:style w:type="character" w:customStyle="1" w:styleId="150">
    <w:name w:val="Caption Char"/>
    <w:basedOn w:val="53"/>
    <w:link w:val="29"/>
    <w:uiPriority w:val="0"/>
    <w:rPr>
      <w:rFonts w:ascii="Times New Roman" w:hAnsi="Times New Roman"/>
      <w:b/>
    </w:rPr>
  </w:style>
  <w:style w:type="character" w:customStyle="1" w:styleId="151">
    <w:name w:val="B1 Zchn"/>
    <w:qFormat/>
    <w:uiPriority w:val="0"/>
    <w:rPr>
      <w:lang w:eastAsia="en-US"/>
    </w:rPr>
  </w:style>
  <w:style w:type="character" w:styleId="152">
    <w:name w:val="Placeholder Text"/>
    <w:basedOn w:val="5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wmf"/><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bad7a974e1ea52b8b355ca48abb2da2">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6cf5d9564230f6b6ea501c952b5ba615"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BF0CE-513B-4EC2-9FB2-4E333FB7BDA0}">
  <ds:schemaRefs/>
</ds:datastoreItem>
</file>

<file path=customXml/itemProps3.xml><?xml version="1.0" encoding="utf-8"?>
<ds:datastoreItem xmlns:ds="http://schemas.openxmlformats.org/officeDocument/2006/customXml" ds:itemID="{C08889CA-CF25-44DD-B38A-03277614784A}">
  <ds:schemaRefs/>
</ds:datastoreItem>
</file>

<file path=customXml/itemProps4.xml><?xml version="1.0" encoding="utf-8"?>
<ds:datastoreItem xmlns:ds="http://schemas.openxmlformats.org/officeDocument/2006/customXml" ds:itemID="{C93A020F-C79F-4126-A924-A5569F12E27A}">
  <ds:schemaRefs/>
</ds:datastoreItem>
</file>

<file path=customXml/itemProps5.xml><?xml version="1.0" encoding="utf-8"?>
<ds:datastoreItem xmlns:ds="http://schemas.openxmlformats.org/officeDocument/2006/customXml" ds:itemID="{36B0C352-F6F1-4C66-A090-AF2CFF6C6702}">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Company>Ericsson</Company>
  <Pages>2</Pages>
  <Words>474</Words>
  <Characters>2461</Characters>
  <Lines>20</Lines>
  <Paragraphs>5</Paragraphs>
  <TotalTime>3</TotalTime>
  <ScaleCrop>false</ScaleCrop>
  <LinksUpToDate>false</LinksUpToDate>
  <CharactersWithSpaces>2930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2020-05-18T08:25:00Z</dcterms:created>
  <dc:creator>Mattias Frenne</dc:creator>
  <cp:keywords>3GPP; Ericsson; TDoc</cp:keywords>
  <cp:lastModifiedBy>ZTE</cp:lastModifiedBy>
  <cp:lastPrinted>2008-01-31T07:09:00Z</cp:lastPrinted>
  <dcterms:modified xsi:type="dcterms:W3CDTF">2020-05-19T02:59:10Z</dcterms:modified>
  <dc:title>Ericsson</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KSOProductBuildVer">
    <vt:lpwstr>2052-11.8.2.8696</vt:lpwstr>
  </property>
</Properties>
</file>