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6C" w:rsidRPr="00D6644C" w:rsidRDefault="00B309D9" w:rsidP="00AE2D24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6644C">
        <w:rPr>
          <w:rFonts w:ascii="Times New Roman" w:hAnsi="Times New Roman" w:cs="Times New Roman"/>
          <w:sz w:val="28"/>
        </w:rPr>
        <w:t>Agreement on EVM in Rel.16</w:t>
      </w:r>
    </w:p>
    <w:p w:rsidR="00D6644C" w:rsidRDefault="00D6644C" w:rsidP="00AE2D24">
      <w:pPr>
        <w:snapToGrid w:val="0"/>
        <w:spacing w:after="0" w:line="240" w:lineRule="auto"/>
        <w:rPr>
          <w:b/>
          <w:bCs/>
          <w:highlight w:val="green"/>
          <w:lang w:val="en-GB" w:eastAsia="x-none"/>
        </w:rPr>
      </w:pPr>
    </w:p>
    <w:p w:rsidR="00D6644C" w:rsidRDefault="00D6644C" w:rsidP="00AE2D24">
      <w:pPr>
        <w:snapToGrid w:val="0"/>
        <w:spacing w:after="0" w:line="240" w:lineRule="auto"/>
        <w:rPr>
          <w:b/>
          <w:bCs/>
          <w:highlight w:val="green"/>
          <w:lang w:val="en-GB" w:eastAsia="x-none"/>
        </w:rPr>
      </w:pPr>
    </w:p>
    <w:p w:rsidR="00D6644C" w:rsidRDefault="00D6644C" w:rsidP="00AE2D24">
      <w:pPr>
        <w:snapToGrid w:val="0"/>
        <w:spacing w:after="0" w:line="240" w:lineRule="auto"/>
        <w:rPr>
          <w:b/>
          <w:bCs/>
          <w:highlight w:val="green"/>
          <w:lang w:val="en-GB" w:eastAsia="x-none"/>
        </w:rPr>
      </w:pPr>
      <w:r>
        <w:rPr>
          <w:b/>
          <w:bCs/>
          <w:highlight w:val="green"/>
          <w:lang w:val="en-GB" w:eastAsia="x-none"/>
        </w:rPr>
        <w:t>Agreement</w:t>
      </w:r>
    </w:p>
    <w:p w:rsidR="00D6644C" w:rsidRDefault="00D6644C" w:rsidP="00AE2D24">
      <w:pPr>
        <w:snapToGrid w:val="0"/>
        <w:spacing w:after="0" w:line="240" w:lineRule="auto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lang w:val="en-GB"/>
        </w:rPr>
        <w:t>Existing EVM (Table A.2.1-1 of TS38.802 or NR phase 2 EVM) can be a starting point with additional updates.</w:t>
      </w:r>
    </w:p>
    <w:p w:rsidR="00D6644C" w:rsidRDefault="00D6644C" w:rsidP="00AE2D24">
      <w:pPr>
        <w:snapToGri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Proposal 2-0: Use the table 2-1 with the following additional updates</w:t>
      </w:r>
    </w:p>
    <w:p w:rsidR="006F77FB" w:rsidRDefault="006F77FB" w:rsidP="00AE2D24">
      <w:pPr>
        <w:snapToGrid w:val="0"/>
        <w:spacing w:after="0" w:line="240" w:lineRule="auto"/>
        <w:rPr>
          <w:rFonts w:ascii="Times New Roman" w:hAnsi="Times New Roman"/>
          <w:lang w:val="en-GB"/>
        </w:rPr>
      </w:pPr>
    </w:p>
    <w:p w:rsidR="00D6644C" w:rsidRDefault="00D6644C" w:rsidP="00AE2D24">
      <w:pPr>
        <w:snapToGrid w:val="0"/>
        <w:spacing w:after="0" w:line="240" w:lineRule="auto"/>
        <w:jc w:val="center"/>
        <w:rPr>
          <w:rFonts w:ascii="Times" w:hAnsi="Times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Table 2-1</w:t>
      </w:r>
      <w:r>
        <w:rPr>
          <w:rFonts w:ascii="Times New Roman" w:hAnsi="Times New Roman"/>
          <w:lang w:val="en-GB"/>
        </w:rPr>
        <w:t xml:space="preserve">. SLS assumptions for CSI enhancement </w:t>
      </w:r>
    </w:p>
    <w:tbl>
      <w:tblPr>
        <w:tblW w:w="9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804"/>
        <w:gridCol w:w="6685"/>
      </w:tblGrid>
      <w:tr w:rsidR="00D6644C" w:rsidTr="00AE2D24">
        <w:tc>
          <w:tcPr>
            <w:tcW w:w="3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Parameter</w:t>
            </w:r>
          </w:p>
        </w:tc>
        <w:tc>
          <w:tcPr>
            <w:tcW w:w="6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Value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Duplex, Waveform 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FDD (TDD is not precluded), OFDM 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Multiple access 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OFDMA 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Scenario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 xml:space="preserve">Dense Urban (Macro only) is a baseline. </w:t>
            </w:r>
          </w:p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Other scenarios (e.g. UMi@4GHz 2GHz, Urban Macro) are not precluded.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Frequency Range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FR1 only, 4GHz.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Inter-BS distance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FF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200m</w:t>
            </w:r>
            <w:r>
              <w:rPr>
                <w:rFonts w:ascii="Times New Roman" w:hAnsi="Times New Roman"/>
                <w:snapToGrid w:val="0"/>
                <w:color w:val="FF0000"/>
                <w:lang w:val="en-GB"/>
              </w:rPr>
              <w:t xml:space="preserve"> 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Channel model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 xml:space="preserve">According to the TR 38.901 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Antenna setup and port layouts at </w:t>
            </w:r>
            <w:proofErr w:type="spellStart"/>
            <w:r>
              <w:rPr>
                <w:rFonts w:ascii="Times New Roman" w:hAnsi="Times New Roman"/>
                <w:lang w:val="en-GB"/>
              </w:rPr>
              <w:t>gNB</w:t>
            </w:r>
            <w:proofErr w:type="spellEnd"/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Companies need to report which option(s) are used between</w:t>
            </w:r>
          </w:p>
          <w:p w:rsidR="00D6644C" w:rsidRDefault="00D6644C" w:rsidP="00AE2D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both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32 ports: (8,8,2,1,1,2,8), (</w:t>
            </w:r>
            <w:proofErr w:type="spellStart"/>
            <w:proofErr w:type="gramStart"/>
            <w:r>
              <w:rPr>
                <w:snapToGrid w:val="0"/>
                <w:lang w:val="en-GB"/>
              </w:rPr>
              <w:t>dH,dV</w:t>
            </w:r>
            <w:proofErr w:type="spellEnd"/>
            <w:proofErr w:type="gramEnd"/>
            <w:r>
              <w:rPr>
                <w:snapToGrid w:val="0"/>
                <w:lang w:val="en-GB"/>
              </w:rPr>
              <w:t xml:space="preserve">) = (0.5, 0.8)λ </w:t>
            </w:r>
          </w:p>
          <w:p w:rsidR="00D6644C" w:rsidRDefault="00D6644C" w:rsidP="00AE2D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/>
              <w:jc w:val="both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16 ports: (8,4,2,1,1,2,4), (</w:t>
            </w:r>
            <w:proofErr w:type="spellStart"/>
            <w:proofErr w:type="gramStart"/>
            <w:r>
              <w:rPr>
                <w:snapToGrid w:val="0"/>
                <w:lang w:val="en-GB"/>
              </w:rPr>
              <w:t>dH,dV</w:t>
            </w:r>
            <w:proofErr w:type="spellEnd"/>
            <w:proofErr w:type="gramEnd"/>
            <w:r>
              <w:rPr>
                <w:snapToGrid w:val="0"/>
                <w:lang w:val="en-GB"/>
              </w:rPr>
              <w:t>) = (0.5, 0.8)λ</w:t>
            </w:r>
          </w:p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Other configurations are not precluded.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Antenna setup and port layouts at UE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4RX: (1,2,2,1,1,1,2), (</w:t>
            </w:r>
            <w:proofErr w:type="spellStart"/>
            <w:proofErr w:type="gramStart"/>
            <w:r>
              <w:rPr>
                <w:rFonts w:ascii="Times New Roman" w:hAnsi="Times New Roman"/>
                <w:snapToGrid w:val="0"/>
                <w:lang w:val="en-GB"/>
              </w:rPr>
              <w:t>dH,dV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lang w:val="en-GB"/>
              </w:rPr>
              <w:t>) = (0.5, 0.5)</w:t>
            </w:r>
            <w:r>
              <w:rPr>
                <w:snapToGrid w:val="0"/>
                <w:lang w:val="en-GB"/>
              </w:rPr>
              <w:t>λ</w:t>
            </w:r>
            <w:r>
              <w:rPr>
                <w:rFonts w:ascii="Times New Roman" w:hAnsi="Times New Roman"/>
                <w:snapToGrid w:val="0"/>
                <w:lang w:val="en-GB"/>
              </w:rPr>
              <w:t xml:space="preserve"> for rank &gt; 2</w:t>
            </w:r>
          </w:p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2RX: (1,1,2,1,1,1,1), (</w:t>
            </w:r>
            <w:proofErr w:type="spellStart"/>
            <w:proofErr w:type="gramStart"/>
            <w:r>
              <w:rPr>
                <w:rFonts w:ascii="Times New Roman" w:hAnsi="Times New Roman"/>
                <w:snapToGrid w:val="0"/>
                <w:lang w:val="en-GB"/>
              </w:rPr>
              <w:t>dH,dV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lang w:val="en-GB"/>
              </w:rPr>
              <w:t>) = (0.5, 0.5)</w:t>
            </w:r>
            <w:r>
              <w:rPr>
                <w:snapToGrid w:val="0"/>
                <w:lang w:val="en-GB"/>
              </w:rPr>
              <w:t>λ</w:t>
            </w:r>
            <w:r>
              <w:rPr>
                <w:rFonts w:ascii="Times New Roman" w:hAnsi="Times New Roman"/>
                <w:snapToGrid w:val="0"/>
                <w:lang w:val="en-GB"/>
              </w:rPr>
              <w:t xml:space="preserve"> for (rank 1,2) Type II overhead reduction</w:t>
            </w:r>
          </w:p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Other configuration is not precluded.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BS </w:t>
            </w:r>
            <w:proofErr w:type="spellStart"/>
            <w:r>
              <w:rPr>
                <w:rFonts w:ascii="Times New Roman" w:hAnsi="Times New Roman"/>
                <w:lang w:val="en-GB"/>
              </w:rPr>
              <w:t>Tx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power 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 xml:space="preserve">41 </w:t>
            </w:r>
            <w:proofErr w:type="spellStart"/>
            <w:r>
              <w:rPr>
                <w:rFonts w:ascii="Times New Roman" w:hAnsi="Times New Roman"/>
                <w:snapToGrid w:val="0"/>
                <w:lang w:val="en-GB"/>
              </w:rPr>
              <w:t>dBm</w:t>
            </w:r>
            <w:proofErr w:type="spellEnd"/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BS antenna height 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 xml:space="preserve">25m 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UE antenna height &amp; gain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 xml:space="preserve">Follow TR36.873 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UE receiver noise figure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9dB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Modulation 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Up to 256QAM 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Coding on PDSCH 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LDPC</w:t>
            </w:r>
          </w:p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 w:eastAsia="zh-CN"/>
              </w:rPr>
            </w:pPr>
            <w:r>
              <w:rPr>
                <w:rFonts w:ascii="Times New Roman" w:hAnsi="Times New Roman"/>
                <w:lang w:val="en-GB"/>
              </w:rPr>
              <w:t xml:space="preserve">Max code-block size=8448bit </w:t>
            </w:r>
          </w:p>
        </w:tc>
      </w:tr>
      <w:tr w:rsidR="00D6644C" w:rsidTr="00AE2D24">
        <w:tc>
          <w:tcPr>
            <w:tcW w:w="14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/>
              </w:rPr>
              <w:t>Numerology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644C" w:rsidRDefault="00D6644C" w:rsidP="00AE2D24">
            <w:pPr>
              <w:snapToGrid w:val="0"/>
              <w:spacing w:after="0" w:line="240" w:lineRule="auto"/>
              <w:ind w:leftChars="54" w:left="119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Slot/non-slot 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 w:eastAsia="zh-CN"/>
              </w:rPr>
            </w:pPr>
            <w:r>
              <w:rPr>
                <w:rFonts w:ascii="Times New Roman" w:hAnsi="Times New Roman"/>
                <w:lang w:val="en-GB"/>
              </w:rPr>
              <w:t xml:space="preserve">14 </w:t>
            </w:r>
            <w:r>
              <w:rPr>
                <w:rFonts w:ascii="Times New Roman" w:hAnsi="Times New Roman"/>
                <w:lang w:val="en-GB" w:eastAsia="zh-CN"/>
              </w:rPr>
              <w:t xml:space="preserve">OFDM symbol </w:t>
            </w:r>
            <w:r>
              <w:rPr>
                <w:rFonts w:ascii="Times New Roman" w:hAnsi="Times New Roman"/>
                <w:lang w:val="en-GB"/>
              </w:rPr>
              <w:t>slot</w:t>
            </w:r>
          </w:p>
        </w:tc>
      </w:tr>
      <w:tr w:rsidR="00D6644C" w:rsidTr="00AE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644C" w:rsidRDefault="00D6644C" w:rsidP="00AE2D24">
            <w:pPr>
              <w:snapToGrid w:val="0"/>
              <w:spacing w:after="0" w:line="240" w:lineRule="auto"/>
              <w:ind w:leftChars="54" w:left="119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/>
              </w:rPr>
              <w:t xml:space="preserve">SCS 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 w:eastAsia="zh-CN"/>
              </w:rPr>
            </w:pPr>
            <w:r>
              <w:rPr>
                <w:rFonts w:ascii="Times New Roman" w:hAnsi="Times New Roman"/>
                <w:lang w:val="en-GB"/>
              </w:rPr>
              <w:t>15kHz</w:t>
            </w:r>
            <w:r>
              <w:rPr>
                <w:rFonts w:ascii="Times New Roman" w:hAnsi="Times New Roman"/>
                <w:lang w:val="en-GB" w:eastAsia="zh-CN"/>
              </w:rPr>
              <w:t xml:space="preserve"> 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 w:eastAsia="zh-CN"/>
              </w:rPr>
            </w:pPr>
            <w:r>
              <w:rPr>
                <w:rFonts w:ascii="Times New Roman" w:hAnsi="Times New Roman"/>
                <w:lang w:val="en-GB" w:eastAsia="zh-CN"/>
              </w:rPr>
              <w:t>N</w:t>
            </w:r>
            <w:r>
              <w:rPr>
                <w:rFonts w:ascii="Times New Roman" w:hAnsi="Times New Roman"/>
                <w:lang w:val="en-GB"/>
              </w:rPr>
              <w:t xml:space="preserve">umber </w:t>
            </w:r>
            <w:r>
              <w:rPr>
                <w:rFonts w:ascii="Times New Roman" w:hAnsi="Times New Roman"/>
                <w:lang w:val="en-GB" w:eastAsia="zh-CN"/>
              </w:rPr>
              <w:t>of RBs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 w:eastAsia="zh-CN"/>
              </w:rPr>
            </w:pPr>
            <w:r>
              <w:rPr>
                <w:rFonts w:ascii="Times New Roman" w:hAnsi="Times New Roman"/>
                <w:lang w:val="en-GB"/>
              </w:rPr>
              <w:t>52</w:t>
            </w:r>
            <w:r>
              <w:rPr>
                <w:rFonts w:ascii="Times New Roman" w:hAnsi="Times New Roman"/>
                <w:lang w:val="en-GB" w:eastAsia="zh-CN"/>
              </w:rPr>
              <w:t xml:space="preserve"> for 15 kHz SCS</w:t>
            </w:r>
          </w:p>
        </w:tc>
      </w:tr>
      <w:tr w:rsidR="00D6644C" w:rsidTr="00AE2D24">
        <w:trPr>
          <w:trHeight w:val="211"/>
        </w:trPr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/>
              </w:rPr>
              <w:t xml:space="preserve">Simulation bandwidth 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10 MHz for 15kHz as a baseline, and configurations which emulate larger BW, e.g., same sub-band size as 40/100 MHz with 30kHz, may be optionally considered.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Frame structure 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 w:eastAsia="zh-CN"/>
              </w:rPr>
            </w:pPr>
            <w:r>
              <w:rPr>
                <w:rFonts w:ascii="Times New Roman" w:hAnsi="Times New Roman"/>
                <w:lang w:val="en-GB"/>
              </w:rPr>
              <w:t>Slot Format 0 (all downlink) for all slots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>MIMO scheme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SU/MU-MIMO with rank adaptation is a baseline for overhead reduction.</w:t>
            </w:r>
          </w:p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 w:eastAsia="zh-CN"/>
              </w:rPr>
            </w:pPr>
            <w:r>
              <w:rPr>
                <w:rFonts w:ascii="Times New Roman" w:hAnsi="Times New Roman"/>
                <w:lang w:val="en-GB" w:eastAsia="zh-CN"/>
              </w:rPr>
              <w:t>For low RU, SU-MIMO or SU/MU-MIMO with rank adaptation are assumed for higher rank extension.</w:t>
            </w:r>
          </w:p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 w:eastAsia="zh-CN"/>
              </w:rPr>
            </w:pPr>
            <w:r>
              <w:rPr>
                <w:rFonts w:ascii="Times New Roman" w:hAnsi="Times New Roman"/>
                <w:lang w:val="en-GB" w:eastAsia="zh-CN"/>
              </w:rPr>
              <w:t>For medium/high RU, SU/MU-MIMO with rank adaptation is assumed for higher rank extension.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Chars="68" w:left="8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MIMO layers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For all evaluation, companies to provide the assumption on the maximum MU layers (e.g. 8 or 12)</w:t>
            </w:r>
          </w:p>
        </w:tc>
      </w:tr>
      <w:tr w:rsidR="00D6644C" w:rsidTr="00AE2D24">
        <w:trPr>
          <w:trHeight w:val="908"/>
        </w:trPr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Chars="68" w:left="8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CSI feedback 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Calibri" w:hAnsi="Calibri" w:cs="Calibri"/>
                <w:snapToGrid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napToGrid w:val="0"/>
              </w:rPr>
              <w:t>Feedback assumption at least for baseline scheme</w:t>
            </w:r>
          </w:p>
          <w:p w:rsidR="00D6644C" w:rsidRDefault="00D6644C" w:rsidP="00AE2D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napToGrid w:val="0"/>
              <w:ind w:leftChars="0"/>
              <w:jc w:val="both"/>
              <w:textAlignment w:val="baseline"/>
              <w:rPr>
                <w:rFonts w:ascii="Calibri" w:hAnsi="Calibri" w:cs="Calibri"/>
                <w:lang w:val="en-GB" w:eastAsia="ko-KR"/>
              </w:rPr>
            </w:pPr>
            <w:r>
              <w:rPr>
                <w:lang w:val="en-GB"/>
              </w:rPr>
              <w:t>CSI feedback periodicity (full CSI feedback</w:t>
            </w:r>
            <w:proofErr w:type="gramStart"/>
            <w:r>
              <w:rPr>
                <w:lang w:val="en-GB"/>
              </w:rPr>
              <w:t>) :</w:t>
            </w:r>
            <w:proofErr w:type="gramEnd"/>
            <w:r>
              <w:rPr>
                <w:lang w:val="en-GB"/>
              </w:rPr>
              <w:t xml:space="preserve">  5 </w:t>
            </w:r>
            <w:proofErr w:type="spellStart"/>
            <w:r>
              <w:rPr>
                <w:lang w:val="en-GB"/>
              </w:rPr>
              <w:t>ms</w:t>
            </w:r>
            <w:proofErr w:type="spellEnd"/>
            <w:r>
              <w:rPr>
                <w:lang w:val="en-GB"/>
              </w:rPr>
              <w:t xml:space="preserve">, </w:t>
            </w:r>
          </w:p>
          <w:p w:rsidR="00D6644C" w:rsidRDefault="00D6644C" w:rsidP="00AE2D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Scheduling delay (from CSI feedback to time to apply in scheduling) :  4 </w:t>
            </w:r>
            <w:proofErr w:type="spellStart"/>
            <w:r>
              <w:rPr>
                <w:rFonts w:ascii="Times New Roman" w:hAnsi="Times New Roman"/>
                <w:lang w:val="en-GB" w:eastAsia="en-US"/>
              </w:rPr>
              <w:t>ms</w:t>
            </w:r>
            <w:proofErr w:type="spellEnd"/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Chars="68" w:left="8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Overhead 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Companies shall provide the downlink overhead assumption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Chars="68" w:left="8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Traffic model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FTP model 1 with packet size 0.5 Mbytes</w:t>
            </w:r>
          </w:p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FTP model is not precluded.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Chars="68" w:left="8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Traffic load (Resource utilization)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pStyle w:val="NormalWeb"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50/70 % for CSI overhead reduction</w:t>
            </w:r>
          </w:p>
          <w:p w:rsidR="00D6644C" w:rsidRDefault="00D6644C" w:rsidP="00AE2D24">
            <w:pPr>
              <w:pStyle w:val="NormalWeb"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20/50 % for high rank extension</w:t>
            </w:r>
          </w:p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napToGrid w:val="0"/>
                <w:lang w:val="en-GB"/>
              </w:rPr>
              <w:t>Companies are encouraged to report the MU-MIMO utilization.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Chars="68" w:left="8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UE distribution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Chars="68" w:left="8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- 80% indoor (3km/h), 20% outdoor (30km/h) 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Chars="68" w:left="8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UE receiver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MMSE-IRC as the baseline receiver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Chars="68" w:left="8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Feedback assumption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Chars="68" w:left="8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Channel estimation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Chars="68" w:left="8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Evaluation Metric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Throughput and CSI feedback overhead as baseline metrics. </w:t>
            </w:r>
          </w:p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Additional metrics, e.g., ratio between throughput and CSI feedback overhead, can be used.</w:t>
            </w:r>
          </w:p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="0" w:firstLine="0"/>
              <w:rPr>
                <w:rFonts w:ascii="SimSun" w:eastAsia="SimSun" w:hAnsi="SimSu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Maximum overhead (payload size for CSI feedback)for each rank at one feedback instance is the baseline metric 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CSI feedback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overhead, and companies can provide other metrics.</w:t>
            </w:r>
          </w:p>
        </w:tc>
      </w:tr>
      <w:tr w:rsidR="00D6644C" w:rsidTr="00AE2D24"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644C" w:rsidRDefault="00D6644C" w:rsidP="00AE2D24">
            <w:pPr>
              <w:pStyle w:val="NormalWeb"/>
              <w:snapToGrid w:val="0"/>
              <w:spacing w:before="0" w:beforeAutospacing="0" w:after="0" w:afterAutospacing="0"/>
              <w:ind w:leftChars="68" w:left="87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Baseline for performance evaluation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Rel-15 Type II Codebook is the baseline for performance and overhead evaluation for overhead reduction. (Type I Codebook can be considered at least for performance evaluation)</w:t>
            </w:r>
          </w:p>
          <w:p w:rsidR="00D6644C" w:rsidRDefault="00D6644C" w:rsidP="00AE2D24">
            <w:pPr>
              <w:pStyle w:val="ListParagraph"/>
              <w:numPr>
                <w:ilvl w:val="0"/>
                <w:numId w:val="1"/>
              </w:numPr>
              <w:snapToGrid w:val="0"/>
              <w:ind w:leftChars="0"/>
              <w:rPr>
                <w:lang w:val="en-GB"/>
              </w:rPr>
            </w:pPr>
            <w:r>
              <w:rPr>
                <w:lang w:val="en-GB" w:eastAsia="zh-CN"/>
              </w:rPr>
              <w:t xml:space="preserve">Companies are encouraged to compare the proposed overhead reduction scheme with Rel-15 overhead reduction scheme, </w:t>
            </w:r>
          </w:p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Rel-15 Type I Codebook is the baseline for performance and overhead evaluation for higher rank codebook. </w:t>
            </w:r>
          </w:p>
        </w:tc>
      </w:tr>
    </w:tbl>
    <w:p w:rsidR="00D6644C" w:rsidRDefault="00D6644C" w:rsidP="00AE2D24">
      <w:pPr>
        <w:snapToGrid w:val="0"/>
        <w:spacing w:after="0" w:line="240" w:lineRule="auto"/>
        <w:rPr>
          <w:rFonts w:ascii="Times New Roman" w:hAnsi="Times New Roman"/>
          <w:lang w:val="en-GB" w:eastAsia="ja-JP"/>
        </w:rPr>
      </w:pPr>
    </w:p>
    <w:p w:rsidR="00D6644C" w:rsidRDefault="00D6644C" w:rsidP="00AE2D24">
      <w:pPr>
        <w:snapToGrid w:val="0"/>
        <w:spacing w:after="0" w:line="240" w:lineRule="auto"/>
        <w:rPr>
          <w:rFonts w:ascii="Times New Roman" w:hAnsi="Times New Roman"/>
          <w:b/>
          <w:bCs/>
          <w:sz w:val="20"/>
          <w:szCs w:val="20"/>
          <w:highlight w:val="green"/>
          <w:lang w:val="en-GB" w:eastAsia="en-US"/>
        </w:rPr>
      </w:pPr>
      <w:r>
        <w:rPr>
          <w:rFonts w:ascii="Times New Roman" w:hAnsi="Times New Roman"/>
          <w:b/>
          <w:bCs/>
          <w:highlight w:val="green"/>
          <w:lang w:val="en-GB"/>
        </w:rPr>
        <w:t>Agreement</w:t>
      </w:r>
    </w:p>
    <w:p w:rsidR="00D6644C" w:rsidRDefault="00D6644C" w:rsidP="00AE2D24">
      <w:pPr>
        <w:snapToGrid w:val="0"/>
        <w:spacing w:after="0" w:line="240" w:lineRule="auto"/>
        <w:rPr>
          <w:rFonts w:ascii="Times" w:hAnsi="Times"/>
          <w:lang w:val="en-GB" w:eastAsia="x-none"/>
        </w:rPr>
      </w:pPr>
      <w:r>
        <w:rPr>
          <w:lang w:val="en-GB" w:eastAsia="x-none"/>
        </w:rPr>
        <w:t>For multi-TRP/panel performance evaluation:</w:t>
      </w:r>
    </w:p>
    <w:p w:rsidR="00D6644C" w:rsidRDefault="00D6644C" w:rsidP="00AE2D24">
      <w:pPr>
        <w:pStyle w:val="ListParagraph"/>
        <w:numPr>
          <w:ilvl w:val="1"/>
          <w:numId w:val="1"/>
        </w:numPr>
        <w:snapToGrid w:val="0"/>
        <w:ind w:leftChars="0"/>
        <w:rPr>
          <w:lang w:val="en-GB" w:eastAsia="ko-KR"/>
        </w:rPr>
      </w:pPr>
      <w:r>
        <w:rPr>
          <w:lang w:val="en-GB" w:eastAsia="ko-KR"/>
        </w:rPr>
        <w:t xml:space="preserve">For </w:t>
      </w:r>
      <w:proofErr w:type="spellStart"/>
      <w:r>
        <w:rPr>
          <w:lang w:val="en-GB" w:eastAsia="ko-KR"/>
        </w:rPr>
        <w:t>eMBB</w:t>
      </w:r>
      <w:proofErr w:type="spellEnd"/>
      <w:r>
        <w:rPr>
          <w:lang w:val="en-GB" w:eastAsia="ko-KR"/>
        </w:rPr>
        <w:t xml:space="preserve"> in FR1, 10MHz BW and 15kHz SCS are baseline.</w:t>
      </w:r>
    </w:p>
    <w:p w:rsidR="00D6644C" w:rsidRDefault="00D6644C" w:rsidP="00AE2D24">
      <w:pPr>
        <w:pStyle w:val="ListParagraph"/>
        <w:numPr>
          <w:ilvl w:val="1"/>
          <w:numId w:val="1"/>
        </w:numPr>
        <w:snapToGrid w:val="0"/>
        <w:ind w:leftChars="0"/>
        <w:rPr>
          <w:lang w:val="en-GB" w:eastAsia="ko-KR"/>
        </w:rPr>
      </w:pPr>
      <w:r>
        <w:rPr>
          <w:lang w:val="en-GB" w:eastAsia="ko-KR"/>
        </w:rPr>
        <w:t xml:space="preserve">For </w:t>
      </w:r>
      <w:proofErr w:type="spellStart"/>
      <w:r>
        <w:rPr>
          <w:lang w:val="en-GB" w:eastAsia="ko-KR"/>
        </w:rPr>
        <w:t>eMBB</w:t>
      </w:r>
      <w:proofErr w:type="spellEnd"/>
      <w:r>
        <w:rPr>
          <w:lang w:val="en-GB" w:eastAsia="ko-KR"/>
        </w:rPr>
        <w:t xml:space="preserve"> in FR1, 20MHz BW and 30kHz SCS are optional.</w:t>
      </w:r>
    </w:p>
    <w:p w:rsidR="00D6644C" w:rsidRDefault="00D6644C" w:rsidP="00AE2D24">
      <w:pPr>
        <w:pStyle w:val="ListParagraph"/>
        <w:numPr>
          <w:ilvl w:val="1"/>
          <w:numId w:val="1"/>
        </w:numPr>
        <w:snapToGrid w:val="0"/>
        <w:ind w:leftChars="0"/>
        <w:rPr>
          <w:lang w:val="en-GB" w:eastAsia="ko-KR"/>
        </w:rPr>
      </w:pPr>
      <w:r>
        <w:rPr>
          <w:lang w:val="en-GB" w:eastAsia="ko-KR"/>
        </w:rPr>
        <w:t xml:space="preserve">For </w:t>
      </w:r>
      <w:proofErr w:type="spellStart"/>
      <w:r>
        <w:rPr>
          <w:lang w:val="en-GB" w:eastAsia="ko-KR"/>
        </w:rPr>
        <w:t>eMBB</w:t>
      </w:r>
      <w:proofErr w:type="spellEnd"/>
      <w:r>
        <w:rPr>
          <w:lang w:val="en-GB" w:eastAsia="ko-KR"/>
        </w:rPr>
        <w:t xml:space="preserve"> in FR2, 80MHz BW and 120kHz SCS are baseline.</w:t>
      </w:r>
    </w:p>
    <w:p w:rsidR="00D6644C" w:rsidRDefault="00D6644C" w:rsidP="00AE2D24">
      <w:pPr>
        <w:pStyle w:val="ListParagraph"/>
        <w:snapToGrid w:val="0"/>
        <w:ind w:leftChars="0" w:left="0" w:firstLine="0"/>
        <w:rPr>
          <w:lang w:val="en-GB"/>
        </w:rPr>
      </w:pPr>
    </w:p>
    <w:p w:rsidR="00D6644C" w:rsidRDefault="00D6644C" w:rsidP="00AE2D24">
      <w:pPr>
        <w:pStyle w:val="ListParagraph"/>
        <w:snapToGrid w:val="0"/>
        <w:ind w:leftChars="0" w:left="0" w:firstLine="0"/>
        <w:rPr>
          <w:b/>
          <w:bCs/>
          <w:highlight w:val="green"/>
          <w:lang w:val="en-GB"/>
        </w:rPr>
      </w:pPr>
      <w:r>
        <w:rPr>
          <w:b/>
          <w:bCs/>
          <w:highlight w:val="green"/>
          <w:lang w:val="en-GB"/>
        </w:rPr>
        <w:t>Agreement</w:t>
      </w:r>
    </w:p>
    <w:p w:rsidR="00D6644C" w:rsidRDefault="00D6644C" w:rsidP="00AE2D24">
      <w:pPr>
        <w:pStyle w:val="ListParagraph"/>
        <w:snapToGrid w:val="0"/>
        <w:ind w:leftChars="0" w:left="0" w:firstLine="0"/>
        <w:rPr>
          <w:lang w:val="en-GB"/>
        </w:rPr>
      </w:pPr>
      <w:r>
        <w:rPr>
          <w:lang w:val="en-GB" w:eastAsia="ko-KR"/>
        </w:rPr>
        <w:t>For URLLC</w:t>
      </w:r>
      <w:r>
        <w:rPr>
          <w:sz w:val="12"/>
          <w:szCs w:val="12"/>
          <w:lang w:val="en-GB"/>
        </w:rPr>
        <w:t xml:space="preserve"> </w:t>
      </w:r>
      <w:r>
        <w:rPr>
          <w:lang w:val="en-GB" w:eastAsia="ko-KR"/>
        </w:rPr>
        <w:t>multi-TRP/panel performance evaluation, choose a subset of evaluation scenarios/assumptions agreed in the URLLC agenda item</w:t>
      </w:r>
    </w:p>
    <w:p w:rsidR="00D6644C" w:rsidRDefault="00D6644C" w:rsidP="00AE2D24">
      <w:pPr>
        <w:snapToGrid w:val="0"/>
        <w:spacing w:after="0" w:line="240" w:lineRule="auto"/>
        <w:rPr>
          <w:lang w:val="en-GB" w:eastAsia="x-none"/>
        </w:rPr>
      </w:pPr>
    </w:p>
    <w:p w:rsidR="00D6644C" w:rsidRDefault="00D6644C" w:rsidP="00AE2D24">
      <w:pPr>
        <w:snapToGrid w:val="0"/>
        <w:spacing w:after="0" w:line="240" w:lineRule="auto"/>
        <w:rPr>
          <w:rFonts w:ascii="Times New Roman" w:hAnsi="Times New Roman"/>
          <w:b/>
          <w:bCs/>
          <w:highlight w:val="green"/>
          <w:lang w:val="en-GB" w:eastAsia="ja-JP"/>
        </w:rPr>
      </w:pPr>
      <w:r>
        <w:rPr>
          <w:rFonts w:ascii="Times New Roman" w:hAnsi="Times New Roman"/>
          <w:b/>
          <w:bCs/>
          <w:highlight w:val="green"/>
          <w:lang w:val="en-GB" w:eastAsia="ja-JP"/>
        </w:rPr>
        <w:t>Agreement</w:t>
      </w:r>
    </w:p>
    <w:p w:rsidR="00D6644C" w:rsidRDefault="00D6644C" w:rsidP="00AE2D24">
      <w:pPr>
        <w:snapToGrid w:val="0"/>
        <w:spacing w:after="0" w:line="240" w:lineRule="auto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lang w:val="en-GB"/>
        </w:rPr>
        <w:lastRenderedPageBreak/>
        <w:t xml:space="preserve">For </w:t>
      </w:r>
      <w:proofErr w:type="spellStart"/>
      <w:r>
        <w:rPr>
          <w:rFonts w:ascii="Times New Roman" w:hAnsi="Times New Roman"/>
          <w:lang w:val="en-GB"/>
        </w:rPr>
        <w:t>eMBB</w:t>
      </w:r>
      <w:proofErr w:type="spellEnd"/>
      <w:r>
        <w:rPr>
          <w:rFonts w:ascii="Times New Roman" w:hAnsi="Times New Roman"/>
          <w:lang w:val="en-GB"/>
        </w:rPr>
        <w:t xml:space="preserve"> multi-TRP/panel performance evaluation, FTP traffic model 1 with packet size 0.5Mbytes as a baseline, and other traffic model is not precluded. RU=20/40/60% are baseline, and optional low RU (e.g. 5/10) can be considered.</w:t>
      </w:r>
    </w:p>
    <w:p w:rsidR="00D6644C" w:rsidRDefault="00D6644C" w:rsidP="00AE2D24">
      <w:pPr>
        <w:snapToGrid w:val="0"/>
        <w:spacing w:after="0" w:line="240" w:lineRule="auto"/>
        <w:rPr>
          <w:rFonts w:ascii="Times" w:hAnsi="Times"/>
          <w:lang w:val="en-GB" w:eastAsia="x-none"/>
        </w:rPr>
      </w:pPr>
    </w:p>
    <w:p w:rsidR="00D6644C" w:rsidRDefault="00D6644C" w:rsidP="00AE2D24">
      <w:pPr>
        <w:snapToGrid w:val="0"/>
        <w:spacing w:after="0" w:line="240" w:lineRule="auto"/>
        <w:rPr>
          <w:rFonts w:ascii="Times New Roman" w:hAnsi="Times New Roman"/>
          <w:b/>
          <w:bCs/>
          <w:highlight w:val="green"/>
          <w:lang w:val="en-GB" w:eastAsia="ja-JP"/>
        </w:rPr>
      </w:pPr>
      <w:r>
        <w:rPr>
          <w:rFonts w:ascii="Times New Roman" w:hAnsi="Times New Roman"/>
          <w:b/>
          <w:bCs/>
          <w:highlight w:val="green"/>
          <w:lang w:val="en-GB" w:eastAsia="ja-JP"/>
        </w:rPr>
        <w:t>Agreement</w:t>
      </w:r>
    </w:p>
    <w:p w:rsidR="00D6644C" w:rsidRDefault="00D6644C" w:rsidP="00AE2D24">
      <w:pPr>
        <w:snapToGrid w:val="0"/>
        <w:spacing w:after="0" w:line="240" w:lineRule="auto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lang w:val="en-GB"/>
        </w:rPr>
        <w:t xml:space="preserve">For </w:t>
      </w:r>
      <w:proofErr w:type="spellStart"/>
      <w:r>
        <w:rPr>
          <w:rFonts w:ascii="Times New Roman" w:hAnsi="Times New Roman"/>
          <w:lang w:val="en-GB"/>
        </w:rPr>
        <w:t>eMBB</w:t>
      </w:r>
      <w:proofErr w:type="spellEnd"/>
      <w:r>
        <w:rPr>
          <w:rFonts w:ascii="Times New Roman" w:hAnsi="Times New Roman"/>
          <w:lang w:val="en-GB"/>
        </w:rPr>
        <w:t xml:space="preserve"> multi-TRP/panel performance evaluation, MMSE IRC is the baseline, and advanced receiver is not precluded. Practical channel estimation and feedback model are used.   </w:t>
      </w:r>
    </w:p>
    <w:p w:rsidR="00D6644C" w:rsidRDefault="00D6644C" w:rsidP="00AE2D24">
      <w:pPr>
        <w:snapToGrid w:val="0"/>
        <w:spacing w:after="0" w:line="240" w:lineRule="auto"/>
        <w:rPr>
          <w:rFonts w:ascii="Times" w:hAnsi="Times"/>
          <w:lang w:val="en-GB" w:eastAsia="x-none"/>
        </w:rPr>
      </w:pPr>
    </w:p>
    <w:p w:rsidR="00D6644C" w:rsidRDefault="00D6644C" w:rsidP="00AE2D24">
      <w:pPr>
        <w:snapToGrid w:val="0"/>
        <w:spacing w:after="0" w:line="240" w:lineRule="auto"/>
        <w:rPr>
          <w:rFonts w:ascii="Times New Roman" w:hAnsi="Times New Roman"/>
          <w:b/>
          <w:bCs/>
          <w:highlight w:val="green"/>
          <w:lang w:val="en-GB" w:eastAsia="ja-JP"/>
        </w:rPr>
      </w:pPr>
      <w:r>
        <w:rPr>
          <w:rFonts w:ascii="Times New Roman" w:hAnsi="Times New Roman"/>
          <w:b/>
          <w:bCs/>
          <w:highlight w:val="green"/>
          <w:lang w:val="en-GB" w:eastAsia="ja-JP"/>
        </w:rPr>
        <w:t>Agreement</w:t>
      </w:r>
    </w:p>
    <w:p w:rsidR="00D6644C" w:rsidRDefault="00D6644C" w:rsidP="00AE2D24">
      <w:pPr>
        <w:numPr>
          <w:ilvl w:val="0"/>
          <w:numId w:val="3"/>
        </w:numPr>
        <w:snapToGrid w:val="0"/>
        <w:spacing w:after="0" w:line="240" w:lineRule="auto"/>
        <w:ind w:left="1440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lang w:val="en-GB"/>
        </w:rPr>
        <w:t xml:space="preserve">For </w:t>
      </w:r>
      <w:proofErr w:type="spellStart"/>
      <w:r>
        <w:rPr>
          <w:rFonts w:ascii="Times New Roman" w:hAnsi="Times New Roman"/>
          <w:lang w:val="en-GB"/>
        </w:rPr>
        <w:t>eMBB</w:t>
      </w:r>
      <w:proofErr w:type="spellEnd"/>
      <w:r>
        <w:rPr>
          <w:rFonts w:ascii="Times New Roman" w:hAnsi="Times New Roman"/>
          <w:lang w:val="en-GB"/>
        </w:rPr>
        <w:t xml:space="preserve"> multi-TRP performance evaluation, ideal and non-ideal backhaul are considered, the following delay values are assumed:</w:t>
      </w:r>
    </w:p>
    <w:p w:rsidR="00D6644C" w:rsidRDefault="00D6644C" w:rsidP="00AE2D24">
      <w:pPr>
        <w:numPr>
          <w:ilvl w:val="1"/>
          <w:numId w:val="3"/>
        </w:numPr>
        <w:snapToGrid w:val="0"/>
        <w:spacing w:after="0" w:line="240" w:lineRule="auto"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Ideal backhaul: 0ms</w:t>
      </w:r>
    </w:p>
    <w:p w:rsidR="00D6644C" w:rsidRDefault="00D6644C" w:rsidP="00AE2D24">
      <w:pPr>
        <w:numPr>
          <w:ilvl w:val="1"/>
          <w:numId w:val="3"/>
        </w:numPr>
        <w:snapToGrid w:val="0"/>
        <w:spacing w:after="0" w:line="240" w:lineRule="auto"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Non-ideal backhaul: 2ms, 5ms, 50ms(optional)</w:t>
      </w:r>
      <w:r>
        <w:rPr>
          <w:lang w:val="en-GB"/>
        </w:rPr>
        <w:t xml:space="preserve"> </w:t>
      </w:r>
    </w:p>
    <w:p w:rsidR="00D6644C" w:rsidRDefault="00D6644C" w:rsidP="00AE2D24">
      <w:pPr>
        <w:numPr>
          <w:ilvl w:val="0"/>
          <w:numId w:val="3"/>
        </w:numPr>
        <w:snapToGrid w:val="0"/>
        <w:spacing w:after="0" w:line="240" w:lineRule="auto"/>
        <w:ind w:left="144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For URLLC multi-TRP performance evaluation, ideal and non-ideal backhaul are considered, the following delay values are assumed:</w:t>
      </w:r>
    </w:p>
    <w:p w:rsidR="00D6644C" w:rsidRDefault="00D6644C" w:rsidP="00AE2D24">
      <w:pPr>
        <w:numPr>
          <w:ilvl w:val="1"/>
          <w:numId w:val="3"/>
        </w:numPr>
        <w:snapToGrid w:val="0"/>
        <w:spacing w:after="0" w:line="240" w:lineRule="auto"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Ideal backhaul: 0ms</w:t>
      </w:r>
    </w:p>
    <w:p w:rsidR="00D6644C" w:rsidRDefault="00D6644C" w:rsidP="00AE2D24">
      <w:pPr>
        <w:numPr>
          <w:ilvl w:val="1"/>
          <w:numId w:val="3"/>
        </w:numPr>
        <w:snapToGrid w:val="0"/>
        <w:spacing w:after="0" w:line="240" w:lineRule="auto"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Non-ideal backhaul: 2ms, 5</w:t>
      </w:r>
      <w:proofErr w:type="gramStart"/>
      <w:r>
        <w:rPr>
          <w:rFonts w:ascii="Times New Roman" w:hAnsi="Times New Roman"/>
          <w:lang w:val="en-GB"/>
        </w:rPr>
        <w:t>ms(</w:t>
      </w:r>
      <w:proofErr w:type="gramEnd"/>
      <w:r>
        <w:rPr>
          <w:rFonts w:ascii="Times New Roman" w:hAnsi="Times New Roman"/>
          <w:lang w:val="en-GB"/>
        </w:rPr>
        <w:t>FFS, optional)</w:t>
      </w:r>
    </w:p>
    <w:p w:rsidR="00D6644C" w:rsidRDefault="00D6644C" w:rsidP="00AE2D24">
      <w:pPr>
        <w:numPr>
          <w:ilvl w:val="0"/>
          <w:numId w:val="3"/>
        </w:numPr>
        <w:snapToGrid w:val="0"/>
        <w:spacing w:after="0" w:line="240" w:lineRule="auto"/>
        <w:ind w:left="144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Companies to provide the delay values used in their evaluations</w:t>
      </w:r>
    </w:p>
    <w:p w:rsidR="00D6644C" w:rsidRDefault="00D6644C" w:rsidP="00AE2D24">
      <w:pPr>
        <w:snapToGrid w:val="0"/>
        <w:spacing w:after="0" w:line="240" w:lineRule="auto"/>
        <w:rPr>
          <w:rFonts w:ascii="Times" w:hAnsi="Times"/>
          <w:lang w:val="en-GB" w:eastAsia="x-none"/>
        </w:rPr>
      </w:pPr>
    </w:p>
    <w:p w:rsidR="00D6644C" w:rsidRPr="006F77FB" w:rsidRDefault="00D6644C" w:rsidP="00AE2D24">
      <w:pPr>
        <w:pStyle w:val="Caption"/>
        <w:keepNext/>
        <w:snapToGrid w:val="0"/>
        <w:spacing w:before="0" w:after="0"/>
        <w:jc w:val="center"/>
        <w:rPr>
          <w:rFonts w:ascii="Times New Roman" w:hAnsi="Times New Roman" w:cs="Times New Roman"/>
          <w:lang w:val="en-GB"/>
        </w:rPr>
      </w:pPr>
      <w:r w:rsidRPr="006F77FB">
        <w:rPr>
          <w:rFonts w:ascii="Times New Roman" w:hAnsi="Times New Roman" w:cs="Times New Roman"/>
          <w:highlight w:val="green"/>
          <w:lang w:val="en-GB"/>
        </w:rPr>
        <w:t xml:space="preserve">Agreement: </w:t>
      </w:r>
      <w:r w:rsidRPr="006F77FB">
        <w:rPr>
          <w:rFonts w:ascii="Times New Roman" w:hAnsi="Times New Roman" w:cs="Times New Roman"/>
          <w:lang w:val="en-GB"/>
        </w:rPr>
        <w:t>Table 1</w:t>
      </w:r>
      <w:r w:rsidRPr="006F77FB">
        <w:rPr>
          <w:rFonts w:ascii="Times New Roman" w:hAnsi="Times New Roman" w:cs="Times New Roman"/>
          <w:lang w:val="en-GB" w:eastAsia="ja-JP"/>
        </w:rPr>
        <w:t xml:space="preserve"> SLS assumption for </w:t>
      </w:r>
      <w:proofErr w:type="spellStart"/>
      <w:r w:rsidRPr="006F77FB">
        <w:rPr>
          <w:rFonts w:ascii="Times New Roman" w:hAnsi="Times New Roman" w:cs="Times New Roman"/>
          <w:lang w:val="en-GB" w:eastAsia="ja-JP"/>
        </w:rPr>
        <w:t>eMBB</w:t>
      </w:r>
      <w:proofErr w:type="spellEnd"/>
      <w:r w:rsidRPr="006F77FB">
        <w:rPr>
          <w:rFonts w:ascii="Times New Roman" w:hAnsi="Times New Roman" w:cs="Times New Roman"/>
          <w:lang w:val="en-GB" w:eastAsia="ja-JP"/>
        </w:rPr>
        <w:t xml:space="preserve"> multi-TRP/panel enhancement</w:t>
      </w:r>
    </w:p>
    <w:tbl>
      <w:tblPr>
        <w:tblW w:w="9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4050"/>
        <w:gridCol w:w="4292"/>
      </w:tblGrid>
      <w:tr w:rsidR="00D6644C" w:rsidTr="00AE2D24">
        <w:trPr>
          <w:trHeight w:val="119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44C" w:rsidRDefault="00D6644C" w:rsidP="00AE2D24">
            <w:pPr>
              <w:pStyle w:val="TAH"/>
              <w:snapToGrid w:val="0"/>
              <w:rPr>
                <w:lang w:val="en-GB" w:eastAsia="ja-JP"/>
              </w:rPr>
            </w:pPr>
            <w:r>
              <w:rPr>
                <w:lang w:val="en-GB" w:eastAsia="ja-JP"/>
              </w:rPr>
              <w:t>Parameters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44C" w:rsidRDefault="00D6644C" w:rsidP="00AE2D24">
            <w:pPr>
              <w:pStyle w:val="TAH"/>
              <w:snapToGrid w:val="0"/>
              <w:rPr>
                <w:lang w:val="en-GB" w:eastAsia="ja-JP"/>
              </w:rPr>
            </w:pPr>
            <w:r>
              <w:rPr>
                <w:lang w:val="en-GB" w:eastAsia="ja-JP"/>
              </w:rPr>
              <w:t>Dense urban (Macro Only)</w:t>
            </w:r>
          </w:p>
        </w:tc>
        <w:tc>
          <w:tcPr>
            <w:tcW w:w="4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44C" w:rsidRDefault="00D6644C" w:rsidP="00AE2D24">
            <w:pPr>
              <w:pStyle w:val="TAH"/>
              <w:snapToGrid w:val="0"/>
              <w:rPr>
                <w:lang w:val="en-GB" w:eastAsia="ja-JP"/>
              </w:rPr>
            </w:pPr>
            <w:r>
              <w:rPr>
                <w:lang w:val="en-GB" w:eastAsia="ja-JP"/>
              </w:rPr>
              <w:t>Indoor hotspot</w:t>
            </w:r>
          </w:p>
        </w:tc>
      </w:tr>
      <w:tr w:rsidR="00D6644C" w:rsidTr="00AE2D24">
        <w:trPr>
          <w:trHeight w:val="119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 w:eastAsia="ja-JP"/>
              </w:rPr>
            </w:pPr>
            <w:r>
              <w:rPr>
                <w:rFonts w:ascii="Times New Roman" w:hAnsi="Times New Roman" w:cs="Times New Roman"/>
                <w:lang w:val="en-GB" w:eastAsia="ja-JP"/>
              </w:rPr>
              <w:t>Carrier frequency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2GHz/4GHz is baseline (each company to choose 1 or more)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30GHz is optional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 w:eastAsia="ja-JP"/>
              </w:rPr>
            </w:pPr>
            <w:r>
              <w:rPr>
                <w:rFonts w:ascii="Times New Roman" w:hAnsi="Times New Roman" w:cs="Times New Roman"/>
                <w:lang w:val="en-GB" w:eastAsia="ja-JP"/>
              </w:rPr>
              <w:t>4GHz is baseline,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 w:eastAsia="ja-JP"/>
              </w:rPr>
            </w:pPr>
            <w:r>
              <w:rPr>
                <w:rFonts w:ascii="Times New Roman" w:hAnsi="Times New Roman" w:cs="Times New Roman"/>
                <w:lang w:val="en-GB" w:eastAsia="ja-JP"/>
              </w:rPr>
              <w:t>30GHz is optional</w:t>
            </w:r>
          </w:p>
        </w:tc>
      </w:tr>
      <w:tr w:rsidR="00D6644C" w:rsidTr="00AE2D24">
        <w:trPr>
          <w:trHeight w:val="119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 w:eastAsia="ko-KR"/>
              </w:rPr>
            </w:pPr>
            <w:r>
              <w:rPr>
                <w:rFonts w:ascii="Times New Roman" w:hAnsi="Times New Roman" w:cs="Times New Roman"/>
                <w:lang w:val="en-GB" w:eastAsia="ko-KR"/>
              </w:rPr>
              <w:t>Channel model</w:t>
            </w:r>
          </w:p>
        </w:tc>
        <w:tc>
          <w:tcPr>
            <w:tcW w:w="8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 w:eastAsia="ja-JP"/>
              </w:rPr>
            </w:pPr>
            <w:r>
              <w:rPr>
                <w:rFonts w:ascii="Times New Roman" w:hAnsi="Times New Roman" w:cs="Times New Roman"/>
                <w:lang w:val="en-GB" w:eastAsia="ko-KR"/>
              </w:rPr>
              <w:t>TR38.901</w:t>
            </w:r>
          </w:p>
        </w:tc>
      </w:tr>
      <w:tr w:rsidR="00D6644C" w:rsidTr="00AE2D24">
        <w:trPr>
          <w:trHeight w:val="119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 w:eastAsia="ja-JP"/>
              </w:rPr>
            </w:pPr>
            <w:r>
              <w:rPr>
                <w:rFonts w:ascii="Times New Roman" w:hAnsi="Times New Roman" w:cs="Times New Roman"/>
                <w:lang w:val="en-GB" w:eastAsia="ja-JP"/>
              </w:rPr>
              <w:t>TP antenna configuration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sv-SE" w:eastAsia="ja-JP"/>
              </w:rPr>
            </w:pPr>
            <w:r>
              <w:rPr>
                <w:rFonts w:ascii="Times New Roman" w:hAnsi="Times New Roman" w:cs="Times New Roman"/>
                <w:color w:val="000000"/>
                <w:lang w:val="sv-SE"/>
              </w:rPr>
              <w:t>4 ports: (M, N, P, M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sv-SE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sv-SE"/>
              </w:rPr>
              <w:t>, N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sv-SE"/>
              </w:rPr>
              <w:t xml:space="preserve">g, </w:t>
            </w:r>
            <w:r>
              <w:rPr>
                <w:rFonts w:ascii="Times New Roman" w:hAnsi="Times New Roman" w:cs="Times New Roman"/>
                <w:color w:val="000000"/>
                <w:lang w:val="sv-SE"/>
              </w:rPr>
              <w:t>M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sv-SE"/>
              </w:rPr>
              <w:t>p</w:t>
            </w:r>
            <w:r>
              <w:rPr>
                <w:rFonts w:ascii="Times New Roman" w:hAnsi="Times New Roman" w:cs="Times New Roman"/>
                <w:color w:val="000000"/>
                <w:lang w:val="sv-SE"/>
              </w:rPr>
              <w:t>, N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sv-SE"/>
              </w:rPr>
              <w:t>p</w:t>
            </w:r>
            <w:r>
              <w:rPr>
                <w:rFonts w:ascii="Times New Roman" w:hAnsi="Times New Roman" w:cs="Times New Roman"/>
                <w:color w:val="000000"/>
                <w:lang w:val="sv-SE"/>
              </w:rPr>
              <w:t>) = (8,2,2,1,1,1,2)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sv-SE" w:eastAsia="ja-JP"/>
              </w:rPr>
            </w:pPr>
            <w:r>
              <w:rPr>
                <w:rFonts w:ascii="Times New Roman" w:hAnsi="Times New Roman" w:cs="Times New Roman"/>
                <w:color w:val="000000"/>
                <w:lang w:val="sv-SE"/>
              </w:rPr>
              <w:t>16 ports: (M, N, P, M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sv-SE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sv-SE"/>
              </w:rPr>
              <w:t>, N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sv-SE"/>
              </w:rPr>
              <w:t xml:space="preserve">g </w:t>
            </w:r>
            <w:r>
              <w:rPr>
                <w:rFonts w:ascii="Times New Roman" w:hAnsi="Times New Roman" w:cs="Times New Roman"/>
                <w:color w:val="000000"/>
                <w:lang w:val="sv-SE"/>
              </w:rPr>
              <w:t>M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sv-SE"/>
              </w:rPr>
              <w:t>p</w:t>
            </w:r>
            <w:r>
              <w:rPr>
                <w:rFonts w:ascii="Times New Roman" w:hAnsi="Times New Roman" w:cs="Times New Roman"/>
                <w:color w:val="000000"/>
                <w:lang w:val="sv-SE"/>
              </w:rPr>
              <w:t>, N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sv-SE"/>
              </w:rPr>
              <w:t>p</w:t>
            </w:r>
            <w:r>
              <w:rPr>
                <w:rFonts w:ascii="Times New Roman" w:hAnsi="Times New Roman" w:cs="Times New Roman"/>
                <w:color w:val="000000"/>
                <w:lang w:val="sv-SE"/>
              </w:rPr>
              <w:t>) = (8,4,2,1,1,2,4)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lang w:val="sv-SE"/>
              </w:rPr>
              <w:t>(d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sv-SE"/>
              </w:rPr>
              <w:t>H</w:t>
            </w:r>
            <w:r>
              <w:rPr>
                <w:rFonts w:ascii="Times New Roman" w:hAnsi="Times New Roman" w:cs="Times New Roman"/>
                <w:color w:val="000000"/>
                <w:lang w:val="sv-SE"/>
              </w:rPr>
              <w:t>, d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sv-SE"/>
              </w:rPr>
              <w:t>V</w:t>
            </w:r>
            <w:r>
              <w:rPr>
                <w:rFonts w:ascii="Times New Roman" w:hAnsi="Times New Roman" w:cs="Times New Roman"/>
                <w:color w:val="000000"/>
                <w:lang w:val="sv-SE"/>
              </w:rPr>
              <w:t>) = (0.5, 0.8)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λ for FR1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lang w:val="en-GB"/>
              </w:rPr>
              <w:t>2 ports (8,8,2,1,1) and 8 ports (4,8,2,2,2) for 30GHz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sv-SE" w:eastAsia="ja-JP"/>
              </w:rPr>
            </w:pPr>
            <w:r>
              <w:rPr>
                <w:rFonts w:ascii="Times New Roman" w:hAnsi="Times New Roman" w:cs="Times New Roman"/>
                <w:color w:val="000000"/>
                <w:lang w:val="en-GB"/>
              </w:rPr>
              <w:t>Other antenna configurations is not precluded (such as 32 ports)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sv-SE" w:eastAsia="ja-JP"/>
              </w:rPr>
            </w:pPr>
            <w:r>
              <w:rPr>
                <w:rFonts w:ascii="Times New Roman" w:hAnsi="Times New Roman" w:cs="Times New Roman"/>
                <w:color w:val="000000"/>
                <w:lang w:val="sv-SE"/>
              </w:rPr>
              <w:t>2 ports: (M, N, P, M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sv-SE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sv-SE"/>
              </w:rPr>
              <w:t>, N</w:t>
            </w:r>
            <w:r>
              <w:rPr>
                <w:rFonts w:ascii="Times New Roman" w:hAnsi="Times New Roman" w:cs="Times New Roman"/>
                <w:color w:val="000000"/>
                <w:vertAlign w:val="subscript"/>
                <w:lang w:val="sv-SE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sv-SE"/>
              </w:rPr>
              <w:t>) = (1,1,2,1,1)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lang w:val="en-GB"/>
              </w:rPr>
              <w:t>for 4GHz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lang w:val="en-GB"/>
              </w:rPr>
              <w:t>2 ports: (4,4,2,1,1) for 30GHz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lang w:val="en-GB"/>
              </w:rPr>
              <w:t>Other antenna configurations is not precluded.</w:t>
            </w:r>
          </w:p>
        </w:tc>
      </w:tr>
      <w:tr w:rsidR="00D6644C" w:rsidTr="00AE2D24">
        <w:trPr>
          <w:trHeight w:val="2122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 w:eastAsia="ko-KR"/>
              </w:rPr>
            </w:pPr>
            <w:r>
              <w:rPr>
                <w:rFonts w:ascii="Times New Roman" w:hAnsi="Times New Roman" w:cs="Times New Roman"/>
                <w:lang w:val="en-GB" w:eastAsia="ko-KR"/>
              </w:rPr>
              <w:t>UE antenna configuration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  <w:lang w:val="en-GB"/>
              </w:rPr>
              <w:t>4Rx Port: (Baseline)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GB"/>
              </w:rPr>
              <w:t>M,N</w:t>
            </w:r>
            <w:proofErr w:type="gramEnd"/>
            <w:r>
              <w:rPr>
                <w:rFonts w:ascii="Times New Roman" w:hAnsi="Times New Roman" w:cs="Times New Roman"/>
                <w:lang w:val="en-GB"/>
              </w:rPr>
              <w:t>,P,Mg,Ng</w:t>
            </w:r>
            <w:proofErr w:type="spellEnd"/>
            <w:r>
              <w:rPr>
                <w:rFonts w:ascii="Times New Roman" w:hAnsi="Times New Roman" w:cs="Times New Roman"/>
                <w:lang w:val="sv-SE"/>
              </w:rPr>
              <w:t>,Mp,Np</w:t>
            </w:r>
            <w:r>
              <w:rPr>
                <w:rFonts w:ascii="Times New Roman" w:hAnsi="Times New Roman" w:cs="Times New Roman"/>
                <w:lang w:val="en-GB"/>
              </w:rPr>
              <w:t xml:space="preserve">) = </w:t>
            </w:r>
            <w:r>
              <w:rPr>
                <w:rFonts w:ascii="Times New Roman" w:hAnsi="Times New Roman" w:cs="Times New Roman"/>
                <w:snapToGrid w:val="0"/>
                <w:lang w:val="en-GB"/>
              </w:rPr>
              <w:t>=(1,2,2,1,1,1,2), (</w:t>
            </w:r>
            <w:proofErr w:type="spellStart"/>
            <w:r>
              <w:rPr>
                <w:rFonts w:ascii="Times New Roman" w:hAnsi="Times New Roman" w:cs="Times New Roman"/>
                <w:snapToGrid w:val="0"/>
                <w:lang w:val="en-GB"/>
              </w:rPr>
              <w:t>dH,dV</w:t>
            </w:r>
            <w:proofErr w:type="spellEnd"/>
            <w:r>
              <w:rPr>
                <w:rFonts w:ascii="Times New Roman" w:hAnsi="Times New Roman" w:cs="Times New Roman"/>
                <w:snapToGrid w:val="0"/>
                <w:lang w:val="en-GB"/>
              </w:rPr>
              <w:t>) = (0.5, 0.5)λ for FR1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snapToGrid w:val="0"/>
                <w:sz w:val="20"/>
                <w:szCs w:val="20"/>
                <w:lang w:val="en-GB"/>
              </w:rPr>
            </w:pP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sv-SE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For 30 GHz: </w:t>
            </w:r>
            <w:r>
              <w:rPr>
                <w:rFonts w:ascii="Times New Roman" w:hAnsi="Times New Roman" w:cs="Times New Roman"/>
                <w:lang w:val="en-GB" w:eastAsia="ja-JP"/>
              </w:rPr>
              <w:t>(M, N, P, M</w:t>
            </w:r>
            <w:r>
              <w:rPr>
                <w:rFonts w:ascii="Times New Roman" w:hAnsi="Times New Roman" w:cs="Times New Roman"/>
                <w:vertAlign w:val="subscript"/>
                <w:lang w:val="en-GB" w:eastAsia="ja-JP"/>
              </w:rPr>
              <w:t>g</w:t>
            </w:r>
            <w:r>
              <w:rPr>
                <w:rFonts w:ascii="Times New Roman" w:hAnsi="Times New Roman" w:cs="Times New Roman"/>
                <w:lang w:val="en-GB" w:eastAsia="ja-JP"/>
              </w:rPr>
              <w:t>, N</w:t>
            </w:r>
            <w:r>
              <w:rPr>
                <w:rFonts w:ascii="Times New Roman" w:hAnsi="Times New Roman" w:cs="Times New Roman"/>
                <w:vertAlign w:val="subscript"/>
                <w:lang w:val="en-GB" w:eastAsia="ja-JP"/>
              </w:rPr>
              <w:t>g</w:t>
            </w:r>
            <w:r>
              <w:rPr>
                <w:rFonts w:ascii="Times New Roman" w:hAnsi="Times New Roman" w:cs="Times New Roman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lang w:val="en-GB"/>
              </w:rPr>
              <w:t xml:space="preserve"> = (2, 4, 2, 1, 2); </w:t>
            </w:r>
            <w:r>
              <w:rPr>
                <w:rFonts w:ascii="Times New Roman" w:hAnsi="Times New Roman" w:cs="Times New Roman"/>
                <w:lang w:val="en-GB" w:eastAsia="ja-JP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vertAlign w:val="subscript"/>
                <w:lang w:val="en-GB" w:eastAsia="ja-JP"/>
              </w:rPr>
              <w:t>V</w:t>
            </w:r>
            <w:proofErr w:type="spellEnd"/>
            <w:r>
              <w:rPr>
                <w:rFonts w:ascii="Times New Roman" w:hAnsi="Times New Roman" w:cs="Times New Roman"/>
                <w:lang w:val="en-GB" w:eastAsia="ja-JP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vertAlign w:val="subscript"/>
                <w:lang w:val="en-GB" w:eastAsia="ja-JP"/>
              </w:rPr>
              <w:t>H</w:t>
            </w:r>
            <w:proofErr w:type="spellEnd"/>
            <w:r>
              <w:rPr>
                <w:rFonts w:ascii="Times New Roman" w:hAnsi="Times New Roman" w:cs="Times New Roman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lang w:val="en-GB"/>
              </w:rPr>
              <w:t xml:space="preserve"> = (0.5, 0.5)λ. </w:t>
            </w:r>
            <w:r>
              <w:rPr>
                <w:rFonts w:ascii="Times New Roman" w:hAnsi="Times New Roman" w:cs="Times New Roman"/>
                <w:lang w:val="en-GB" w:eastAsia="ja-JP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vertAlign w:val="subscript"/>
                <w:lang w:val="en-GB" w:eastAsia="ja-JP"/>
              </w:rPr>
              <w:t>g,V</w:t>
            </w:r>
            <w:proofErr w:type="spellEnd"/>
            <w:r>
              <w:rPr>
                <w:rFonts w:ascii="Times New Roman" w:hAnsi="Times New Roman" w:cs="Times New Roman"/>
                <w:lang w:val="en-GB" w:eastAsia="ja-JP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vertAlign w:val="subscript"/>
                <w:lang w:val="en-GB" w:eastAsia="ja-JP"/>
              </w:rPr>
              <w:t>g,H</w:t>
            </w:r>
            <w:proofErr w:type="spellEnd"/>
            <w:r>
              <w:rPr>
                <w:rFonts w:ascii="Times New Roman" w:hAnsi="Times New Roman" w:cs="Times New Roman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lang w:val="en-GB"/>
              </w:rPr>
              <w:t xml:space="preserve"> = (0, 0)λ. *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Θ</w:t>
            </w:r>
            <w:r>
              <w:rPr>
                <w:rFonts w:ascii="Times New Roman" w:hAnsi="Times New Roman" w:cs="Times New Roman"/>
                <w:vertAlign w:val="subscript"/>
                <w:lang w:val="en-GB"/>
              </w:rPr>
              <w:t>mg,ng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=90°; Ω</w:t>
            </w:r>
            <w:r>
              <w:rPr>
                <w:rFonts w:ascii="Times New Roman" w:hAnsi="Times New Roman" w:cs="Times New Roman"/>
                <w:vertAlign w:val="subscript"/>
                <w:lang w:val="en-GB"/>
              </w:rPr>
              <w:t>0,1</w:t>
            </w:r>
            <w:r>
              <w:rPr>
                <w:rFonts w:ascii="Times New Roman" w:hAnsi="Times New Roman" w:cs="Times New Roman"/>
                <w:lang w:val="en-GB"/>
              </w:rPr>
              <w:t>=Ω</w:t>
            </w:r>
            <w:r>
              <w:rPr>
                <w:rFonts w:ascii="Times New Roman" w:hAnsi="Times New Roman" w:cs="Times New Roman"/>
                <w:vertAlign w:val="subscript"/>
                <w:lang w:val="en-GB"/>
              </w:rPr>
              <w:t>0,0</w:t>
            </w:r>
            <w:r>
              <w:rPr>
                <w:rFonts w:ascii="Times New Roman" w:hAnsi="Times New Roman" w:cs="Times New Roman"/>
                <w:lang w:val="en-GB"/>
              </w:rPr>
              <w:t>+180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44C" w:rsidRDefault="00D6644C" w:rsidP="00AE2D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  <w:lang w:val="en-GB"/>
              </w:rPr>
              <w:t>4Rx Port: (Baseline)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GB"/>
              </w:rPr>
              <w:t>M,N</w:t>
            </w:r>
            <w:proofErr w:type="gramEnd"/>
            <w:r>
              <w:rPr>
                <w:rFonts w:ascii="Times New Roman" w:hAnsi="Times New Roman" w:cs="Times New Roman"/>
                <w:lang w:val="en-GB"/>
              </w:rPr>
              <w:t>,P,Mg,Ng</w:t>
            </w:r>
            <w:proofErr w:type="spellEnd"/>
            <w:r>
              <w:rPr>
                <w:rFonts w:ascii="Times New Roman" w:hAnsi="Times New Roman" w:cs="Times New Roman"/>
                <w:lang w:val="sv-SE"/>
              </w:rPr>
              <w:t>,Mp,Np</w:t>
            </w:r>
            <w:r>
              <w:rPr>
                <w:rFonts w:ascii="Times New Roman" w:hAnsi="Times New Roman" w:cs="Times New Roman"/>
                <w:lang w:val="en-GB"/>
              </w:rPr>
              <w:t xml:space="preserve">) = </w:t>
            </w:r>
            <w:r>
              <w:rPr>
                <w:rFonts w:ascii="Times New Roman" w:hAnsi="Times New Roman" w:cs="Times New Roman"/>
                <w:snapToGrid w:val="0"/>
                <w:lang w:val="en-GB"/>
              </w:rPr>
              <w:t>=(1,2,2,1,1,1,2), (</w:t>
            </w:r>
            <w:proofErr w:type="spellStart"/>
            <w:r>
              <w:rPr>
                <w:rFonts w:ascii="Times New Roman" w:hAnsi="Times New Roman" w:cs="Times New Roman"/>
                <w:snapToGrid w:val="0"/>
                <w:lang w:val="en-GB"/>
              </w:rPr>
              <w:t>dH,dV</w:t>
            </w:r>
            <w:proofErr w:type="spellEnd"/>
            <w:r>
              <w:rPr>
                <w:rFonts w:ascii="Times New Roman" w:hAnsi="Times New Roman" w:cs="Times New Roman"/>
                <w:snapToGrid w:val="0"/>
                <w:lang w:val="en-GB"/>
              </w:rPr>
              <w:t>) = (0.5, 0.5)λ for 4GHz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snapToGrid w:val="0"/>
                <w:sz w:val="20"/>
                <w:szCs w:val="20"/>
                <w:lang w:val="en-GB"/>
              </w:rPr>
            </w:pP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snapToGrid w:val="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For 30 GHz: </w:t>
            </w:r>
            <w:r>
              <w:rPr>
                <w:rFonts w:ascii="Times New Roman" w:hAnsi="Times New Roman" w:cs="Times New Roman"/>
                <w:lang w:val="en-GB" w:eastAsia="ja-JP"/>
              </w:rPr>
              <w:t>(M, N, P, M</w:t>
            </w:r>
            <w:r>
              <w:rPr>
                <w:rFonts w:ascii="Times New Roman" w:hAnsi="Times New Roman" w:cs="Times New Roman"/>
                <w:vertAlign w:val="subscript"/>
                <w:lang w:val="en-GB" w:eastAsia="ja-JP"/>
              </w:rPr>
              <w:t>g</w:t>
            </w:r>
            <w:r>
              <w:rPr>
                <w:rFonts w:ascii="Times New Roman" w:hAnsi="Times New Roman" w:cs="Times New Roman"/>
                <w:lang w:val="en-GB" w:eastAsia="ja-JP"/>
              </w:rPr>
              <w:t>, N</w:t>
            </w:r>
            <w:r>
              <w:rPr>
                <w:rFonts w:ascii="Times New Roman" w:hAnsi="Times New Roman" w:cs="Times New Roman"/>
                <w:vertAlign w:val="subscript"/>
                <w:lang w:val="en-GB" w:eastAsia="ja-JP"/>
              </w:rPr>
              <w:t>g</w:t>
            </w:r>
            <w:r>
              <w:rPr>
                <w:rFonts w:ascii="Times New Roman" w:hAnsi="Times New Roman" w:cs="Times New Roman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lang w:val="en-GB"/>
              </w:rPr>
              <w:t xml:space="preserve"> = (2, 4, 2, 1, 2); </w:t>
            </w:r>
            <w:r>
              <w:rPr>
                <w:rFonts w:ascii="Times New Roman" w:hAnsi="Times New Roman" w:cs="Times New Roman"/>
                <w:lang w:val="en-GB" w:eastAsia="ja-JP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vertAlign w:val="subscript"/>
                <w:lang w:val="en-GB" w:eastAsia="ja-JP"/>
              </w:rPr>
              <w:t>V</w:t>
            </w:r>
            <w:proofErr w:type="spellEnd"/>
            <w:r>
              <w:rPr>
                <w:rFonts w:ascii="Times New Roman" w:hAnsi="Times New Roman" w:cs="Times New Roman"/>
                <w:lang w:val="en-GB" w:eastAsia="ja-JP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vertAlign w:val="subscript"/>
                <w:lang w:val="en-GB" w:eastAsia="ja-JP"/>
              </w:rPr>
              <w:t>H</w:t>
            </w:r>
            <w:proofErr w:type="spellEnd"/>
            <w:r>
              <w:rPr>
                <w:rFonts w:ascii="Times New Roman" w:hAnsi="Times New Roman" w:cs="Times New Roman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lang w:val="en-GB"/>
              </w:rPr>
              <w:t xml:space="preserve"> = (0.5,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>0.5)λ.</w:t>
            </w:r>
            <w:proofErr w:type="gram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 w:eastAsia="ja-JP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vertAlign w:val="subscript"/>
                <w:lang w:val="en-GB" w:eastAsia="ja-JP"/>
              </w:rPr>
              <w:t>g,V</w:t>
            </w:r>
            <w:proofErr w:type="spellEnd"/>
            <w:r>
              <w:rPr>
                <w:rFonts w:ascii="Times New Roman" w:hAnsi="Times New Roman" w:cs="Times New Roman"/>
                <w:lang w:val="en-GB" w:eastAsia="ja-JP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vertAlign w:val="subscript"/>
                <w:lang w:val="en-GB" w:eastAsia="ja-JP"/>
              </w:rPr>
              <w:t>g,H</w:t>
            </w:r>
            <w:proofErr w:type="spellEnd"/>
            <w:r>
              <w:rPr>
                <w:rFonts w:ascii="Times New Roman" w:hAnsi="Times New Roman" w:cs="Times New Roman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lang w:val="en-GB"/>
              </w:rPr>
              <w:t xml:space="preserve"> = (0, 0)λ. *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Θ</w:t>
            </w:r>
            <w:r>
              <w:rPr>
                <w:rFonts w:ascii="Times New Roman" w:hAnsi="Times New Roman" w:cs="Times New Roman"/>
                <w:vertAlign w:val="subscript"/>
                <w:lang w:val="en-GB"/>
              </w:rPr>
              <w:t>mg,ng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=90°; Ω</w:t>
            </w:r>
            <w:r>
              <w:rPr>
                <w:rFonts w:ascii="Times New Roman" w:hAnsi="Times New Roman" w:cs="Times New Roman"/>
                <w:vertAlign w:val="subscript"/>
                <w:lang w:val="en-GB"/>
              </w:rPr>
              <w:t>0,1</w:t>
            </w:r>
            <w:r>
              <w:rPr>
                <w:rFonts w:ascii="Times New Roman" w:hAnsi="Times New Roman" w:cs="Times New Roman"/>
                <w:lang w:val="en-GB"/>
              </w:rPr>
              <w:t>=Ω</w:t>
            </w:r>
            <w:r>
              <w:rPr>
                <w:rFonts w:ascii="Times New Roman" w:hAnsi="Times New Roman" w:cs="Times New Roman"/>
                <w:vertAlign w:val="subscript"/>
                <w:lang w:val="en-GB"/>
              </w:rPr>
              <w:t>0,0</w:t>
            </w:r>
            <w:r>
              <w:rPr>
                <w:rFonts w:ascii="Times New Roman" w:hAnsi="Times New Roman" w:cs="Times New Roman"/>
                <w:lang w:val="en-GB"/>
              </w:rPr>
              <w:t>+180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000000"/>
                <w:lang w:val="sv-SE"/>
              </w:rPr>
            </w:pPr>
          </w:p>
        </w:tc>
      </w:tr>
      <w:tr w:rsidR="00D6644C" w:rsidTr="00AE2D24">
        <w:trPr>
          <w:trHeight w:val="119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 w:eastAsia="ja-JP"/>
              </w:rPr>
            </w:pPr>
            <w:r>
              <w:rPr>
                <w:rFonts w:ascii="Times New Roman" w:hAnsi="Times New Roman" w:cs="Times New Roman"/>
                <w:color w:val="000000"/>
                <w:lang w:val="en-GB"/>
              </w:rPr>
              <w:t>Coordination assumptions</w:t>
            </w:r>
          </w:p>
        </w:tc>
        <w:tc>
          <w:tcPr>
            <w:tcW w:w="8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Each company to provide details on cluster size, coordination scheme,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:rsidR="00D6644C" w:rsidRDefault="00D6644C" w:rsidP="00AE2D24">
      <w:pPr>
        <w:snapToGrid w:val="0"/>
        <w:spacing w:after="0" w:line="240" w:lineRule="auto"/>
        <w:rPr>
          <w:rFonts w:ascii="Times New Roman" w:hAnsi="Times New Roman" w:cs="Times New Roman"/>
          <w:lang w:val="en-GB" w:eastAsia="ja-JP"/>
        </w:rPr>
      </w:pPr>
    </w:p>
    <w:p w:rsidR="00D6644C" w:rsidRPr="006F77FB" w:rsidRDefault="00D6644C" w:rsidP="00AE2D24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highlight w:val="green"/>
          <w:lang w:val="en-GB" w:eastAsia="ja-JP"/>
        </w:rPr>
      </w:pPr>
      <w:r w:rsidRPr="006F77FB">
        <w:rPr>
          <w:rFonts w:ascii="Times New Roman" w:hAnsi="Times New Roman" w:cs="Times New Roman"/>
          <w:b/>
          <w:bCs/>
          <w:highlight w:val="green"/>
          <w:lang w:val="en-GB" w:eastAsia="ja-JP"/>
        </w:rPr>
        <w:t xml:space="preserve">Agreement </w:t>
      </w:r>
    </w:p>
    <w:p w:rsidR="00D6644C" w:rsidRPr="006F77FB" w:rsidRDefault="00D6644C" w:rsidP="00AE2D24">
      <w:pPr>
        <w:snapToGrid w:val="0"/>
        <w:spacing w:after="0" w:line="240" w:lineRule="auto"/>
        <w:rPr>
          <w:rFonts w:ascii="Times New Roman" w:hAnsi="Times New Roman" w:cs="Times New Roman"/>
          <w:lang w:val="en-GB" w:eastAsia="x-none"/>
        </w:rPr>
      </w:pPr>
      <w:r w:rsidRPr="006F77FB">
        <w:rPr>
          <w:rFonts w:ascii="Times New Roman" w:hAnsi="Times New Roman" w:cs="Times New Roman"/>
          <w:lang w:val="en-GB" w:eastAsia="x-none"/>
        </w:rPr>
        <w:t xml:space="preserve">Baseline scheme to evaluate </w:t>
      </w:r>
      <w:proofErr w:type="spellStart"/>
      <w:r w:rsidRPr="006F77FB">
        <w:rPr>
          <w:rFonts w:ascii="Times New Roman" w:hAnsi="Times New Roman" w:cs="Times New Roman"/>
          <w:lang w:val="en-GB" w:eastAsia="x-none"/>
        </w:rPr>
        <w:t>eMBB</w:t>
      </w:r>
      <w:proofErr w:type="spellEnd"/>
      <w:r w:rsidRPr="006F77FB">
        <w:rPr>
          <w:rFonts w:ascii="Times New Roman" w:hAnsi="Times New Roman" w:cs="Times New Roman"/>
          <w:lang w:val="en-GB" w:eastAsia="x-none"/>
        </w:rPr>
        <w:t xml:space="preserve"> multi-TRP enhancements is DPS or single TRP</w:t>
      </w:r>
    </w:p>
    <w:p w:rsidR="00D6644C" w:rsidRPr="006F77FB" w:rsidRDefault="00D6644C" w:rsidP="00AE2D24">
      <w:pPr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lang w:val="en-GB" w:eastAsia="x-none"/>
        </w:rPr>
      </w:pPr>
      <w:r w:rsidRPr="006F77FB">
        <w:rPr>
          <w:rFonts w:ascii="Times New Roman" w:hAnsi="Times New Roman" w:cs="Times New Roman"/>
          <w:lang w:val="en-GB" w:eastAsia="x-none"/>
        </w:rPr>
        <w:t xml:space="preserve">Each company to provide the details on backhaul delay, CSI reporting, transmission scheme, scheduling, </w:t>
      </w:r>
      <w:proofErr w:type="spellStart"/>
      <w:r w:rsidRPr="006F77FB">
        <w:rPr>
          <w:rFonts w:ascii="Times New Roman" w:hAnsi="Times New Roman" w:cs="Times New Roman"/>
          <w:lang w:val="en-GB" w:eastAsia="x-none"/>
        </w:rPr>
        <w:t>etc</w:t>
      </w:r>
      <w:proofErr w:type="spellEnd"/>
    </w:p>
    <w:p w:rsidR="00D6644C" w:rsidRPr="006F77FB" w:rsidRDefault="00D6644C" w:rsidP="00AE2D24">
      <w:pPr>
        <w:snapToGrid w:val="0"/>
        <w:spacing w:after="0" w:line="240" w:lineRule="auto"/>
        <w:rPr>
          <w:rFonts w:ascii="Times New Roman" w:hAnsi="Times New Roman" w:cs="Times New Roman"/>
          <w:lang w:val="en-GB" w:eastAsia="x-none"/>
        </w:rPr>
      </w:pPr>
    </w:p>
    <w:p w:rsidR="00D6644C" w:rsidRPr="006F77FB" w:rsidRDefault="00D6644C" w:rsidP="00AE2D24">
      <w:pPr>
        <w:snapToGrid w:val="0"/>
        <w:spacing w:after="0" w:line="240" w:lineRule="auto"/>
        <w:rPr>
          <w:rFonts w:ascii="Times New Roman" w:hAnsi="Times New Roman" w:cs="Times New Roman"/>
          <w:b/>
          <w:bCs/>
          <w:lang w:val="en-GB" w:eastAsia="x-none"/>
        </w:rPr>
      </w:pPr>
      <w:r w:rsidRPr="006F77FB">
        <w:rPr>
          <w:rFonts w:ascii="Times New Roman" w:hAnsi="Times New Roman" w:cs="Times New Roman"/>
          <w:b/>
          <w:bCs/>
          <w:highlight w:val="green"/>
          <w:lang w:val="en-GB" w:eastAsia="x-none"/>
        </w:rPr>
        <w:lastRenderedPageBreak/>
        <w:t>Agreement</w:t>
      </w:r>
    </w:p>
    <w:p w:rsidR="00D6644C" w:rsidRPr="006F77FB" w:rsidRDefault="00D6644C" w:rsidP="00AE2D24">
      <w:pPr>
        <w:snapToGrid w:val="0"/>
        <w:spacing w:after="0" w:line="240" w:lineRule="auto"/>
        <w:rPr>
          <w:rFonts w:ascii="Times New Roman" w:hAnsi="Times New Roman" w:cs="Times New Roman"/>
          <w:highlight w:val="cyan"/>
          <w:lang w:val="en-GB" w:eastAsia="x-none"/>
        </w:rPr>
      </w:pPr>
      <w:r w:rsidRPr="006F77FB">
        <w:rPr>
          <w:rFonts w:ascii="Times New Roman" w:hAnsi="Times New Roman" w:cs="Times New Roman"/>
          <w:lang w:val="en-GB" w:eastAsia="x-none"/>
        </w:rPr>
        <w:t>The LLS/SLS simulation assumptions list in the following 2 tables below are agreed except for the red entries which will be discussed over email</w:t>
      </w:r>
    </w:p>
    <w:p w:rsidR="00D6644C" w:rsidRPr="006F77FB" w:rsidRDefault="00D6644C" w:rsidP="00AE2D24">
      <w:pPr>
        <w:pStyle w:val="Caption"/>
        <w:keepNext/>
        <w:snapToGrid w:val="0"/>
        <w:spacing w:before="0" w:after="0"/>
        <w:jc w:val="center"/>
        <w:rPr>
          <w:rFonts w:ascii="Times New Roman" w:hAnsi="Times New Roman" w:cs="Times New Roman"/>
          <w:lang w:val="en-GB"/>
        </w:rPr>
      </w:pPr>
      <w:r w:rsidRPr="006F77FB">
        <w:rPr>
          <w:rFonts w:ascii="Times New Roman" w:hAnsi="Times New Roman" w:cs="Times New Roman"/>
          <w:lang w:val="en-GB"/>
        </w:rPr>
        <w:t xml:space="preserve">Table 2. </w:t>
      </w:r>
      <w:r w:rsidRPr="006F77FB">
        <w:rPr>
          <w:rFonts w:ascii="Times New Roman" w:hAnsi="Times New Roman" w:cs="Times New Roman"/>
          <w:lang w:val="en-GB" w:eastAsia="ja-JP"/>
        </w:rPr>
        <w:t>Simulation assumptions for beam management. (LLS)</w:t>
      </w:r>
    </w:p>
    <w:tbl>
      <w:tblPr>
        <w:tblW w:w="96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7539"/>
      </w:tblGrid>
      <w:tr w:rsidR="00D6644C" w:rsidRPr="006F77FB" w:rsidTr="00D6644C">
        <w:trPr>
          <w:trHeight w:val="197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Pr="006F77FB" w:rsidRDefault="00D6644C" w:rsidP="00AE2D24">
            <w:pPr>
              <w:pStyle w:val="TAH"/>
              <w:snapToGrid w:val="0"/>
              <w:rPr>
                <w:rFonts w:ascii="Times New Roman" w:hAnsi="Times New Roman" w:cs="Times New Roman"/>
                <w:lang w:val="en-GB"/>
              </w:rPr>
            </w:pPr>
            <w:r w:rsidRPr="006F77FB">
              <w:rPr>
                <w:rFonts w:ascii="Times New Roman" w:hAnsi="Times New Roman" w:cs="Times New Roman"/>
                <w:lang w:val="en-GB"/>
              </w:rPr>
              <w:t>Parameters</w:t>
            </w:r>
          </w:p>
        </w:tc>
        <w:tc>
          <w:tcPr>
            <w:tcW w:w="7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Pr="006F77FB" w:rsidRDefault="00D6644C" w:rsidP="00AE2D24">
            <w:pPr>
              <w:pStyle w:val="TAH"/>
              <w:snapToGrid w:val="0"/>
              <w:rPr>
                <w:rFonts w:ascii="Times New Roman" w:hAnsi="Times New Roman" w:cs="Times New Roman"/>
                <w:lang w:val="en-GB"/>
              </w:rPr>
            </w:pPr>
            <w:r w:rsidRPr="006F77FB">
              <w:rPr>
                <w:rFonts w:ascii="Times New Roman" w:hAnsi="Times New Roman" w:cs="Times New Roman"/>
                <w:lang w:val="en-GB"/>
              </w:rPr>
              <w:t>Values</w:t>
            </w:r>
          </w:p>
        </w:tc>
      </w:tr>
      <w:tr w:rsidR="00D6644C" w:rsidTr="00D6644C">
        <w:trPr>
          <w:trHeight w:val="208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Carrier Frequency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 GHz</w:t>
            </w:r>
          </w:p>
        </w:tc>
      </w:tr>
      <w:tr w:rsidR="00D6644C" w:rsidTr="00D6644C">
        <w:trPr>
          <w:trHeight w:val="310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Subcarrier Spacing for data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 30 GHz: 120kHz</w:t>
            </w:r>
          </w:p>
        </w:tc>
      </w:tr>
      <w:tr w:rsidR="00D6644C" w:rsidTr="00D6644C">
        <w:trPr>
          <w:trHeight w:val="52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Data allocation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b/>
                <w:bCs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8 RBs (baseline), </w:t>
            </w:r>
            <w:r>
              <w:rPr>
                <w:rFonts w:ascii="Times New Roman" w:hAnsi="Times New Roman" w:cs="Times New Roman"/>
                <w:color w:val="FF0000"/>
                <w:u w:val="single"/>
                <w:lang w:val="en-GB"/>
              </w:rPr>
              <w:t>Larger # of PRB (e.g. 32) can be considered.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>First 2 OFDM symbols for PDCCH, and following 12 OFDM symbols for data channel</w:t>
            </w:r>
          </w:p>
        </w:tc>
      </w:tr>
      <w:tr w:rsidR="00D6644C" w:rsidTr="00D6644C">
        <w:trPr>
          <w:trHeight w:val="1180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Channel Model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>CDL-A model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>-               delay spread =30ns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-               UE speed=3km/h. (baseline) </w:t>
            </w:r>
            <w:r>
              <w:rPr>
                <w:rFonts w:ascii="Times New Roman" w:hAnsi="Times New Roman" w:cs="Times New Roman"/>
                <w:color w:val="FF0000"/>
                <w:u w:val="single"/>
                <w:lang w:val="en-GB"/>
              </w:rPr>
              <w:t>30, 60km/h (optional)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 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-               The angles of BS, i.e.,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/>
              </w:rPr>
              <w:t>AoD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/>
              </w:rPr>
              <w:t>ZoD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, are uniformly distributed within [-60, 60] degrees in azimuth domain and [90, 135] degrees in zenith domain, and those of UE, i.e.,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/>
              </w:rPr>
              <w:t>AoA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/>
              </w:rPr>
              <w:t>ZoA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, are uniformly distributed within [-180, 180] degrees in azimuth domain and [45, 90] in zenith domain, via applying uniform-distribution desired mean angle in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/>
              </w:rPr>
              <w:t>subclause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 7.7.5.1 in TR 38.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 xml:space="preserve">901 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accordingly.</w:t>
            </w:r>
          </w:p>
        </w:tc>
      </w:tr>
      <w:tr w:rsidR="00D6644C" w:rsidTr="00D6644C">
        <w:trPr>
          <w:trHeight w:val="566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TXRU mapping to antenna elements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explain details of the using TXRU mapping to antenna elements.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Notes: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2D DFT based beam </w:t>
            </w:r>
            <w:r>
              <w:rPr>
                <w:rFonts w:ascii="Times New Roman" w:hAnsi="Times New Roman" w:cs="Times New Roman"/>
                <w:lang w:val="it-IT"/>
              </w:rPr>
              <w:t>per polarization</w:t>
            </w:r>
            <w:r>
              <w:rPr>
                <w:rFonts w:ascii="Times New Roman" w:hAnsi="Times New Roman" w:cs="Times New Roman"/>
                <w:lang w:val="en-GB"/>
              </w:rPr>
              <w:t xml:space="preserve"> as a baseline;</w:t>
            </w:r>
          </w:p>
        </w:tc>
      </w:tr>
      <w:tr w:rsidR="00D6644C" w:rsidTr="00D6644C">
        <w:trPr>
          <w:trHeight w:val="310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TXRU mapping weights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to provide details on TXRU mapping weights.</w:t>
            </w:r>
          </w:p>
        </w:tc>
      </w:tr>
      <w:tr w:rsidR="00D6644C" w:rsidTr="00D6644C">
        <w:trPr>
          <w:trHeight w:val="419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Procedure of beam sweeping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to provide details on procedure of beam sweeping.</w:t>
            </w:r>
          </w:p>
        </w:tc>
      </w:tr>
      <w:tr w:rsidR="00D6644C" w:rsidTr="00D6644C">
        <w:trPr>
          <w:trHeight w:val="377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Criteria for beam selection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to provide details on criteria for beam selection.</w:t>
            </w:r>
          </w:p>
        </w:tc>
      </w:tr>
      <w:tr w:rsidR="00D6644C" w:rsidTr="00D6644C">
        <w:trPr>
          <w:trHeight w:val="292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UE reporting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to provide details on criteria for UE reporting.</w:t>
            </w:r>
          </w:p>
        </w:tc>
      </w:tr>
      <w:tr w:rsidR="00D6644C" w:rsidTr="00D6644C">
        <w:trPr>
          <w:trHeight w:val="353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 antenna configurations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sv-SE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For 30 GHz: 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(M, N, P, M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g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, N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g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 = (4, 8, 2, 2, 2). 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(d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sv-SE" w:eastAsia="ja-JP"/>
              </w:rPr>
              <w:t>V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, 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sv-SE" w:eastAsia="ja-JP"/>
              </w:rPr>
              <w:t>H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sv-SE"/>
              </w:rPr>
              <w:t xml:space="preserve"> = (0.5, 0.5)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λ</w:t>
            </w:r>
            <w:r>
              <w:rPr>
                <w:rFonts w:ascii="Times New Roman" w:hAnsi="Times New Roman" w:cs="Times New Roman"/>
                <w:color w:val="FF0000"/>
                <w:lang w:val="sv-SE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(d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sv-SE" w:eastAsia="ja-JP"/>
              </w:rPr>
              <w:t>g,V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, 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sv-SE" w:eastAsia="ja-JP"/>
              </w:rPr>
              <w:t>g,H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sv-SE"/>
              </w:rPr>
              <w:t xml:space="preserve"> = (2.0, 4.0)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λ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sv-SE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or 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(M, N, P, M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g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, N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g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 = (4, 8, 2, 1, 1). 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(d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sv-SE" w:eastAsia="ja-JP"/>
              </w:rPr>
              <w:t>V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, 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sv-SE" w:eastAsia="ja-JP"/>
              </w:rPr>
              <w:t>H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sv-SE"/>
              </w:rPr>
              <w:t xml:space="preserve"> = (0.5, 0.5)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λ</w:t>
            </w:r>
            <w:r>
              <w:rPr>
                <w:rFonts w:ascii="Times New Roman" w:hAnsi="Times New Roman" w:cs="Times New Roman"/>
                <w:color w:val="FF0000"/>
                <w:lang w:val="sv-SE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(d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sv-SE" w:eastAsia="ja-JP"/>
              </w:rPr>
              <w:t>g,V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, 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sv-SE" w:eastAsia="ja-JP"/>
              </w:rPr>
              <w:t>g,H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sv-SE"/>
              </w:rPr>
              <w:t xml:space="preserve"> = (2.0, 4.0)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λ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Other Antenna configuration is not precluded. </w:t>
            </w:r>
          </w:p>
        </w:tc>
      </w:tr>
      <w:tr w:rsidR="00D6644C" w:rsidTr="00D6644C">
        <w:trPr>
          <w:trHeight w:val="353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 antenna element radiation pattern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 30 GHz: According to TR38.802</w:t>
            </w:r>
          </w:p>
        </w:tc>
      </w:tr>
      <w:tr w:rsidR="00D6644C" w:rsidTr="00D6644C">
        <w:trPr>
          <w:trHeight w:val="353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UE antenna configurations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For 30 GHz: 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(M, N, P, M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g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, N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g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 = (2, 4, 2, 1, 2) or 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(M, N, P, M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g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, N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g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 = (2, 4, 2, 1, 1)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V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H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 = (0.5, </w:t>
            </w:r>
            <w:proofErr w:type="gramStart"/>
            <w:r>
              <w:rPr>
                <w:rFonts w:ascii="Times New Roman" w:hAnsi="Times New Roman" w:cs="Times New Roman"/>
                <w:color w:val="FF0000"/>
                <w:lang w:val="en-GB"/>
              </w:rPr>
              <w:t>0.5)λ.</w:t>
            </w:r>
            <w:proofErr w:type="gramEnd"/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g,V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g,H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 = (0, 0)λ. *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/>
              </w:rPr>
              <w:t>Θ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/>
              </w:rPr>
              <w:t>mg,ng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/>
              </w:rPr>
              <w:t>=90°; Ω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/>
              </w:rPr>
              <w:t>0,1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=Ω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/>
              </w:rPr>
              <w:t>0,0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+180°;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>Other Antenna configuration is not precluded.</w:t>
            </w:r>
          </w:p>
        </w:tc>
      </w:tr>
      <w:tr w:rsidR="00D6644C" w:rsidTr="00D6644C">
        <w:trPr>
          <w:trHeight w:val="353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 array orientation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azimuth 0 degree; mechanic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downtilt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: 0 degree</w:t>
            </w:r>
          </w:p>
        </w:tc>
      </w:tr>
      <w:tr w:rsidR="00D6644C" w:rsidTr="00D6644C">
        <w:trPr>
          <w:trHeight w:val="353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UE array orientation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Ω</w:t>
            </w:r>
            <w:r>
              <w:rPr>
                <w:rFonts w:ascii="Times New Roman" w:hAnsi="Times New Roman" w:cs="Times New Roman"/>
                <w:vertAlign w:val="subscript"/>
                <w:lang w:val="en-GB"/>
              </w:rPr>
              <w:t>UT,a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uniformly distributed on [0, 360] degree,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Ω</w:t>
            </w:r>
            <w:r>
              <w:rPr>
                <w:rFonts w:ascii="Times New Roman" w:hAnsi="Times New Roman" w:cs="Times New Roman"/>
                <w:vertAlign w:val="subscript"/>
                <w:lang w:val="en-GB"/>
              </w:rPr>
              <w:t>UT,b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= 0°,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Ω</w:t>
            </w:r>
            <w:r>
              <w:rPr>
                <w:rFonts w:ascii="Times New Roman" w:hAnsi="Times New Roman" w:cs="Times New Roman"/>
                <w:vertAlign w:val="subscript"/>
                <w:lang w:val="en-GB"/>
              </w:rPr>
              <w:t>UT,g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= 0° (baseline)</w:t>
            </w:r>
          </w:p>
        </w:tc>
      </w:tr>
      <w:tr w:rsidR="00D6644C" w:rsidTr="00D6644C">
        <w:trPr>
          <w:trHeight w:val="353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UE antenna element radiation pattern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See Table A.2.1-8 in TR 38.802</w:t>
            </w:r>
          </w:p>
        </w:tc>
      </w:tr>
      <w:tr w:rsidR="00D6644C" w:rsidTr="00D6644C">
        <w:trPr>
          <w:trHeight w:val="353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Transmission scheme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Multi-antenna port transmission schemes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Note: Companies explain details of the using transmission scheme.</w:t>
            </w:r>
          </w:p>
        </w:tc>
      </w:tr>
      <w:tr w:rsidR="00D6644C" w:rsidTr="00D6644C">
        <w:trPr>
          <w:trHeight w:val="272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MIMO mode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SU-MIMO</w:t>
            </w:r>
          </w:p>
        </w:tc>
      </w:tr>
      <w:tr w:rsidR="00D6644C" w:rsidTr="00D6644C">
        <w:trPr>
          <w:trHeight w:val="314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UE receiver type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MMSE-IRC as baseline; other advanced receiver is not precluded.</w:t>
            </w:r>
          </w:p>
        </w:tc>
      </w:tr>
      <w:tr w:rsidR="00D6644C" w:rsidTr="00D6644C">
        <w:trPr>
          <w:trHeight w:val="282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Link adaptation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Based on CSI-RS</w:t>
            </w:r>
          </w:p>
        </w:tc>
      </w:tr>
    </w:tbl>
    <w:p w:rsidR="00D6644C" w:rsidRDefault="00D6644C" w:rsidP="00AE2D24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 w:eastAsia="en-US"/>
        </w:rPr>
      </w:pPr>
    </w:p>
    <w:p w:rsidR="00D6644C" w:rsidRDefault="00D6644C" w:rsidP="00AE2D24">
      <w:pPr>
        <w:pStyle w:val="Caption"/>
        <w:keepNext/>
        <w:snapToGrid w:val="0"/>
        <w:spacing w:before="0" w:after="0"/>
        <w:jc w:val="center"/>
        <w:rPr>
          <w:rFonts w:ascii="Times New Roman" w:hAnsi="Times New Roman"/>
          <w:lang w:val="en-GB"/>
        </w:rPr>
      </w:pPr>
      <w:r>
        <w:rPr>
          <w:lang w:val="en-GB"/>
        </w:rPr>
        <w:lastRenderedPageBreak/>
        <w:t xml:space="preserve">Table 3. Evaluation </w:t>
      </w:r>
      <w:r>
        <w:rPr>
          <w:lang w:val="en-GB" w:eastAsia="ja-JP"/>
        </w:rPr>
        <w:t>a</w:t>
      </w:r>
      <w:r>
        <w:rPr>
          <w:lang w:val="en-GB"/>
        </w:rPr>
        <w:t>ssumptions</w:t>
      </w:r>
      <w:r>
        <w:rPr>
          <w:lang w:val="en-GB" w:eastAsia="ja-JP"/>
        </w:rPr>
        <w:t xml:space="preserve"> </w:t>
      </w:r>
      <w:r>
        <w:rPr>
          <w:lang w:val="en-GB"/>
        </w:rPr>
        <w:t xml:space="preserve">for </w:t>
      </w:r>
      <w:r>
        <w:rPr>
          <w:lang w:val="en-GB" w:eastAsia="ja-JP"/>
        </w:rPr>
        <w:t>beam management (SLS)</w:t>
      </w:r>
    </w:p>
    <w:tbl>
      <w:tblPr>
        <w:tblW w:w="9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5738"/>
      </w:tblGrid>
      <w:tr w:rsidR="00D6644C" w:rsidTr="00D6644C">
        <w:trPr>
          <w:trHeight w:val="118"/>
        </w:trPr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H"/>
              <w:snapToGrid w:val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Parameters</w:t>
            </w:r>
          </w:p>
        </w:tc>
        <w:tc>
          <w:tcPr>
            <w:tcW w:w="5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H"/>
              <w:snapToGrid w:val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Values</w:t>
            </w:r>
          </w:p>
        </w:tc>
      </w:tr>
      <w:tr w:rsidR="00D6644C" w:rsidTr="00D6644C">
        <w:trPr>
          <w:trHeight w:val="419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Scenarios 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Indoor hotspot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Dense Urban Micro layer only </w:t>
            </w:r>
          </w:p>
        </w:tc>
      </w:tr>
      <w:tr w:rsidR="00D6644C" w:rsidTr="00D6644C">
        <w:trPr>
          <w:trHeight w:val="118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Mode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DL SU-MIMO/ MU-MIMO</w:t>
            </w:r>
          </w:p>
        </w:tc>
      </w:tr>
      <w:tr w:rsidR="00D6644C" w:rsidTr="00D6644C">
        <w:trPr>
          <w:trHeight w:val="118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Simulation bandwidth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80MHz (DL+UL), TDD</w:t>
            </w:r>
          </w:p>
        </w:tc>
      </w:tr>
      <w:tr w:rsidR="00D6644C" w:rsidTr="00D6644C">
        <w:trPr>
          <w:trHeight w:val="118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Subcarrier Spacing for data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120kHz, 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(Other subcarrier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spacings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can be considered)</w:t>
            </w:r>
          </w:p>
        </w:tc>
      </w:tr>
      <w:tr w:rsidR="00D6644C" w:rsidTr="00D6644C">
        <w:trPr>
          <w:trHeight w:val="118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Channel Model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>Following related assumption in TR 38.802/38.901</w:t>
            </w:r>
          </w:p>
        </w:tc>
      </w:tr>
      <w:tr w:rsidR="00D6644C" w:rsidTr="00D6644C">
        <w:trPr>
          <w:trHeight w:val="230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TXRU mapping to antenna elements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explain the details of TXRU mapping to antenna elements.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Notes: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2D DFT based beam </w:t>
            </w:r>
            <w:r>
              <w:rPr>
                <w:rFonts w:ascii="Times New Roman" w:hAnsi="Times New Roman" w:cs="Times New Roman"/>
                <w:lang w:val="it-IT"/>
              </w:rPr>
              <w:t>per polarization</w:t>
            </w:r>
            <w:r>
              <w:rPr>
                <w:rFonts w:ascii="Times New Roman" w:hAnsi="Times New Roman" w:cs="Times New Roman"/>
                <w:lang w:val="en-GB"/>
              </w:rPr>
              <w:t xml:space="preserve"> as a baseline;</w:t>
            </w:r>
          </w:p>
        </w:tc>
      </w:tr>
      <w:tr w:rsidR="00D6644C" w:rsidTr="00D6644C">
        <w:trPr>
          <w:trHeight w:val="118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TXRU mapping weights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explain the details of TXRU mapping weights.</w:t>
            </w:r>
          </w:p>
        </w:tc>
      </w:tr>
      <w:tr w:rsidR="00D6644C" w:rsidTr="00D6644C">
        <w:trPr>
          <w:trHeight w:val="230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Criteria for selection for serving TRP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explain the details of criteria for selection for serving TRP.</w:t>
            </w:r>
          </w:p>
        </w:tc>
      </w:tr>
      <w:tr w:rsidR="00D6644C" w:rsidTr="00D6644C">
        <w:trPr>
          <w:trHeight w:val="230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Criteria for beam selection for serving TRP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explain the details of criteria for beam selection for serving TRP.</w:t>
            </w:r>
          </w:p>
        </w:tc>
      </w:tr>
      <w:tr w:rsidR="00D6644C" w:rsidTr="00D6644C">
        <w:trPr>
          <w:trHeight w:val="34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Constraints for the range of selective beams per TRP sector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explain what scheme is used</w:t>
            </w:r>
          </w:p>
        </w:tc>
      </w:tr>
      <w:tr w:rsidR="00D6644C" w:rsidTr="00D6644C">
        <w:trPr>
          <w:trHeight w:val="274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Scheduling algorithm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explain what scheme is used</w:t>
            </w:r>
          </w:p>
        </w:tc>
      </w:tr>
      <w:tr w:rsidR="00D6644C" w:rsidTr="00D6644C">
        <w:trPr>
          <w:trHeight w:val="274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Link adaptation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Based on CSI-RS.</w:t>
            </w:r>
          </w:p>
        </w:tc>
      </w:tr>
      <w:tr w:rsidR="00D6644C" w:rsidTr="00D6644C">
        <w:trPr>
          <w:trHeight w:val="366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Traffic Model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>FTP model 3 with packet size 0.5Mbytes (other value is not precluded).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strike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>Other traffic models including the full buffer are not precluded.</w:t>
            </w:r>
          </w:p>
        </w:tc>
      </w:tr>
      <w:tr w:rsidR="00D6644C" w:rsidTr="00D6644C">
        <w:trPr>
          <w:trHeight w:val="34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 antenna configurations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sv-SE"/>
              </w:rPr>
            </w:pPr>
            <w:bookmarkStart w:id="0" w:name="_Hlk526726552"/>
            <w:r>
              <w:rPr>
                <w:rFonts w:ascii="Times New Roman" w:hAnsi="Times New Roman" w:cs="Times New Roman"/>
                <w:color w:val="FF0000"/>
                <w:lang w:val="en-GB"/>
              </w:rPr>
              <w:t>(M, N, P, M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/>
              </w:rPr>
              <w:t>g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, N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/>
              </w:rPr>
              <w:t>g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) = (4, 8, 2, 2, 2). </w:t>
            </w:r>
            <w:bookmarkEnd w:id="0"/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(d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sv-SE" w:eastAsia="ja-JP"/>
              </w:rPr>
              <w:t>V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, 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sv-SE" w:eastAsia="ja-JP"/>
              </w:rPr>
              <w:t>H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sv-SE"/>
              </w:rPr>
              <w:t xml:space="preserve"> = (0.5, 0.5) 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λ</w:t>
            </w:r>
            <w:r>
              <w:rPr>
                <w:rFonts w:ascii="Times New Roman" w:hAnsi="Times New Roman" w:cs="Times New Roman"/>
                <w:color w:val="FF0000"/>
                <w:lang w:val="sv-SE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(d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sv-SE" w:eastAsia="ja-JP"/>
              </w:rPr>
              <w:t>g,V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, 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sv-SE" w:eastAsia="ja-JP"/>
              </w:rPr>
              <w:t>g,H</w:t>
            </w:r>
            <w:r>
              <w:rPr>
                <w:rFonts w:ascii="Times New Roman" w:hAnsi="Times New Roman" w:cs="Times New Roman"/>
                <w:color w:val="FF0000"/>
                <w:lang w:val="sv-SE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sv-SE"/>
              </w:rPr>
              <w:t xml:space="preserve"> = (2.0, 4.0) 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λ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>Note: important to consider also other antenna configurations to maintain flexibility</w:t>
            </w:r>
          </w:p>
        </w:tc>
      </w:tr>
      <w:tr w:rsidR="00D6644C" w:rsidTr="00D6644C">
        <w:trPr>
          <w:trHeight w:val="34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 antenna element radiation pattern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According to TR38.802</w:t>
            </w:r>
          </w:p>
        </w:tc>
      </w:tr>
      <w:tr w:rsidR="00D6644C" w:rsidTr="00D6644C">
        <w:trPr>
          <w:trHeight w:val="79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UE antenna configurations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(M, N, P,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lang w:val="en-GB"/>
              </w:rPr>
              <w:t>M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/>
              </w:rPr>
              <w:t>g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,N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/>
              </w:rPr>
              <w:t>g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) = (2, 4, 2, 1, 2); 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V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H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 = (0.5, 0.5) λ. </w:t>
            </w:r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g,V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d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 w:eastAsia="ja-JP"/>
              </w:rPr>
              <w:t>g,H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 w:eastAsia="ja-JP"/>
              </w:rPr>
              <w:t>)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 = (0, 0) λ. *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en-GB"/>
              </w:rPr>
              <w:t>Θ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/>
              </w:rPr>
              <w:t>mg,ng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GB"/>
              </w:rPr>
              <w:t>=90°; Ω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/>
              </w:rPr>
              <w:t>0,1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=Ω</w:t>
            </w:r>
            <w:r>
              <w:rPr>
                <w:rFonts w:ascii="Times New Roman" w:hAnsi="Times New Roman" w:cs="Times New Roman"/>
                <w:color w:val="FF0000"/>
                <w:vertAlign w:val="subscript"/>
                <w:lang w:val="en-GB"/>
              </w:rPr>
              <w:t>0,0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+180°;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>Note: important to consider also other antenna configurations to maintain flexibility</w:t>
            </w:r>
          </w:p>
        </w:tc>
      </w:tr>
      <w:tr w:rsidR="00D6644C" w:rsidTr="00D6644C">
        <w:trPr>
          <w:trHeight w:val="34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UE antenna element radiation pattern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See Table A.2.1-8 in TR 38.802</w:t>
            </w:r>
          </w:p>
        </w:tc>
      </w:tr>
      <w:tr w:rsidR="00D6644C" w:rsidTr="00D6644C">
        <w:trPr>
          <w:trHeight w:val="34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Inter-panel calibration for UE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>Ideal, non-ideal following 38.802 (optional)</w:t>
            </w:r>
          </w:p>
        </w:tc>
      </w:tr>
      <w:tr w:rsidR="00D6644C" w:rsidTr="00D6644C">
        <w:trPr>
          <w:trHeight w:val="34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Beam correspondence 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report details of the assumptions</w:t>
            </w:r>
          </w:p>
        </w:tc>
      </w:tr>
      <w:tr w:rsidR="00D6644C" w:rsidTr="00D6644C">
        <w:trPr>
          <w:trHeight w:val="34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Control and RS overhead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Companies report details of the assumptions </w:t>
            </w:r>
          </w:p>
        </w:tc>
      </w:tr>
      <w:tr w:rsidR="00D6644C" w:rsidTr="00D6644C">
        <w:trPr>
          <w:trHeight w:val="34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Control channel decoding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Ideal or Non-ideal (Companies explain how is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modeled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D6644C" w:rsidTr="00D6644C">
        <w:trPr>
          <w:trHeight w:val="34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UE receiver type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MMSE-IRC as the baseline, other advanced receiver is not precluded</w:t>
            </w:r>
          </w:p>
        </w:tc>
      </w:tr>
      <w:tr w:rsidR="00D6644C" w:rsidTr="00D6644C">
        <w:trPr>
          <w:trHeight w:val="34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BF scheme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Companies explain what scheme is used</w:t>
            </w:r>
          </w:p>
        </w:tc>
      </w:tr>
      <w:tr w:rsidR="00D6644C" w:rsidTr="00D6644C">
        <w:trPr>
          <w:trHeight w:val="34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Transmission scheme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Multi-antenna port transmission schemes</w:t>
            </w:r>
          </w:p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Note: Companies explain details of the using transmission scheme.</w:t>
            </w:r>
          </w:p>
        </w:tc>
      </w:tr>
      <w:tr w:rsidR="00D6644C" w:rsidTr="00D6644C">
        <w:trPr>
          <w:trHeight w:val="341"/>
        </w:trPr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UE mobility feature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644C" w:rsidRDefault="00D6644C" w:rsidP="00AE2D24">
            <w:pPr>
              <w:pStyle w:val="TAL"/>
              <w:snapToGrid w:val="0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lang w:val="en-GB"/>
              </w:rPr>
              <w:t>Companies to provide details on add-on features including UE mobility, rotation, blockage, etc.</w:t>
            </w:r>
          </w:p>
        </w:tc>
      </w:tr>
    </w:tbl>
    <w:p w:rsidR="00B309D9" w:rsidRPr="00D6644C" w:rsidRDefault="00B309D9" w:rsidP="00AE2D24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  <w:bookmarkStart w:id="1" w:name="_GoBack"/>
      <w:bookmarkEnd w:id="1"/>
    </w:p>
    <w:sectPr w:rsidR="00B309D9" w:rsidRPr="00D6644C" w:rsidSect="00D22AE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604E"/>
    <w:multiLevelType w:val="hybridMultilevel"/>
    <w:tmpl w:val="5086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25975841"/>
    <w:multiLevelType w:val="hybridMultilevel"/>
    <w:tmpl w:val="EAAC8BF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D9"/>
    <w:rsid w:val="006F77FB"/>
    <w:rsid w:val="00AE2D24"/>
    <w:rsid w:val="00B309D9"/>
    <w:rsid w:val="00D22AEC"/>
    <w:rsid w:val="00D6644C"/>
    <w:rsid w:val="00E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1836"/>
  <w15:chartTrackingRefBased/>
  <w15:docId w15:val="{83F5474F-988E-4491-84F7-51545738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44C"/>
    <w:pPr>
      <w:spacing w:before="100" w:beforeAutospacing="1" w:after="100" w:afterAutospacing="1" w:line="240" w:lineRule="auto"/>
      <w:ind w:left="720" w:hanging="720"/>
    </w:pPr>
    <w:rPr>
      <w:rFonts w:ascii="Arial" w:hAnsi="Arial" w:cs="Arial"/>
      <w:color w:val="493118"/>
      <w:sz w:val="18"/>
      <w:szCs w:val="18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3GPP Caption Table Char,Ca Char"/>
    <w:basedOn w:val="DefaultParagraphFont"/>
    <w:link w:val="Caption"/>
    <w:uiPriority w:val="99"/>
    <w:semiHidden/>
    <w:locked/>
    <w:rsid w:val="00D6644C"/>
    <w:rPr>
      <w:b/>
      <w:bCs/>
      <w:lang w:eastAsia="ar-SA"/>
    </w:rPr>
  </w:style>
  <w:style w:type="paragraph" w:styleId="Caption">
    <w:name w:val="caption"/>
    <w:aliases w:val="cap,cap Char,Caption Char,Caption Char1 Char,cap Char Char1,Caption Char Char1 Char,cap Char2,条目,3GPP Caption Table,Ca"/>
    <w:basedOn w:val="Normal"/>
    <w:link w:val="CaptionChar1"/>
    <w:uiPriority w:val="99"/>
    <w:semiHidden/>
    <w:unhideWhenUsed/>
    <w:qFormat/>
    <w:rsid w:val="00D6644C"/>
    <w:pPr>
      <w:overflowPunct w:val="0"/>
      <w:autoSpaceDE w:val="0"/>
      <w:spacing w:before="120" w:after="120" w:line="240" w:lineRule="auto"/>
    </w:pPr>
    <w:rPr>
      <w:b/>
      <w:bCs/>
      <w:lang w:eastAsia="ar-SA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"/>
    <w:basedOn w:val="DefaultParagraphFont"/>
    <w:link w:val="ListParagraph"/>
    <w:uiPriority w:val="34"/>
    <w:locked/>
    <w:rsid w:val="00D6644C"/>
    <w:rPr>
      <w:rFonts w:ascii="Times" w:hAnsi="Times"/>
      <w:lang w:eastAsia="x-none"/>
    </w:rPr>
  </w:style>
  <w:style w:type="paragraph" w:styleId="ListParagraph">
    <w:name w:val="List Paragraph"/>
    <w:aliases w:val="- Bullets,?? ??,?????,????,Lista1,列出段落,목록 단락,リスト段落,列出段落1,中等深浅网格 1 - 着色 21"/>
    <w:basedOn w:val="Normal"/>
    <w:link w:val="ListParagraphChar"/>
    <w:uiPriority w:val="34"/>
    <w:qFormat/>
    <w:rsid w:val="00D6644C"/>
    <w:pPr>
      <w:spacing w:after="0" w:line="240" w:lineRule="auto"/>
      <w:ind w:leftChars="400" w:left="840" w:hanging="720"/>
    </w:pPr>
    <w:rPr>
      <w:rFonts w:ascii="Times" w:hAnsi="Times"/>
      <w:lang w:eastAsia="x-none"/>
    </w:rPr>
  </w:style>
  <w:style w:type="character" w:customStyle="1" w:styleId="TALChar">
    <w:name w:val="TAL Char"/>
    <w:basedOn w:val="DefaultParagraphFont"/>
    <w:link w:val="TAL"/>
    <w:semiHidden/>
    <w:locked/>
    <w:rsid w:val="00D6644C"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har"/>
    <w:semiHidden/>
    <w:rsid w:val="00D6644C"/>
    <w:pPr>
      <w:keepNext/>
      <w:spacing w:after="0" w:line="240" w:lineRule="auto"/>
    </w:pPr>
    <w:rPr>
      <w:rFonts w:ascii="Arial" w:hAnsi="Arial" w:cs="Arial"/>
      <w:lang w:eastAsia="en-US"/>
    </w:rPr>
  </w:style>
  <w:style w:type="character" w:customStyle="1" w:styleId="TAHCar">
    <w:name w:val="TAH Car"/>
    <w:basedOn w:val="DefaultParagraphFont"/>
    <w:link w:val="TAH"/>
    <w:semiHidden/>
    <w:locked/>
    <w:rsid w:val="00D6644C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6644C"/>
    <w:pPr>
      <w:keepNext/>
      <w:overflowPunct w:val="0"/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5</cp:revision>
  <dcterms:created xsi:type="dcterms:W3CDTF">2020-06-18T09:37:00Z</dcterms:created>
  <dcterms:modified xsi:type="dcterms:W3CDTF">2020-06-18T10:00:00Z</dcterms:modified>
</cp:coreProperties>
</file>