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up so companies are encouraged to provide your input/feedback in the next meeting </w:t>
      </w:r>
      <w:proofErr w:type="gramStart"/>
      <w:r w:rsidR="0042316A">
        <w:t>in order to</w:t>
      </w:r>
      <w:proofErr w:type="gramEnd"/>
      <w:r w:rsidR="0042316A">
        <w:t xml:space="preserve">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234264"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 xml:space="preserve">t seems no need to change the specification as the pseudo code in Section 9.1.3.2 only covers the case for </w:t>
      </w:r>
      <w:proofErr w:type="gramStart"/>
      <w:r w:rsidRPr="002E0CB0">
        <w:rPr>
          <w:rFonts w:eastAsia="Malgun Gothic" w:hint="eastAsia"/>
          <w:sz w:val="22"/>
          <w:lang w:val="en-GB"/>
        </w:rPr>
        <w:t>1 bit</w:t>
      </w:r>
      <w:proofErr w:type="gramEnd"/>
      <w:r w:rsidRPr="002E0CB0">
        <w:rPr>
          <w:rFonts w:eastAsia="Malgun Gothic" w:hint="eastAsia"/>
          <w:sz w:val="22"/>
          <w:lang w:val="en-GB"/>
        </w:rPr>
        <w:t xml:space="preserve">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w:t>
      </w:r>
      <w:proofErr w:type="gramStart"/>
      <w:r>
        <w:rPr>
          <w:rFonts w:hint="eastAsia"/>
        </w:rPr>
        <w:t>valid</w:t>
      </w:r>
      <w:proofErr w:type="gramEnd"/>
      <w:r>
        <w:rPr>
          <w:rFonts w:hint="eastAsia"/>
        </w:rPr>
        <w:t xml:space="preserve">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234264"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15EAF32A" w14:textId="77777777" w:rsidR="000913A5" w:rsidRPr="00475E1E" w:rsidRDefault="000913A5" w:rsidP="000A35E7">
            <w:pPr>
              <w:pStyle w:val="xmsonormal"/>
              <w:spacing w:line="240" w:lineRule="atLeast"/>
              <w:jc w:val="both"/>
              <w:rPr>
                <w:rFonts w:ascii="Gulim" w:eastAsia="Gulim" w:hAnsi="Gulim"/>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475E1E" w:rsidRDefault="000913A5" w:rsidP="000A35E7">
            <w:pPr>
              <w:pStyle w:val="xmsonormal"/>
              <w:spacing w:line="240" w:lineRule="atLeast"/>
              <w:jc w:val="both"/>
              <w:rPr>
                <w:rFonts w:ascii="Gulim" w:eastAsia="Gulim" w:hAnsi="Gulim"/>
                <w:sz w:val="20"/>
                <w:szCs w:val="20"/>
              </w:rPr>
            </w:pPr>
          </w:p>
        </w:tc>
      </w:tr>
      <w:tr w:rsidR="000913A5"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48C49091" w14:textId="77777777" w:rsidR="000913A5" w:rsidRPr="00475E1E" w:rsidRDefault="000913A5" w:rsidP="000A35E7">
            <w:pPr>
              <w:pStyle w:val="xmsonormal"/>
              <w:spacing w:line="240" w:lineRule="atLeast"/>
              <w:jc w:val="both"/>
              <w:rPr>
                <w:rFonts w:ascii="Gulim" w:eastAsia="Gulim" w:hAnsi="Gulim"/>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77777777" w:rsidR="000913A5" w:rsidRPr="00475E1E" w:rsidRDefault="000913A5" w:rsidP="000A35E7">
            <w:pPr>
              <w:pStyle w:val="xmsonormal"/>
              <w:spacing w:line="240" w:lineRule="atLeast"/>
              <w:jc w:val="both"/>
              <w:rPr>
                <w:rFonts w:ascii="Gulim" w:eastAsia="Gulim" w:hAnsi="Gulim"/>
                <w:sz w:val="20"/>
                <w:szCs w:val="20"/>
              </w:rPr>
            </w:pP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45923EC0" w14:textId="77777777" w:rsidR="000913A5" w:rsidRPr="00475E1E" w:rsidRDefault="000913A5" w:rsidP="000A35E7">
            <w:pPr>
              <w:pStyle w:val="xa"/>
              <w:spacing w:after="120"/>
              <w:ind w:left="840" w:hanging="420"/>
              <w:jc w:val="both"/>
              <w:rPr>
                <w:rFonts w:ascii="MS Mincho" w:eastAsia="MS Mincho"/>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77777777" w:rsidR="000913A5" w:rsidRPr="00475E1E" w:rsidRDefault="000913A5" w:rsidP="000A35E7">
            <w:pPr>
              <w:pStyle w:val="xa"/>
              <w:spacing w:after="120"/>
              <w:ind w:left="840" w:hanging="420"/>
              <w:jc w:val="both"/>
              <w:rPr>
                <w:rFonts w:ascii="MS Mincho" w:eastAsia="MS Mincho"/>
                <w:sz w:val="20"/>
                <w:szCs w:val="20"/>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6.65pt" o:ole="">
            <v:imagedata r:id="rId21" o:title=""/>
          </v:shape>
          <o:OLEObject Type="Embed" ProgID="Equation.3" ShapeID="_x0000_i1025" DrawAspect="Content" ObjectID="_1651946600"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234264"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lastRenderedPageBreak/>
              <w:t>end if</w:t>
            </w:r>
          </w:p>
          <w:p w14:paraId="39608A25" w14:textId="77777777" w:rsidR="00A44B87" w:rsidRDefault="00234264"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lastRenderedPageBreak/>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234264"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 xml:space="preserve">UE generates one A/N bit for all </w:t>
            </w:r>
            <w:proofErr w:type="spellStart"/>
            <w:r w:rsidR="00F80C7C" w:rsidRPr="00F80C7C">
              <w:rPr>
                <w:rFonts w:ascii="Times New Roman" w:eastAsia="Gulim" w:hAnsi="Times New Roman" w:cs="Times New Roman"/>
                <w:sz w:val="20"/>
                <w:szCs w:val="20"/>
              </w:rPr>
              <w:t>pdsch-AggregationFactor</w:t>
            </w:r>
            <w:proofErr w:type="spellEnd"/>
            <w:r w:rsidR="00F80C7C" w:rsidRPr="00F80C7C">
              <w:rPr>
                <w:rFonts w:ascii="Times New Roman" w:eastAsia="Gulim" w:hAnsi="Times New Roman" w:cs="Times New Roman"/>
                <w:sz w:val="20"/>
                <w:szCs w:val="20"/>
              </w:rPr>
              <w:t xml:space="preserve"> occasions same as Rel-15</w:t>
            </w:r>
            <w:r w:rsidR="00F80C7C" w:rsidRPr="00F80C7C">
              <w:rPr>
                <w:rFonts w:ascii="Times New Roman" w:eastAsia="Gulim" w:hAnsi="Times New Roman" w:cs="Times New Roman"/>
                <w:sz w:val="20"/>
                <w:szCs w:val="20"/>
              </w:rPr>
              <w:t>”</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F21200"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D16CD0"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77777777" w:rsidR="003E0B0C" w:rsidRPr="00475E1E" w:rsidRDefault="003E0B0C" w:rsidP="000A35E7">
            <w:pPr>
              <w:pStyle w:val="xa"/>
              <w:spacing w:after="120"/>
              <w:ind w:left="840" w:hanging="420"/>
              <w:jc w:val="both"/>
              <w:rPr>
                <w:rFonts w:ascii="MS Mincho" w:eastAsia="MS Mincho"/>
                <w:sz w:val="20"/>
                <w:szCs w:val="20"/>
              </w:rPr>
            </w:pP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w:t>
      </w:r>
      <w:r w:rsidRPr="009C2842">
        <w:rPr>
          <w:rFonts w:eastAsia="Malgun Gothic"/>
          <w:b/>
        </w:rPr>
        <w:lastRenderedPageBreak/>
        <w:t>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w:t>
            </w:r>
            <w:proofErr w:type="gramStart"/>
            <w:r w:rsidRPr="0010702C">
              <w:rPr>
                <w:rFonts w:ascii="Times New Roman" w:eastAsia="Gulim" w:hAnsi="Times New Roman" w:cs="Times New Roman"/>
                <w:sz w:val="20"/>
                <w:szCs w:val="20"/>
              </w:rPr>
              <w:t>and also</w:t>
            </w:r>
            <w:proofErr w:type="gramEnd"/>
            <w:r w:rsidRPr="0010702C">
              <w:rPr>
                <w:rFonts w:ascii="Times New Roman" w:eastAsia="Gulim" w:hAnsi="Times New Roman" w:cs="Times New Roman"/>
                <w:sz w:val="20"/>
                <w:szCs w:val="20"/>
              </w:rPr>
              <w:t xml:space="preserve">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A6BF2FE"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77777777" w:rsidR="003E0B0C" w:rsidRPr="00475E1E" w:rsidRDefault="003E0B0C" w:rsidP="000A35E7">
            <w:pPr>
              <w:pStyle w:val="xa"/>
              <w:spacing w:after="120"/>
              <w:ind w:left="840" w:hanging="420"/>
              <w:jc w:val="both"/>
              <w:rPr>
                <w:rFonts w:ascii="MS Mincho" w:eastAsia="MS Mincho"/>
                <w:sz w:val="20"/>
                <w:szCs w:val="20"/>
              </w:rPr>
            </w:pP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proofErr w:type="spellStart"/>
            <w:r w:rsidRPr="0010702C">
              <w:rPr>
                <w:i/>
                <w:iCs/>
                <w:lang w:eastAsia="ko-KR"/>
              </w:rPr>
              <w:t>pdsch-TimeDomainAllocationList</w:t>
            </w:r>
            <w:proofErr w:type="spellEnd"/>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w:t>
            </w:r>
            <w:proofErr w:type="spellStart"/>
            <w:r w:rsidRPr="0010702C">
              <w:rPr>
                <w:rFonts w:ascii="Times New Roman" w:hAnsi="Times New Roman" w:cs="Times New Roman"/>
                <w:i/>
                <w:sz w:val="20"/>
                <w:szCs w:val="20"/>
              </w:rPr>
              <w:t>DataToUL</w:t>
            </w:r>
            <w:proofErr w:type="spellEnd"/>
            <w:r w:rsidRPr="0010702C">
              <w:rPr>
                <w:rFonts w:ascii="Times New Roman" w:hAnsi="Times New Roman" w:cs="Times New Roman"/>
                <w:i/>
                <w:sz w:val="20"/>
                <w:szCs w:val="20"/>
              </w:rPr>
              <w:t>-ACK</w:t>
            </w:r>
            <w:r w:rsidRPr="0010702C">
              <w:rPr>
                <w:rFonts w:ascii="Times New Roman" w:hAnsi="Times New Roman" w:cs="Times New Roman"/>
                <w:sz w:val="20"/>
                <w:szCs w:val="20"/>
                <w:lang w:eastAsia="zh-CN"/>
              </w:rPr>
              <w:t xml:space="preserve"> if the PDSCH-to-</w:t>
            </w:r>
            <w:proofErr w:type="spellStart"/>
            <w:r w:rsidRPr="0010702C">
              <w:rPr>
                <w:rFonts w:ascii="Times New Roman" w:hAnsi="Times New Roman" w:cs="Times New Roman"/>
                <w:sz w:val="20"/>
                <w:szCs w:val="20"/>
                <w:lang w:eastAsia="zh-CN"/>
              </w:rPr>
              <w:t>HARQ_feedback</w:t>
            </w:r>
            <w:proofErr w:type="spellEnd"/>
            <w:r w:rsidRPr="0010702C">
              <w:rPr>
                <w:rFonts w:ascii="Times New Roman" w:hAnsi="Times New Roman" w:cs="Times New Roman"/>
                <w:sz w:val="20"/>
                <w:szCs w:val="20"/>
                <w:lang w:eastAsia="zh-CN"/>
              </w:rPr>
              <w:t xml:space="preserve">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77777777" w:rsidR="003E0B0C" w:rsidRPr="00475E1E" w:rsidRDefault="003E0B0C" w:rsidP="000A35E7">
            <w:pPr>
              <w:pStyle w:val="xa"/>
              <w:spacing w:after="120"/>
              <w:ind w:left="840" w:hanging="420"/>
              <w:jc w:val="both"/>
              <w:rPr>
                <w:rFonts w:ascii="MS Mincho" w:eastAsia="MS Mincho"/>
                <w:sz w:val="20"/>
                <w:szCs w:val="20"/>
              </w:rPr>
            </w:pP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940BC" w14:textId="77777777" w:rsidR="00234264" w:rsidRDefault="00234264" w:rsidP="00EB01D8">
      <w:pPr>
        <w:spacing w:line="240" w:lineRule="auto"/>
      </w:pPr>
      <w:r>
        <w:separator/>
      </w:r>
    </w:p>
  </w:endnote>
  <w:endnote w:type="continuationSeparator" w:id="0">
    <w:p w14:paraId="77BF093F" w14:textId="77777777" w:rsidR="00234264" w:rsidRDefault="00234264"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5543D" w14:textId="77777777" w:rsidR="00234264" w:rsidRDefault="00234264" w:rsidP="00EB01D8">
      <w:pPr>
        <w:spacing w:line="240" w:lineRule="auto"/>
      </w:pPr>
      <w:r>
        <w:separator/>
      </w:r>
    </w:p>
  </w:footnote>
  <w:footnote w:type="continuationSeparator" w:id="0">
    <w:p w14:paraId="30FC0EC7" w14:textId="77777777" w:rsidR="00234264" w:rsidRDefault="00234264"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E2AF6"/>
    <w:rsid w:val="000F1550"/>
    <w:rsid w:val="000F29AE"/>
    <w:rsid w:val="000F7196"/>
    <w:rsid w:val="001022FF"/>
    <w:rsid w:val="0010702C"/>
    <w:rsid w:val="001118AC"/>
    <w:rsid w:val="0011237C"/>
    <w:rsid w:val="001171EE"/>
    <w:rsid w:val="001205A7"/>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728F"/>
    <w:rsid w:val="004C72B5"/>
    <w:rsid w:val="004D088E"/>
    <w:rsid w:val="004D25F7"/>
    <w:rsid w:val="004E3B70"/>
    <w:rsid w:val="004F1135"/>
    <w:rsid w:val="00514477"/>
    <w:rsid w:val="005220F7"/>
    <w:rsid w:val="0052466E"/>
    <w:rsid w:val="00532139"/>
    <w:rsid w:val="00545D47"/>
    <w:rsid w:val="00554A20"/>
    <w:rsid w:val="0055660A"/>
    <w:rsid w:val="00561F6E"/>
    <w:rsid w:val="005679B7"/>
    <w:rsid w:val="0058159C"/>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746A9"/>
    <w:rsid w:val="00A75CED"/>
    <w:rsid w:val="00A76A60"/>
    <w:rsid w:val="00A924A8"/>
    <w:rsid w:val="00AA6D3A"/>
    <w:rsid w:val="00AE3A8C"/>
    <w:rsid w:val="00AF433D"/>
    <w:rsid w:val="00B023DB"/>
    <w:rsid w:val="00B0258E"/>
    <w:rsid w:val="00B13046"/>
    <w:rsid w:val="00B15D39"/>
    <w:rsid w:val="00B25ADC"/>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5051</Words>
  <Characters>28793</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Ali Fakoorian</cp:lastModifiedBy>
  <cp:revision>3</cp:revision>
  <dcterms:created xsi:type="dcterms:W3CDTF">2020-05-26T01:57:00Z</dcterms:created>
  <dcterms:modified xsi:type="dcterms:W3CDTF">2020-05-26T01:58:00Z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