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855D5" w14:textId="77777777"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Batang" w:hAnsi="Times"/>
        </w:rPr>
      </w:pPr>
      <w:r w:rsidRPr="002255B7">
        <w:rPr>
          <w:rFonts w:ascii="Times" w:eastAsia="Batang" w:hAnsi="Times"/>
          <w:highlight w:val="cyan"/>
        </w:rPr>
        <w:t>[101-e-NR-5G_V2X_NRSL-QoS-01] Email approval of the TP regarding  treatment of resources reserved, but not used due to HARQ feedback and/or pre-emption by 5/28 – Torsten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af3"/>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1"/>
        <w:spacing w:after="120"/>
        <w:jc w:val="both"/>
        <w:rPr>
          <w:lang w:eastAsia="zh-CN"/>
        </w:rPr>
      </w:pPr>
      <w:r>
        <w:rPr>
          <w:lang w:eastAsia="zh-CN"/>
        </w:rPr>
        <w:t>Second round</w:t>
      </w:r>
    </w:p>
    <w:p w14:paraId="673C6B0A" w14:textId="77777777" w:rsidR="002C2969" w:rsidRDefault="002C2969" w:rsidP="002C2969">
      <w:pPr>
        <w:pStyle w:val="2"/>
      </w:pPr>
      <w:r>
        <w:t>Summary of views expressed in first round</w:t>
      </w:r>
    </w:p>
    <w:p w14:paraId="13E34FC7" w14:textId="77777777" w:rsidR="00B36FAF" w:rsidRPr="002255B7" w:rsidRDefault="00424619" w:rsidP="0058787A">
      <w:pPr>
        <w:rPr>
          <w:iCs/>
        </w:rPr>
      </w:pPr>
      <w:r w:rsidRPr="002255B7">
        <w:rPr>
          <w:iCs/>
        </w:rPr>
        <w:t>Regarding Q1, there is a slight majority in favour of changing TS 38.215 such that future granted resources which have been released due to HARQ feedback are not counted in the evaluation of CR:</w:t>
      </w:r>
    </w:p>
    <w:p w14:paraId="12784369" w14:textId="77777777" w:rsidR="00424619" w:rsidRPr="002255B7" w:rsidRDefault="00424619" w:rsidP="00424619">
      <w:pPr>
        <w:pStyle w:val="af3"/>
        <w:numPr>
          <w:ilvl w:val="0"/>
          <w:numId w:val="27"/>
        </w:numPr>
        <w:rPr>
          <w:iCs/>
        </w:rPr>
      </w:pPr>
      <w:r w:rsidRPr="002255B7">
        <w:rPr>
          <w:iCs/>
        </w:rPr>
        <w:t>Yes: Futurewei, Apple, Intel, Samsung, Ericsson, ZTE/Sanechips, CATT (7)</w:t>
      </w:r>
    </w:p>
    <w:p w14:paraId="2ABEDCE0" w14:textId="77777777" w:rsidR="00424619" w:rsidRPr="002255B7" w:rsidRDefault="00424619" w:rsidP="00424619">
      <w:pPr>
        <w:pStyle w:val="af3"/>
        <w:numPr>
          <w:ilvl w:val="0"/>
          <w:numId w:val="27"/>
        </w:numPr>
        <w:rPr>
          <w:iCs/>
        </w:rPr>
      </w:pPr>
      <w:r w:rsidRPr="002255B7">
        <w:rPr>
          <w:iCs/>
        </w:rPr>
        <w:t>No: Nokia/NSB, OPPO, vivo, Huawei/HiSilicon,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that the behaviour for releasing resources due to HARQ feedback is already specified explicitly</w:t>
      </w:r>
      <w:r w:rsidRPr="002255B7">
        <w:rPr>
          <w:iCs/>
        </w:rPr>
        <w:t>:</w:t>
      </w:r>
    </w:p>
    <w:tbl>
      <w:tblPr>
        <w:tblStyle w:val="a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szCs w:val="20"/>
                <w:lang w:eastAsia="ja-JP"/>
              </w:rPr>
            </w:pPr>
            <w:bookmarkStart w:id="1" w:name="_Toc12569232"/>
            <w:bookmarkStart w:id="2" w:name="_Toc37296249"/>
            <w:r w:rsidRPr="002255B7">
              <w:rPr>
                <w:rFonts w:ascii="Arial" w:eastAsia="Times New Roman" w:hAnsi="Arial"/>
                <w:szCs w:val="20"/>
                <w:lang w:eastAsia="ja-JP"/>
              </w:rPr>
              <w:t>5.22.1.1</w:t>
            </w:r>
            <w:r w:rsidRPr="002255B7">
              <w:rPr>
                <w:rFonts w:ascii="Arial" w:eastAsia="Times New Roman" w:hAnsi="Arial"/>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eastAsia="Times New Roman"/>
                <w:noProof/>
                <w:szCs w:val="20"/>
                <w:lang w:eastAsia="ja-JP"/>
              </w:rPr>
            </w:pPr>
            <w:r w:rsidRPr="002255B7">
              <w:rPr>
                <w:rFonts w:eastAsia="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eastAsia="Times New Roman"/>
                <w:szCs w:val="20"/>
                <w:lang w:eastAsia="ja-JP"/>
              </w:rPr>
            </w:pPr>
            <w:r w:rsidRPr="002255B7">
              <w:rPr>
                <w:rFonts w:eastAsia="Times New Roman"/>
                <w:noProof/>
                <w:szCs w:val="20"/>
                <w:lang w:eastAsia="ja-JP"/>
              </w:rPr>
              <w:t xml:space="preserve">If </w:t>
            </w:r>
            <w:r w:rsidRPr="002255B7">
              <w:rPr>
                <w:rFonts w:eastAsia="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eastAsia="Times New Roman"/>
                <w:szCs w:val="20"/>
                <w:lang w:eastAsia="ja-JP"/>
              </w:rPr>
            </w:pPr>
            <w:r w:rsidRPr="002255B7">
              <w:rPr>
                <w:rFonts w:eastAsia="Times New Roman"/>
                <w:szCs w:val="20"/>
                <w:lang w:eastAsia="ja-JP"/>
              </w:rPr>
              <w:t>1&gt;</w:t>
            </w:r>
            <w:r w:rsidRPr="002255B7">
              <w:rPr>
                <w:rFonts w:eastAsia="Times New Roman"/>
                <w:szCs w:val="20"/>
                <w:lang w:eastAsia="ja-JP"/>
              </w:rPr>
              <w:tab/>
              <w:t>if a</w:t>
            </w:r>
            <w:r w:rsidRPr="002255B7">
              <w:rPr>
                <w:rFonts w:eastAsia="Times New Roman"/>
                <w:noProof/>
                <w:szCs w:val="20"/>
              </w:rPr>
              <w:t xml:space="preserve"> </w:t>
            </w:r>
            <w:r w:rsidRPr="002255B7">
              <w:rPr>
                <w:rFonts w:eastAsia="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eastAsia="Times New Roman"/>
                <w:szCs w:val="20"/>
                <w:lang w:eastAsia="ja-JP"/>
              </w:rPr>
            </w:pPr>
            <w:r w:rsidRPr="002255B7">
              <w:rPr>
                <w:rFonts w:eastAsia="Times New Roman"/>
                <w:szCs w:val="20"/>
                <w:lang w:eastAsia="ja-JP"/>
              </w:rPr>
              <w:t>2&gt;</w:t>
            </w:r>
            <w:r w:rsidRPr="002255B7">
              <w:rPr>
                <w:rFonts w:eastAsia="Times New Roman"/>
                <w:szCs w:val="20"/>
                <w:lang w:eastAsia="ja-JP"/>
              </w:rPr>
              <w:tab/>
              <w:t xml:space="preserve">clear the </w:t>
            </w:r>
            <w:r w:rsidRPr="002255B7">
              <w:rPr>
                <w:rFonts w:eastAsia="Times New Roman"/>
                <w:noProof/>
                <w:szCs w:val="20"/>
              </w:rPr>
              <w:t xml:space="preserve">PSCCH duration(s) and PSSCH duration(s) corresponding to retransmission(s) of the MAC PDU from </w:t>
            </w:r>
            <w:r w:rsidRPr="002255B7">
              <w:rPr>
                <w:rFonts w:eastAsia="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lastRenderedPageBreak/>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behaviour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2"/>
      </w:pPr>
      <w:r>
        <w:t>Company views – Second round</w:t>
      </w:r>
    </w:p>
    <w:p w14:paraId="257B6281" w14:textId="77777777" w:rsidR="00960DE7" w:rsidRDefault="00960DE7" w:rsidP="0058787A">
      <w:pPr>
        <w:rPr>
          <w:iCs/>
        </w:rPr>
      </w:pPr>
    </w:p>
    <w:tbl>
      <w:tblPr>
        <w:tblStyle w:val="a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Do you agree with the above interpretation of  38.215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rPr>
            </w:pPr>
            <w:r w:rsidRPr="002255B7">
              <w:rPr>
                <w:rFonts w:eastAsia="Malgun Gothic"/>
                <w:iCs/>
              </w:rPr>
              <w:t xml:space="preserve">A: It seems that FL’s interpretation is correct. On the other hands, we are not </w:t>
            </w:r>
            <w:r w:rsidR="006E08CB" w:rsidRPr="002255B7">
              <w:rPr>
                <w:rFonts w:eastAsia="Malgun Gothic"/>
                <w:iCs/>
              </w:rPr>
              <w:t>technically</w:t>
            </w:r>
            <w:r w:rsidRPr="002255B7">
              <w:rPr>
                <w:rFonts w:eastAsia="Malgun Gothic"/>
                <w:iCs/>
              </w:rPr>
              <w:t xml:space="preserve"> convinced why there would be no penalty for TX UE to reserve retransmission resource</w:t>
            </w:r>
            <w:r w:rsidR="006E08CB" w:rsidRPr="002255B7">
              <w:rPr>
                <w:rFonts w:eastAsia="Malgun Gothic"/>
                <w:iCs/>
              </w:rPr>
              <w:t>s</w:t>
            </w:r>
            <w:r w:rsidRPr="002255B7">
              <w:rPr>
                <w:rFonts w:eastAsia="Malgun Gothic"/>
                <w:iCs/>
              </w:rPr>
              <w:t xml:space="preserve"> but release those resources </w:t>
            </w:r>
            <w:r w:rsidR="006E08CB" w:rsidRPr="002255B7">
              <w:rPr>
                <w:rFonts w:eastAsia="Malgun Gothic"/>
                <w:iCs/>
              </w:rPr>
              <w:t xml:space="preserve">after receiving ACK. This is because such resources could not be used by other UEs in the system. </w:t>
            </w:r>
          </w:p>
          <w:p w14:paraId="255F880C" w14:textId="77777777" w:rsidR="00281209" w:rsidRPr="002255B7" w:rsidRDefault="00281209" w:rsidP="006E08CB">
            <w:pPr>
              <w:rPr>
                <w:rFonts w:eastAsia="Malgun Gothic"/>
                <w:iCs/>
              </w:rPr>
            </w:pPr>
            <w:r w:rsidRPr="002255B7">
              <w:rPr>
                <w:rFonts w:eastAsia="Malgun Gothic"/>
                <w:iCs/>
              </w:rPr>
              <w:t xml:space="preserve">B: </w:t>
            </w:r>
            <w:r w:rsidR="0057120E" w:rsidRPr="002255B7">
              <w:rPr>
                <w:rFonts w:eastAsia="Malgun Gothic"/>
                <w:iCs/>
              </w:rPr>
              <w:t xml:space="preserve">No. </w:t>
            </w:r>
            <w:r w:rsidR="006E08CB" w:rsidRPr="002255B7">
              <w:rPr>
                <w:rFonts w:eastAsia="Malgun Gothic"/>
                <w:iCs/>
              </w:rPr>
              <w:t>Even though RAN1 agree that future granted resources which have been released due to HARQ feedback are not counted in the evaluation of CR, w</w:t>
            </w:r>
            <w:r w:rsidRPr="002255B7">
              <w:rPr>
                <w:rFonts w:eastAsia="Malgun Gothic"/>
                <w:iCs/>
              </w:rPr>
              <w:t>e think that additional clarification</w:t>
            </w:r>
            <w:r w:rsidR="006E08CB" w:rsidRPr="002255B7">
              <w:rPr>
                <w:rFonts w:eastAsia="Malgun Gothic"/>
                <w:iCs/>
              </w:rPr>
              <w:t xml:space="preserve"> on TS 38.215</w:t>
            </w:r>
            <w:r w:rsidRPr="002255B7">
              <w:rPr>
                <w:rFonts w:eastAsia="Malgun Gothic"/>
                <w:iCs/>
              </w:rPr>
              <w:t xml:space="preserve"> is </w:t>
            </w:r>
            <w:r w:rsidR="006E08CB" w:rsidRPr="002255B7">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Malgun Gothic"/>
                <w:iCs/>
              </w:rPr>
            </w:pPr>
            <w:r>
              <w:rPr>
                <w:rFonts w:eastAsia="Malgun Gothic" w:hint="eastAsia"/>
                <w:iCs/>
              </w:rPr>
              <w:t>S</w:t>
            </w:r>
            <w:r>
              <w:rPr>
                <w:rFonts w:eastAsia="Malgun Gothic"/>
                <w:iCs/>
              </w:rPr>
              <w:t>amsung</w:t>
            </w:r>
          </w:p>
        </w:tc>
        <w:tc>
          <w:tcPr>
            <w:tcW w:w="6955" w:type="dxa"/>
          </w:tcPr>
          <w:p w14:paraId="11FFDF3F" w14:textId="77777777" w:rsidR="00420CB5" w:rsidRDefault="00EF4C37" w:rsidP="0058787A">
            <w:pPr>
              <w:rPr>
                <w:rFonts w:eastAsia="Malgun Gothic"/>
                <w:iCs/>
              </w:rPr>
            </w:pPr>
            <w:r>
              <w:rPr>
                <w:rFonts w:eastAsia="Malgun Gothic" w:hint="eastAsia"/>
                <w:iCs/>
              </w:rPr>
              <w:t>A: Support</w:t>
            </w:r>
          </w:p>
          <w:p w14:paraId="47DE1A61" w14:textId="528743C5" w:rsidR="00EF4C37" w:rsidRPr="00EF4C37" w:rsidRDefault="00EF4C37" w:rsidP="0058787A">
            <w:pPr>
              <w:rPr>
                <w:rFonts w:eastAsia="Malgun Gothic"/>
                <w:iCs/>
              </w:rPr>
            </w:pPr>
            <w:r>
              <w:rPr>
                <w:rFonts w:eastAsia="Malgun Gothic"/>
                <w:iCs/>
              </w:rPr>
              <w:t>B: Support</w:t>
            </w:r>
          </w:p>
        </w:tc>
      </w:tr>
      <w:tr w:rsidR="00420CB5" w:rsidRPr="002255B7" w14:paraId="46FE5EED" w14:textId="77777777" w:rsidTr="00420CB5">
        <w:tc>
          <w:tcPr>
            <w:tcW w:w="2254" w:type="dxa"/>
          </w:tcPr>
          <w:p w14:paraId="51D60B9A" w14:textId="30F950AF" w:rsidR="00420CB5" w:rsidRPr="002255B7" w:rsidRDefault="00353DFC" w:rsidP="0058787A">
            <w:pPr>
              <w:rPr>
                <w:iCs/>
              </w:rPr>
            </w:pPr>
            <w:r>
              <w:rPr>
                <w:iCs/>
              </w:rPr>
              <w:t>ZTE, Sanechips</w:t>
            </w:r>
          </w:p>
        </w:tc>
        <w:tc>
          <w:tcPr>
            <w:tcW w:w="6955" w:type="dxa"/>
          </w:tcPr>
          <w:p w14:paraId="77E3A745" w14:textId="77777777" w:rsidR="00420CB5" w:rsidRDefault="00353DFC" w:rsidP="0058787A">
            <w:pPr>
              <w:rPr>
                <w:iCs/>
              </w:rPr>
            </w:pPr>
            <w:r>
              <w:rPr>
                <w:iCs/>
              </w:rPr>
              <w:t>A: Agree.</w:t>
            </w:r>
          </w:p>
          <w:p w14:paraId="1B87E239" w14:textId="1E627A43" w:rsidR="00353DFC" w:rsidRPr="002255B7" w:rsidRDefault="00353DFC" w:rsidP="00353DFC">
            <w:pPr>
              <w:rPr>
                <w:iCs/>
              </w:rPr>
            </w:pPr>
            <w:r>
              <w:rPr>
                <w:iCs/>
              </w:rPr>
              <w:t>B: Share the same view as FL (</w:t>
            </w:r>
            <w:r w:rsidRPr="002255B7">
              <w:rPr>
                <w:iCs/>
              </w:rPr>
              <w:t>there is no other definition of “grant” or “granted” in current specifications that could be applicable</w:t>
            </w:r>
            <w:r>
              <w:rPr>
                <w:iCs/>
              </w:rPr>
              <w:t xml:space="preserve">, however a note can be considered).  </w:t>
            </w:r>
          </w:p>
        </w:tc>
      </w:tr>
      <w:tr w:rsidR="005543E0" w:rsidRPr="002255B7" w14:paraId="64F6212D" w14:textId="77777777" w:rsidTr="00420CB5">
        <w:tc>
          <w:tcPr>
            <w:tcW w:w="2254" w:type="dxa"/>
          </w:tcPr>
          <w:p w14:paraId="093C5A48" w14:textId="29D5EA08" w:rsidR="005543E0" w:rsidRDefault="005543E0" w:rsidP="0058787A">
            <w:pPr>
              <w:rPr>
                <w:iCs/>
              </w:rPr>
            </w:pPr>
            <w:r>
              <w:rPr>
                <w:iCs/>
              </w:rPr>
              <w:t>Apple</w:t>
            </w:r>
          </w:p>
        </w:tc>
        <w:tc>
          <w:tcPr>
            <w:tcW w:w="6955" w:type="dxa"/>
          </w:tcPr>
          <w:p w14:paraId="31AD975A" w14:textId="77777777" w:rsidR="005543E0" w:rsidRDefault="005543E0" w:rsidP="0058787A">
            <w:pPr>
              <w:rPr>
                <w:iCs/>
              </w:rPr>
            </w:pPr>
            <w:r>
              <w:rPr>
                <w:iCs/>
              </w:rPr>
              <w:t>A: Support</w:t>
            </w:r>
          </w:p>
          <w:p w14:paraId="6B6035A0" w14:textId="0F5D7D28" w:rsidR="005543E0" w:rsidRDefault="005543E0" w:rsidP="0058787A">
            <w:pPr>
              <w:rPr>
                <w:iCs/>
              </w:rPr>
            </w:pPr>
            <w:r>
              <w:rPr>
                <w:iCs/>
              </w:rPr>
              <w:t xml:space="preserve">B: Support. A note in 38.215 addresses the ambiguity of terminology “granted”. </w:t>
            </w:r>
          </w:p>
        </w:tc>
      </w:tr>
      <w:tr w:rsidR="00503A71" w:rsidRPr="002255B7" w14:paraId="3F93E994" w14:textId="77777777" w:rsidTr="00420CB5">
        <w:tc>
          <w:tcPr>
            <w:tcW w:w="2254" w:type="dxa"/>
          </w:tcPr>
          <w:p w14:paraId="4194332B" w14:textId="06027750" w:rsidR="00503A71" w:rsidRPr="00503A71" w:rsidRDefault="00503A71" w:rsidP="0058787A">
            <w:pPr>
              <w:rPr>
                <w:iCs/>
              </w:rPr>
            </w:pPr>
            <w:r>
              <w:rPr>
                <w:iCs/>
              </w:rPr>
              <w:t>Huawei/HiSilicon</w:t>
            </w:r>
          </w:p>
        </w:tc>
        <w:tc>
          <w:tcPr>
            <w:tcW w:w="6955" w:type="dxa"/>
          </w:tcPr>
          <w:p w14:paraId="29A6D83C" w14:textId="01C4CF1C" w:rsidR="00503A71" w:rsidRDefault="002202AA" w:rsidP="0058787A">
            <w:pPr>
              <w:rPr>
                <w:iCs/>
              </w:rPr>
            </w:pPr>
            <w:r>
              <w:rPr>
                <w:iCs/>
              </w:rPr>
              <w:t>N</w:t>
            </w:r>
            <w:r w:rsidR="00503A71">
              <w:rPr>
                <w:iCs/>
              </w:rPr>
              <w:t>ot support.</w:t>
            </w:r>
          </w:p>
          <w:p w14:paraId="10471598" w14:textId="1F21D47B" w:rsidR="00503A71" w:rsidRDefault="00503A71" w:rsidP="00503A71">
            <w:pPr>
              <w:rPr>
                <w:iCs/>
              </w:rPr>
            </w:pPr>
            <w:r>
              <w:rPr>
                <w:iCs/>
              </w:rPr>
              <w:t xml:space="preserve">To reply some </w:t>
            </w:r>
            <w:r w:rsidR="00A554AD">
              <w:rPr>
                <w:rFonts w:hint="eastAsia"/>
                <w:iCs/>
              </w:rPr>
              <w:t>comments</w:t>
            </w:r>
            <w:r w:rsidR="00A554AD">
              <w:rPr>
                <w:iCs/>
              </w:rPr>
              <w:t xml:space="preserve"> </w:t>
            </w:r>
            <w:r>
              <w:rPr>
                <w:iCs/>
              </w:rPr>
              <w:t>mentioned by other companies in the email:</w:t>
            </w:r>
          </w:p>
          <w:p w14:paraId="1B003A5B" w14:textId="47FFE5C6" w:rsidR="0065610E" w:rsidRDefault="00503A71" w:rsidP="00503A71">
            <w:pPr>
              <w:rPr>
                <w:iCs/>
              </w:rPr>
            </w:pPr>
            <w:r>
              <w:rPr>
                <w:iCs/>
              </w:rPr>
              <w:t>To Samsung’s comment “</w:t>
            </w:r>
            <w:r>
              <w:rPr>
                <w:rFonts w:ascii="Calibri" w:hAnsi="Calibri" w:cs="Calibri"/>
              </w:rPr>
              <w:t xml:space="preserve">the released resources for retransmission can be used </w:t>
            </w:r>
            <w:r>
              <w:rPr>
                <w:rFonts w:ascii="Calibri" w:hAnsi="Calibri" w:cs="Calibri"/>
              </w:rPr>
              <w:lastRenderedPageBreak/>
              <w:t>by other UE because RSRP measurement will have small value for these released resources</w:t>
            </w:r>
            <w:r>
              <w:rPr>
                <w:iCs/>
              </w:rPr>
              <w:t xml:space="preserve">”: </w:t>
            </w:r>
            <w:r w:rsidR="0065610E">
              <w:rPr>
                <w:iCs/>
              </w:rPr>
              <w:t>we don’</w:t>
            </w:r>
            <w:r w:rsidR="00ED5ABE">
              <w:rPr>
                <w:iCs/>
              </w:rPr>
              <w:t>t think so.</w:t>
            </w:r>
            <w:r w:rsidR="00E87AD3">
              <w:rPr>
                <w:iCs/>
              </w:rPr>
              <w:t xml:space="preserve"> W</w:t>
            </w:r>
            <w:r w:rsidR="00E87AD3">
              <w:rPr>
                <w:iCs/>
              </w:rPr>
              <w:t>hen theses released resources are in other UE’s selection window, the UE will consider these resources are reserved by other UEs</w:t>
            </w:r>
            <w:r w:rsidR="00E87AD3">
              <w:rPr>
                <w:iCs/>
              </w:rPr>
              <w:t xml:space="preserve"> (since the resources are signaled by other UE’s SCI),</w:t>
            </w:r>
            <w:r w:rsidR="00E87AD3">
              <w:rPr>
                <w:iCs/>
              </w:rPr>
              <w:t xml:space="preserve"> and thus cannot use them.</w:t>
            </w:r>
            <w:r w:rsidR="00E87AD3">
              <w:rPr>
                <w:iCs/>
              </w:rPr>
              <w:t xml:space="preserve"> Note theses resources are in the selection window, so they are in the future, the RSRP measurement is based on previous resource where SCI was transmitted, not based on these released resources.</w:t>
            </w:r>
          </w:p>
          <w:p w14:paraId="4BEA4E0B" w14:textId="77777777" w:rsidR="0022132B" w:rsidRDefault="0022132B" w:rsidP="00503A71">
            <w:pPr>
              <w:rPr>
                <w:iCs/>
              </w:rPr>
            </w:pPr>
          </w:p>
          <w:p w14:paraId="5EAA5D76" w14:textId="7CBAE6D3" w:rsidR="0022132B" w:rsidRDefault="0022132B" w:rsidP="00503A71">
            <w:pPr>
              <w:rPr>
                <w:iCs/>
              </w:rPr>
            </w:pPr>
            <w:r>
              <w:rPr>
                <w:rFonts w:hint="eastAsia"/>
                <w:iCs/>
              </w:rPr>
              <w:t>T</w:t>
            </w:r>
            <w:r>
              <w:rPr>
                <w:iCs/>
              </w:rPr>
              <w:t>o Vivo’s comment “…</w:t>
            </w:r>
            <w:r w:rsidR="00A4069C">
              <w:rPr>
                <w:rFonts w:ascii="Calibri" w:hAnsi="Calibri" w:cs="Calibri"/>
                <w:color w:val="1F497D"/>
              </w:rPr>
              <w:t>I don’t think there may be lots of resources as a SCI can reserve up to two resources in the future</w:t>
            </w:r>
            <w:r>
              <w:rPr>
                <w:rFonts w:ascii="Calibri" w:hAnsi="Calibri" w:cs="Calibri"/>
                <w:color w:val="1F497D"/>
              </w:rPr>
              <w:t xml:space="preserve"> …</w:t>
            </w:r>
            <w:r>
              <w:rPr>
                <w:iCs/>
              </w:rPr>
              <w:t>”: the UE can transmit multiple SCIs, and each SCI reserve two different resources, so the UE can reserve many resources in the future.</w:t>
            </w:r>
          </w:p>
          <w:p w14:paraId="48D05F6B" w14:textId="77777777" w:rsidR="000607F4" w:rsidRDefault="000607F4" w:rsidP="00503A71">
            <w:pPr>
              <w:rPr>
                <w:iCs/>
              </w:rPr>
            </w:pPr>
          </w:p>
          <w:p w14:paraId="7CE966C1" w14:textId="132E2AC7" w:rsidR="000607F4" w:rsidRDefault="000607F4" w:rsidP="00503A71">
            <w:pPr>
              <w:rPr>
                <w:iCs/>
              </w:rPr>
            </w:pPr>
            <w:r>
              <w:rPr>
                <w:iCs/>
              </w:rPr>
              <w:t xml:space="preserve">So far, we </w:t>
            </w:r>
            <w:r w:rsidR="00A84A30">
              <w:rPr>
                <w:iCs/>
              </w:rPr>
              <w:t>think</w:t>
            </w:r>
            <w:r>
              <w:rPr>
                <w:iCs/>
              </w:rPr>
              <w:t xml:space="preserve"> </w:t>
            </w:r>
            <w:r w:rsidR="00A84A30">
              <w:rPr>
                <w:iCs/>
              </w:rPr>
              <w:t>the technical</w:t>
            </w:r>
            <w:r>
              <w:rPr>
                <w:iCs/>
              </w:rPr>
              <w:t xml:space="preserve"> concerns </w:t>
            </w:r>
            <w:r w:rsidR="00A84A30">
              <w:rPr>
                <w:iCs/>
              </w:rPr>
              <w:t>in</w:t>
            </w:r>
            <w:r>
              <w:rPr>
                <w:iCs/>
              </w:rPr>
              <w:t xml:space="preserve"> the following cases</w:t>
            </w:r>
            <w:r w:rsidR="00A84A30">
              <w:rPr>
                <w:iCs/>
              </w:rPr>
              <w:t xml:space="preserve"> are not resolved</w:t>
            </w:r>
            <w:bookmarkStart w:id="3" w:name="_GoBack"/>
            <w:bookmarkEnd w:id="3"/>
            <w:r>
              <w:rPr>
                <w:iCs/>
              </w:rPr>
              <w:t xml:space="preserve">, so we support </w:t>
            </w:r>
            <w:r w:rsidRPr="000607F4">
              <w:rPr>
                <w:iCs/>
              </w:rPr>
              <w:t>“released resources are counted in CR”</w:t>
            </w:r>
            <w:r>
              <w:rPr>
                <w:iCs/>
              </w:rPr>
              <w:t>:</w:t>
            </w:r>
          </w:p>
          <w:p w14:paraId="1788A14A" w14:textId="77777777" w:rsidR="000607F4" w:rsidRDefault="000607F4" w:rsidP="000607F4">
            <w:pPr>
              <w:widowControl/>
              <w:numPr>
                <w:ilvl w:val="0"/>
                <w:numId w:val="31"/>
              </w:numPr>
              <w:ind w:right="150"/>
              <w:jc w:val="left"/>
              <w:rPr>
                <w:rFonts w:ascii="Calibri" w:eastAsia="宋体" w:hAnsi="Calibri" w:cs="Calibri"/>
                <w:color w:val="1F497D"/>
                <w:kern w:val="0"/>
                <w:szCs w:val="21"/>
              </w:rPr>
            </w:pPr>
            <w:r>
              <w:rPr>
                <w:rFonts w:ascii="Calibri" w:hAnsi="Calibri" w:cs="Calibri"/>
                <w:color w:val="1F497D"/>
                <w:szCs w:val="21"/>
              </w:rPr>
              <w:t>Case 1: Many UEs have small CR (since it does not count the released resources), but the total available resource at the system level is also small (since the released resources cannot be used by other UEs). This is contradictory.</w:t>
            </w:r>
          </w:p>
          <w:p w14:paraId="6D7BC07A" w14:textId="3B3D8A72" w:rsidR="000607F4" w:rsidRPr="000607F4" w:rsidRDefault="000607F4" w:rsidP="000607F4">
            <w:pPr>
              <w:widowControl/>
              <w:numPr>
                <w:ilvl w:val="0"/>
                <w:numId w:val="31"/>
              </w:numPr>
              <w:ind w:right="150"/>
              <w:jc w:val="left"/>
              <w:rPr>
                <w:rFonts w:ascii="Calibri" w:hAnsi="Calibri" w:cs="Calibri" w:hint="eastAsia"/>
                <w:color w:val="1F497D"/>
                <w:szCs w:val="21"/>
              </w:rPr>
            </w:pPr>
            <w:r>
              <w:rPr>
                <w:rFonts w:ascii="Calibri" w:hAnsi="Calibri" w:cs="Calibri"/>
                <w:color w:val="1F497D"/>
                <w:szCs w:val="21"/>
              </w:rPr>
              <w:t>Case 2: UEs will reserve many resources in the future and only use small part of them if ACK is received in advance. This is because there is no penalty for UEs reserving too many resources. And it seems the congestion control mechanism does not work very well, i.e., how can we ensure UE does not reserve too many resources?</w:t>
            </w:r>
          </w:p>
        </w:tc>
      </w:tr>
    </w:tbl>
    <w:p w14:paraId="278C891C" w14:textId="7394F05C" w:rsidR="002C2969" w:rsidRPr="002255B7" w:rsidRDefault="002C2969" w:rsidP="0058787A">
      <w:pPr>
        <w:rPr>
          <w:iCs/>
        </w:rPr>
      </w:pPr>
    </w:p>
    <w:p w14:paraId="5574B6EF" w14:textId="77777777" w:rsidR="000C51D6" w:rsidRPr="002255B7"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jc w:val="center"/>
        <w:rPr>
          <w:rFonts w:eastAsia="宋体"/>
          <w:color w:val="FF0000"/>
          <w:szCs w:val="20"/>
        </w:rPr>
      </w:pPr>
      <w:r w:rsidRPr="002255B7">
        <w:rPr>
          <w:rFonts w:eastAsia="宋体"/>
          <w:color w:val="FF0000"/>
          <w:szCs w:val="20"/>
        </w:rPr>
        <w:t>----------------------------------------------------begin text proposal for 38.215-----------------------------------------------</w:t>
      </w:r>
    </w:p>
    <w:p w14:paraId="4C09429B" w14:textId="77777777" w:rsidR="000C51D6" w:rsidRPr="002255B7" w:rsidRDefault="000C51D6" w:rsidP="000C51D6">
      <w:pPr>
        <w:keepLines/>
        <w:overflowPunct w:val="0"/>
        <w:adjustRightInd w:val="0"/>
        <w:spacing w:after="180"/>
        <w:ind w:left="1135" w:hanging="851"/>
        <w:textAlignment w:val="baseline"/>
        <w:rPr>
          <w:rFonts w:eastAsia="Times New Roman"/>
          <w:szCs w:val="20"/>
          <w:lang w:eastAsia="x-none"/>
        </w:rPr>
      </w:pPr>
      <w:r w:rsidRPr="002255B7">
        <w:rPr>
          <w:rFonts w:eastAsia="Times New Roman"/>
          <w:szCs w:val="20"/>
        </w:rPr>
        <w:t>NOTE 6:</w:t>
      </w:r>
      <w:r w:rsidRPr="002255B7">
        <w:rPr>
          <w:rFonts w:eastAsia="Times New Roman"/>
          <w:szCs w:val="20"/>
        </w:rPr>
        <w:tab/>
        <w:t xml:space="preserve">A resource is considered granted if it is a member of a configured </w:t>
      </w:r>
      <w:r w:rsidR="006757E9" w:rsidRPr="002255B7">
        <w:rPr>
          <w:rFonts w:eastAsia="Times New Roman"/>
          <w:szCs w:val="20"/>
        </w:rPr>
        <w:t xml:space="preserve">sidelink </w:t>
      </w:r>
      <w:r w:rsidRPr="002255B7">
        <w:rPr>
          <w:rFonts w:eastAsia="Times New Roman"/>
          <w:szCs w:val="20"/>
        </w:rPr>
        <w:t>grant as defined in TS 38.321 [7]</w:t>
      </w:r>
      <w:r w:rsidR="000F797D" w:rsidRPr="002255B7">
        <w:rPr>
          <w:rFonts w:eastAsia="Times New Roman"/>
          <w:szCs w:val="20"/>
        </w:rPr>
        <w:t>.</w:t>
      </w:r>
    </w:p>
    <w:p w14:paraId="1A4D1F3C" w14:textId="77777777" w:rsidR="000C51D6" w:rsidRPr="002255B7" w:rsidRDefault="000C51D6" w:rsidP="000C51D6">
      <w:pPr>
        <w:spacing w:after="180"/>
        <w:rPr>
          <w:rFonts w:eastAsia="宋体"/>
          <w:color w:val="FF0000"/>
          <w:szCs w:val="20"/>
        </w:rPr>
      </w:pPr>
    </w:p>
    <w:p w14:paraId="1BB3FBFE" w14:textId="77777777" w:rsidR="000C51D6" w:rsidRPr="002255B7" w:rsidRDefault="000C51D6" w:rsidP="000C51D6">
      <w:pPr>
        <w:spacing w:after="180"/>
        <w:jc w:val="center"/>
        <w:rPr>
          <w:rFonts w:eastAsia="宋体"/>
          <w:color w:val="FF0000"/>
          <w:szCs w:val="20"/>
        </w:rPr>
      </w:pPr>
      <w:r w:rsidRPr="002255B7">
        <w:rPr>
          <w:rFonts w:eastAsia="宋体"/>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Currently, according to TS 38.215, in the future segment of the CR evaluation window, slots [n, n+b],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ad"/>
        <w:tblW w:w="0" w:type="auto"/>
        <w:tblLook w:val="04A0" w:firstRow="1" w:lastRow="0" w:firstColumn="1" w:lastColumn="0" w:noHBand="0" w:noVBand="1"/>
      </w:tblPr>
      <w:tblGrid>
        <w:gridCol w:w="1667"/>
        <w:gridCol w:w="986"/>
        <w:gridCol w:w="6364"/>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af3"/>
              <w:numPr>
                <w:ilvl w:val="0"/>
                <w:numId w:val="28"/>
              </w:numPr>
              <w:spacing w:line="240" w:lineRule="auto"/>
              <w:jc w:val="left"/>
              <w:rPr>
                <w:szCs w:val="20"/>
              </w:rPr>
            </w:pPr>
            <w:r w:rsidRPr="002255B7">
              <w:rPr>
                <w:szCs w:val="20"/>
              </w:rPr>
              <w:lastRenderedPageBreak/>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af3"/>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af3"/>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r>
              <w:lastRenderedPageBreak/>
              <w:t>Futurewei</w:t>
            </w:r>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In our view, it is useful correction. It is important to clarify that all reserved resources within [n, n+b]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r w:rsidRPr="002255B7">
              <w:rPr>
                <w:rFonts w:eastAsia="Malgun Gothic" w:hint="eastAsia"/>
              </w:rPr>
              <w:t>In our view, it is more reasonable not to count resource</w:t>
            </w:r>
            <w:r w:rsidRPr="002255B7">
              <w:rPr>
                <w:rFonts w:eastAsia="Malgun Gothic"/>
              </w:rPr>
              <w:t>s</w:t>
            </w:r>
            <w:r w:rsidRPr="002255B7">
              <w:rPr>
                <w:rFonts w:eastAsia="Malgun Gothic" w:hint="eastAsia"/>
              </w:rPr>
              <w:t xml:space="preserve"> which will be released due to HARQ feedback. </w:t>
            </w:r>
            <w:r w:rsidRPr="002255B7">
              <w:rPr>
                <w:rFonts w:eastAsia="Malgun Gothic"/>
              </w:rPr>
              <w:t>When the UE count</w:t>
            </w:r>
            <w:r w:rsidRPr="002255B7">
              <w:rPr>
                <w:rFonts w:eastAsia="Malgun Gothic" w:hint="eastAsia"/>
              </w:rPr>
              <w:t>s</w:t>
            </w:r>
            <w:r w:rsidRPr="002255B7">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t xml:space="preserve">Firstly, the portion of such resources would be small: at most two reserved resources if Nmax is three. Thus, it should not play an important role here. </w:t>
            </w:r>
          </w:p>
          <w:p w14:paraId="0FE7FFDA" w14:textId="77777777" w:rsidR="00957560" w:rsidRPr="002255B7" w:rsidRDefault="00957560" w:rsidP="00F52128">
            <w:r w:rsidRPr="002255B7">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w:t>
            </w:r>
            <w:r w:rsidRPr="002255B7">
              <w:rPr>
                <w:lang w:eastAsia="en-GB"/>
              </w:rPr>
              <w:lastRenderedPageBreak/>
              <w:t xml:space="preserve">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lastRenderedPageBreak/>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ZTE, Sanechips</w:t>
            </w:r>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Malgun Gothic"/>
              </w:rPr>
              <w:t>First of all, we s</w:t>
            </w:r>
            <w:r w:rsidRPr="002255B7">
              <w:rPr>
                <w:rFonts w:eastAsia="Malgun Gothic" w:hint="eastAsia"/>
              </w:rPr>
              <w:t>hare the same</w:t>
            </w:r>
            <w:r w:rsidRPr="002255B7">
              <w:rPr>
                <w:rFonts w:eastAsia="Malgun Gothic"/>
              </w:rPr>
              <w:t xml:space="preserve"> view with Nokia and Huawei. Also in case of generating SL grant </w:t>
            </w:r>
            <w:r w:rsidRPr="002255B7">
              <w:rPr>
                <w:rFonts w:eastAsia="Malgun Gothic" w:hint="eastAsia"/>
              </w:rPr>
              <w:t>to be used for</w:t>
            </w:r>
            <w:r w:rsidRPr="002255B7">
              <w:rPr>
                <w:rFonts w:eastAsia="Malgun Gothic"/>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Malgun Gothic"/>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Malgun Gothic"/>
                <w:color w:val="00B050"/>
              </w:rPr>
            </w:pPr>
            <w:r w:rsidRPr="002255B7">
              <w:rPr>
                <w:color w:val="00B050"/>
              </w:rPr>
              <w:t xml:space="preserve">FL response: I think that the 38.321 text shown above is quite clear that the ReTX resources are cleared from the configured sidelink grant. </w:t>
            </w:r>
          </w:p>
        </w:tc>
      </w:tr>
      <w:bookmarkEnd w:id="4"/>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a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r w:rsidRPr="002255B7">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2255B7" w:rsidRDefault="003E31D1" w:rsidP="00420CB5">
            <w:r w:rsidRPr="002255B7">
              <w:rPr>
                <w:rFonts w:eastAsia="Malgun Gothic" w:hint="eastAsia"/>
              </w:rPr>
              <w:t xml:space="preserve">We think that pre-emption is a different </w:t>
            </w:r>
            <w:r w:rsidRPr="002255B7">
              <w:rPr>
                <w:rFonts w:eastAsia="Malgun Gothic"/>
              </w:rPr>
              <w:t>story</w:t>
            </w:r>
            <w:r w:rsidRPr="002255B7">
              <w:rPr>
                <w:rFonts w:eastAsia="Malgun Gothic" w:hint="eastAsia"/>
              </w:rPr>
              <w:t xml:space="preserve"> compared with Q1. </w:t>
            </w:r>
            <w:r w:rsidRPr="002255B7">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a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af3"/>
      </w:pPr>
    </w:p>
    <w:p w14:paraId="3F0057CE" w14:textId="77777777" w:rsidR="00DA4984" w:rsidRDefault="00FF0F3E" w:rsidP="00CB7AE2">
      <w:pPr>
        <w:pStyle w:val="2"/>
      </w:pPr>
      <w:bookmarkStart w:id="7" w:name="_Toc37801438"/>
      <w:r>
        <w:t xml:space="preserve">Topic 1: </w:t>
      </w:r>
      <w:r w:rsidR="00DA4984" w:rsidRPr="00B11108">
        <w:t>Sidelink Congestion Control</w:t>
      </w:r>
      <w:bookmarkEnd w:id="7"/>
    </w:p>
    <w:p w14:paraId="0B3554F4" w14:textId="77777777" w:rsidR="002979AC" w:rsidRPr="002255B7" w:rsidRDefault="002979AC" w:rsidP="006F1AD8">
      <w:pPr>
        <w:rPr>
          <w:lang w:eastAsia="en-GB"/>
        </w:rPr>
      </w:pPr>
    </w:p>
    <w:p w14:paraId="1808C353" w14:textId="77777777" w:rsidR="00617216" w:rsidRDefault="00617216" w:rsidP="00617216">
      <w:pPr>
        <w:pStyle w:val="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t xml:space="preserve">The current CR definition in TS 38.215 counts resources “used for … transmissions in slots [n-a, n-1] and granted in slots [n, n+b]”.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n+b], the current definition counts all the resources </w:t>
      </w:r>
      <w:r w:rsidR="008637B0" w:rsidRPr="002255B7">
        <w:rPr>
          <w:b/>
          <w:bCs/>
          <w:lang w:eastAsia="en-GB"/>
        </w:rPr>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So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HiSilicon] point out that according to TS 38.321 the </w:t>
      </w:r>
      <w:r w:rsidR="007310A2" w:rsidRPr="002255B7">
        <w:rPr>
          <w:lang w:eastAsia="en-GB"/>
        </w:rPr>
        <w:t xml:space="preserve">pre-empted UE </w:t>
      </w:r>
      <w:r w:rsidR="007310A2" w:rsidRPr="002255B7">
        <w:rPr>
          <w:lang w:eastAsia="en-GB"/>
        </w:rPr>
        <w:lastRenderedPageBreak/>
        <w:t xml:space="preserve">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a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t>1&gt;</w:t>
            </w:r>
            <w:r w:rsidRPr="002255B7">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2255B7" w:rsidRDefault="009530DD" w:rsidP="00FC1365">
            <w:pPr>
              <w:pStyle w:val="af3"/>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af3"/>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af3"/>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af3"/>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af3"/>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4"/>
      </w:pPr>
      <w:r>
        <w:t xml:space="preserve">Views expressed in contributions </w:t>
      </w:r>
    </w:p>
    <w:p w14:paraId="299E4C43" w14:textId="77777777" w:rsidR="001F0548" w:rsidRPr="002255B7" w:rsidRDefault="001F0548" w:rsidP="002778E2">
      <w:pPr>
        <w:rPr>
          <w:lang w:eastAsia="en-GB"/>
        </w:rPr>
      </w:pPr>
      <w:r w:rsidRPr="002255B7">
        <w:rPr>
          <w:lang w:eastAsia="en-GB"/>
        </w:rPr>
        <w:t>Should future resources which have been released due to HARQ feedback be counted in the evaluation of 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[Huawei, HiSilicon]</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ZTE, Sanechips</w:t>
      </w:r>
      <w:r w:rsidR="00BD4C32" w:rsidRPr="002255B7">
        <w:rPr>
          <w:lang w:eastAsia="en-GB"/>
        </w:rPr>
        <w:t xml:space="preserve">], </w:t>
      </w:r>
      <w:r w:rsidRPr="002255B7">
        <w:rPr>
          <w:lang w:eastAsia="en-GB"/>
        </w:rPr>
        <w:t>[CATT], [Apple], [InterDigital],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4"/>
      </w:pPr>
      <w:r>
        <w:lastRenderedPageBreak/>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2255B7" w:rsidRDefault="0065649A" w:rsidP="0031188F">
      <w:pPr>
        <w:pStyle w:val="af3"/>
        <w:numPr>
          <w:ilvl w:val="0"/>
          <w:numId w:val="2"/>
        </w:numPr>
        <w:rPr>
          <w:rFonts w:asciiTheme="minorHAnsi" w:eastAsiaTheme="minorHAnsi" w:hAnsiTheme="minorHAnsi"/>
        </w:rPr>
      </w:pPr>
      <w:hyperlink r:id="rId7" w:history="1">
        <w:r w:rsidR="00B63705" w:rsidRPr="002255B7">
          <w:rPr>
            <w:rStyle w:val="af8"/>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2255B7">
        <w:rPr>
          <w:rFonts w:ascii="Arial" w:eastAsia="Times New Roman" w:hAnsi="Arial" w:cs="Arial"/>
          <w:sz w:val="36"/>
          <w:szCs w:val="36"/>
        </w:rPr>
        <w:t>Background</w:t>
      </w:r>
      <w:bookmarkEnd w:id="10"/>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2255B7">
        <w:rPr>
          <w:rFonts w:ascii="Arial" w:eastAsia="Calibri" w:hAnsi="Arial" w:cs="Arial"/>
          <w:sz w:val="32"/>
          <w:szCs w:val="32"/>
        </w:rPr>
        <w:t>WI Objectives</w:t>
      </w:r>
      <w:bookmarkEnd w:id="11"/>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rPr>
            </w:pPr>
            <w:r w:rsidRPr="002255B7">
              <w:rPr>
                <w:rFonts w:eastAsia="Malgun Gothic"/>
                <w:szCs w:val="20"/>
              </w:rPr>
              <w:t xml:space="preserve">1. NR sidelink: Specify NR sidelink solutions necessary to support sidelink unicast, sidelink groupcast, and sidelink broadcast for V2X services, considering </w:t>
            </w:r>
            <w:r w:rsidRPr="002255B7">
              <w:rPr>
                <w:rFonts w:eastAsia="Malgun Gothic"/>
                <w:bCs/>
                <w:szCs w:val="20"/>
                <w:lang w:eastAsia="en-GB"/>
              </w:rPr>
              <w:t>in-network coverage, out-of-network coverage, and partial network coverage</w:t>
            </w:r>
            <w:r w:rsidRPr="002255B7">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rPr>
            </w:pPr>
            <w:r w:rsidRPr="002255B7">
              <w:rPr>
                <w:bCs/>
              </w:rPr>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2255B7">
        <w:rPr>
          <w:rFonts w:ascii="Arial" w:eastAsia="Times New Roman" w:hAnsi="Arial" w:cs="Arial"/>
          <w:sz w:val="32"/>
          <w:szCs w:val="32"/>
        </w:rPr>
        <w:t>Earlier Agreements</w:t>
      </w:r>
      <w:bookmarkEnd w:id="12"/>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lastRenderedPageBreak/>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It is deemed beneficial to report Sidelink Congestion Metrics(s) to a gNB</w:t>
            </w:r>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highlight w:val="green"/>
              </w:rPr>
              <w:t>Agreements</w:t>
            </w:r>
            <w:r w:rsidRPr="002255B7">
              <w:rPr>
                <w:rFonts w:ascii="Times" w:eastAsia="Batang" w:hAnsi="Times"/>
                <w:szCs w:val="20"/>
              </w:rPr>
              <w:t>:</w:t>
            </w:r>
          </w:p>
          <w:p w14:paraId="2CC2C17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rPr>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rPr>
            </w:pPr>
            <w:r w:rsidRPr="002255B7">
              <w:rPr>
                <w:rFonts w:ascii="Times" w:eastAsia="Batang" w:hAnsi="Times"/>
                <w:szCs w:val="20"/>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Higher-layer reporting of CBR to the gNB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Congestion control can set an upper bound on channel occupancy ratio (CR), CR</w:t>
            </w:r>
            <w:r w:rsidRPr="002255B7">
              <w:rPr>
                <w:szCs w:val="20"/>
                <w:vertAlign w:val="subscript"/>
              </w:rPr>
              <w:t>limit</w:t>
            </w:r>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Ranges/bounds of the transmission parameters and CR</w:t>
            </w:r>
            <w:r w:rsidRPr="002255B7">
              <w:rPr>
                <w:szCs w:val="20"/>
                <w:vertAlign w:val="subscript"/>
              </w:rPr>
              <w:t>limit</w:t>
            </w:r>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t>Agreements</w:t>
            </w:r>
            <w:r w:rsidRPr="002255B7">
              <w:rPr>
                <w:szCs w:val="20"/>
              </w:rPr>
              <w:t>:</w:t>
            </w:r>
          </w:p>
          <w:p w14:paraId="29F84323" w14:textId="77777777" w:rsidR="00B63705" w:rsidRPr="00B11108" w:rsidRDefault="00B63705" w:rsidP="00B71C41">
            <w:pPr>
              <w:rPr>
                <w:szCs w:val="20"/>
              </w:rPr>
            </w:pPr>
            <w:r w:rsidRPr="002255B7">
              <w:rPr>
                <w:szCs w:val="20"/>
              </w:rPr>
              <w:t>Lookup table links CBR range with values of the transmission parameters and CR</w:t>
            </w:r>
            <w:r w:rsidRPr="002255B7">
              <w:rPr>
                <w:szCs w:val="20"/>
                <w:vertAlign w:val="subscript"/>
              </w:rPr>
              <w:t>limit</w:t>
            </w:r>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t>Agreements:</w:t>
            </w:r>
          </w:p>
          <w:p w14:paraId="357CB80D" w14:textId="77777777" w:rsidR="00B63705" w:rsidRPr="002255B7" w:rsidRDefault="00B63705" w:rsidP="00B71C41">
            <w:pPr>
              <w:rPr>
                <w:bCs/>
                <w:szCs w:val="20"/>
              </w:rPr>
            </w:pPr>
            <w:r w:rsidRPr="002255B7">
              <w:rPr>
                <w:bCs/>
                <w:szCs w:val="20"/>
              </w:rPr>
              <w:t>The CBR measurement time window size is 100 ms and 100 slots by (pre-)configuration.</w:t>
            </w:r>
          </w:p>
          <w:p w14:paraId="0CAD9AAD" w14:textId="77777777" w:rsidR="00B63705" w:rsidRPr="002255B7" w:rsidRDefault="00B63705" w:rsidP="00B71C41">
            <w:pPr>
              <w:rPr>
                <w:bCs/>
                <w:szCs w:val="20"/>
              </w:rPr>
            </w:pPr>
            <w:r w:rsidRPr="002255B7">
              <w:rPr>
                <w:bCs/>
                <w:szCs w:val="20"/>
              </w:rPr>
              <w:t>CR window size is { 1000 ms,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The future segment of the CR evaluation window reuses the same behaviour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af3"/>
              <w:numPr>
                <w:ilvl w:val="0"/>
                <w:numId w:val="19"/>
              </w:numPr>
              <w:spacing w:line="252" w:lineRule="auto"/>
              <w:rPr>
                <w:rFonts w:ascii="Times New Roman" w:hAnsi="Times New Roman"/>
                <w:szCs w:val="20"/>
              </w:rPr>
            </w:pPr>
            <w:r w:rsidRPr="002255B7">
              <w:rPr>
                <w:rFonts w:ascii="Times New Roman" w:hAnsi="Times New Roman"/>
                <w:szCs w:val="20"/>
              </w:rPr>
              <w:t xml:space="preserve">n+b shall not exceed the last transmission opportunity of the grant for the current transmission </w:t>
            </w:r>
          </w:p>
          <w:p w14:paraId="6D7F3BE5"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af3"/>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宋体"/>
                <w:szCs w:val="20"/>
              </w:rPr>
              <w:t> </w:t>
            </w:r>
            <w:r w:rsidRPr="007B5753">
              <w:rPr>
                <w:szCs w:val="20"/>
              </w:rPr>
              <w:t>Notes:</w:t>
            </w:r>
          </w:p>
          <w:p w14:paraId="5E2338A3" w14:textId="77777777" w:rsidR="00B63705" w:rsidRPr="002255B7" w:rsidRDefault="00B63705" w:rsidP="00FC1365">
            <w:pPr>
              <w:pStyle w:val="af3"/>
              <w:numPr>
                <w:ilvl w:val="0"/>
                <w:numId w:val="20"/>
              </w:numPr>
              <w:spacing w:line="252" w:lineRule="auto"/>
              <w:rPr>
                <w:rFonts w:ascii="Times New Roman" w:hAnsi="Times New Roman"/>
                <w:szCs w:val="20"/>
              </w:rPr>
            </w:pPr>
            <w:r w:rsidRPr="002255B7">
              <w:rPr>
                <w:rFonts w:ascii="Times New Roman" w:hAnsi="Times New Roman"/>
                <w:szCs w:val="20"/>
              </w:rPr>
              <w:t>in the first bullet point above, LTE’s “should” has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UE evaluates CR and applies CR_limit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lastRenderedPageBreak/>
              <w:t>Agreement:</w:t>
            </w:r>
          </w:p>
          <w:p w14:paraId="6598EE20" w14:textId="77777777" w:rsidR="00B63705" w:rsidRPr="002255B7" w:rsidRDefault="00B63705" w:rsidP="00FC1365">
            <w:pPr>
              <w:pStyle w:val="af3"/>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2255B7" w:rsidRDefault="00B63705" w:rsidP="00FC1365">
            <w:pPr>
              <w:pStyle w:val="af3"/>
              <w:numPr>
                <w:ilvl w:val="0"/>
                <w:numId w:val="24"/>
              </w:numPr>
              <w:ind w:left="1240"/>
            </w:pPr>
            <w:r w:rsidRPr="002255B7">
              <w:t>The slot index in the definition of CR is the physical slot index.</w:t>
            </w:r>
            <w:bookmarkEnd w:id="15"/>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2255B7">
        <w:rPr>
          <w:rFonts w:ascii="Arial" w:hAnsi="Arial"/>
          <w:sz w:val="36"/>
          <w:szCs w:val="36"/>
        </w:rPr>
        <w:t>Appendix: Contributions used as basis for the summary</w:t>
      </w:r>
      <w:bookmarkEnd w:id="17"/>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65649A" w:rsidP="0055415C">
            <w:pPr>
              <w:rPr>
                <w:rFonts w:eastAsia="Times New Roman"/>
                <w:lang w:eastAsia="en-GB"/>
              </w:rPr>
            </w:pPr>
            <w:hyperlink r:id="rId8" w:history="1">
              <w:r w:rsidR="0055415C" w:rsidRPr="00F03907">
                <w:rPr>
                  <w:rStyle w:val="af8"/>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65649A" w:rsidP="0055415C">
            <w:pPr>
              <w:rPr>
                <w:rFonts w:eastAsia="Times New Roman"/>
                <w:lang w:eastAsia="en-GB"/>
              </w:rPr>
            </w:pPr>
            <w:hyperlink r:id="rId9" w:history="1">
              <w:r w:rsidR="0055415C" w:rsidRPr="00F03907">
                <w:rPr>
                  <w:rStyle w:val="af8"/>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65649A" w:rsidP="0055415C">
            <w:pPr>
              <w:rPr>
                <w:rFonts w:eastAsia="Times New Roman"/>
                <w:lang w:eastAsia="en-GB"/>
              </w:rPr>
            </w:pPr>
            <w:hyperlink r:id="rId10" w:history="1">
              <w:r w:rsidR="0055415C" w:rsidRPr="00F03907">
                <w:rPr>
                  <w:rStyle w:val="af8"/>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65649A" w:rsidP="0055415C">
            <w:pPr>
              <w:rPr>
                <w:rFonts w:eastAsia="Times New Roman"/>
                <w:lang w:eastAsia="en-GB"/>
              </w:rPr>
            </w:pPr>
            <w:hyperlink r:id="rId11" w:history="1">
              <w:r w:rsidR="0055415C" w:rsidRPr="00F03907">
                <w:rPr>
                  <w:rStyle w:val="af8"/>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65649A" w:rsidP="0055415C">
            <w:pPr>
              <w:rPr>
                <w:rFonts w:eastAsia="Times New Roman"/>
                <w:lang w:eastAsia="en-GB"/>
              </w:rPr>
            </w:pPr>
            <w:hyperlink r:id="rId12" w:history="1">
              <w:r w:rsidR="0055415C" w:rsidRPr="00F03907">
                <w:rPr>
                  <w:rStyle w:val="af8"/>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65649A" w:rsidP="0055415C">
            <w:pPr>
              <w:rPr>
                <w:rFonts w:eastAsia="Times New Roman"/>
                <w:lang w:eastAsia="en-GB"/>
              </w:rPr>
            </w:pPr>
            <w:hyperlink r:id="rId13" w:history="1">
              <w:r w:rsidR="0055415C" w:rsidRPr="00F03907">
                <w:rPr>
                  <w:rStyle w:val="af8"/>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65649A" w:rsidP="0055415C">
            <w:pPr>
              <w:rPr>
                <w:rFonts w:eastAsia="Times New Roman"/>
                <w:lang w:eastAsia="en-GB"/>
              </w:rPr>
            </w:pPr>
            <w:hyperlink r:id="rId14" w:history="1">
              <w:r w:rsidR="0055415C" w:rsidRPr="00F03907">
                <w:rPr>
                  <w:rStyle w:val="af8"/>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65649A" w:rsidP="0055415C">
            <w:pPr>
              <w:rPr>
                <w:rFonts w:eastAsia="Times New Roman"/>
                <w:lang w:eastAsia="en-GB"/>
              </w:rPr>
            </w:pPr>
            <w:hyperlink r:id="rId15" w:history="1">
              <w:r w:rsidR="0055415C" w:rsidRPr="00F03907">
                <w:rPr>
                  <w:rStyle w:val="af8"/>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65649A" w:rsidP="0055415C">
            <w:pPr>
              <w:rPr>
                <w:rFonts w:eastAsia="Times New Roman"/>
                <w:lang w:eastAsia="en-GB"/>
              </w:rPr>
            </w:pPr>
            <w:hyperlink r:id="rId16" w:history="1">
              <w:r w:rsidR="0055415C" w:rsidRPr="00F03907">
                <w:rPr>
                  <w:rStyle w:val="af8"/>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65649A" w:rsidP="0055415C">
            <w:pPr>
              <w:rPr>
                <w:rFonts w:eastAsia="Times New Roman"/>
                <w:lang w:eastAsia="en-GB"/>
              </w:rPr>
            </w:pPr>
            <w:hyperlink r:id="rId17" w:history="1">
              <w:r w:rsidR="0055415C" w:rsidRPr="00F03907">
                <w:rPr>
                  <w:rStyle w:val="af8"/>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65649A" w:rsidP="0055415C">
            <w:pPr>
              <w:rPr>
                <w:rFonts w:eastAsia="Times New Roman"/>
                <w:lang w:eastAsia="en-GB"/>
              </w:rPr>
            </w:pPr>
            <w:hyperlink r:id="rId18" w:history="1">
              <w:r w:rsidR="0055415C" w:rsidRPr="00F03907">
                <w:rPr>
                  <w:rStyle w:val="af8"/>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65649A" w:rsidP="00566E02">
      <w:hyperlink r:id="rId19" w:history="1">
        <w:r w:rsidR="00566E02" w:rsidRPr="00F03907">
          <w:rPr>
            <w:rStyle w:val="af8"/>
          </w:rPr>
          <w:t>R1-2003314</w:t>
        </w:r>
      </w:hyperlink>
      <w:r w:rsidR="00566E02" w:rsidRPr="00566E02">
        <w:t xml:space="preserve"> Nokia, Nokia Shanghai Bell</w:t>
      </w:r>
    </w:p>
    <w:p w14:paraId="12CBB89B" w14:textId="77777777" w:rsidR="00566E02" w:rsidRPr="002255B7" w:rsidRDefault="00566E02" w:rsidP="00566E02">
      <w:r w:rsidRPr="002255B7">
        <w:rPr>
          <w:b/>
          <w:bCs/>
        </w:rPr>
        <w:t>Proposal 1: CBR-based power control is applied in both resource allocation modes.</w:t>
      </w:r>
    </w:p>
    <w:p w14:paraId="2C75BCDF" w14:textId="77777777" w:rsidR="00566E02" w:rsidRPr="002255B7" w:rsidRDefault="00566E02" w:rsidP="00566E02">
      <w:r w:rsidRPr="002255B7">
        <w:rPr>
          <w:b/>
          <w:bC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65649A" w:rsidP="00566E02">
      <w:r>
        <w:rPr>
          <w:noProof/>
        </w:rPr>
        <w:pict w14:anchorId="0D8EDDFA">
          <v:rect id="_x0000_i1025" alt="" style="width:435.25pt;height:.05pt;mso-width-percent:0;mso-height-percent:0;mso-width-percent:0;mso-height-percent:0" o:hrpct="930" o:hralign="center" o:hrstd="t" o:hr="t" fillcolor="#a0a0a0" stroked="f"/>
        </w:pict>
      </w:r>
    </w:p>
    <w:p w14:paraId="5DA1D4D4" w14:textId="77777777" w:rsidR="00566E02" w:rsidRPr="002255B7" w:rsidRDefault="0065649A" w:rsidP="00566E02">
      <w:hyperlink r:id="rId20" w:history="1">
        <w:r w:rsidR="00566E02" w:rsidRPr="002255B7">
          <w:rPr>
            <w:rStyle w:val="af8"/>
          </w:rPr>
          <w:t>R1-2003384</w:t>
        </w:r>
      </w:hyperlink>
      <w:r w:rsidR="00566E02" w:rsidRPr="002255B7">
        <w:t xml:space="preserve"> vivo</w:t>
      </w:r>
    </w:p>
    <w:p w14:paraId="246EB823" w14:textId="77777777" w:rsidR="00566E02" w:rsidRPr="002255B7" w:rsidRDefault="00566E02" w:rsidP="00566E02">
      <w:pPr>
        <w:spacing w:before="120" w:after="120"/>
        <w:rPr>
          <w:rFonts w:eastAsia="Batang"/>
          <w:b/>
          <w:bCs/>
          <w:szCs w:val="20"/>
        </w:rPr>
      </w:pPr>
      <w:bookmarkStart w:id="18"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8"/>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65649A" w:rsidP="00566E02">
      <w:r>
        <w:rPr>
          <w:noProof/>
        </w:rPr>
        <w:pict w14:anchorId="3CE68188">
          <v:rect id="_x0000_i1026" alt="" style="width:435.25pt;height:.05pt;mso-width-percent:0;mso-height-percent:0;mso-width-percent:0;mso-height-percent:0" o:hrpct="930" o:hralign="center" o:hrstd="t" o:hr="t" fillcolor="#a0a0a0" stroked="f"/>
        </w:pict>
      </w:r>
    </w:p>
    <w:p w14:paraId="22BB7B77" w14:textId="77777777" w:rsidR="00566E02" w:rsidRPr="002255B7" w:rsidRDefault="0065649A" w:rsidP="00566E02">
      <w:hyperlink r:id="rId21" w:history="1">
        <w:r w:rsidR="00566E02" w:rsidRPr="002255B7">
          <w:rPr>
            <w:rStyle w:val="af8"/>
          </w:rPr>
          <w:t>R1-2003499</w:t>
        </w:r>
      </w:hyperlink>
      <w:r w:rsidR="00566E02" w:rsidRPr="002255B7">
        <w:t xml:space="preserve"> Huawei, HiSilicon</w:t>
      </w:r>
    </w:p>
    <w:p w14:paraId="0D7C4D4A" w14:textId="77777777" w:rsidR="00566E02" w:rsidRPr="002255B7" w:rsidRDefault="00566E02" w:rsidP="00566E02">
      <w:pPr>
        <w:rPr>
          <w:b/>
        </w:rPr>
      </w:pPr>
      <w:r w:rsidRPr="002255B7">
        <w:rPr>
          <w:b/>
        </w:rPr>
        <w:t>Observation 1: For the past segment of the evaluation window, i.e., slots [n-a, n-1], the current definition 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Observation 3: For the future segment of the evaluation window, i.e., slots [n, n+b],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65649A" w:rsidP="00566E02">
      <w:r>
        <w:rPr>
          <w:noProof/>
        </w:rPr>
        <w:pict w14:anchorId="720423B5">
          <v:rect id="_x0000_i1027" alt="" style="width:435.25pt;height:.05pt;mso-width-percent:0;mso-height-percent:0;mso-width-percent:0;mso-height-percent:0" o:hrpct="930" o:hralign="center" o:hrstd="t" o:hr="t" fillcolor="#a0a0a0" stroked="f"/>
        </w:pict>
      </w:r>
    </w:p>
    <w:p w14:paraId="50BAC920" w14:textId="77777777" w:rsidR="00566E02" w:rsidRPr="002255B7" w:rsidRDefault="0065649A" w:rsidP="00566E02">
      <w:hyperlink r:id="rId22" w:history="1">
        <w:r w:rsidR="00566E02" w:rsidRPr="002255B7">
          <w:rPr>
            <w:rStyle w:val="af8"/>
          </w:rPr>
          <w:t>R1-2003553</w:t>
        </w:r>
      </w:hyperlink>
      <w:r w:rsidR="00566E02" w:rsidRPr="002255B7">
        <w:t xml:space="preserve"> ZTE, Sanechips</w:t>
      </w:r>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t> </w:t>
      </w:r>
    </w:p>
    <w:p w14:paraId="07D9E34F" w14:textId="77777777" w:rsidR="00566E02" w:rsidRPr="002255B7" w:rsidRDefault="00566E02" w:rsidP="00566E02">
      <w:pPr>
        <w:spacing w:before="120" w:after="120"/>
      </w:pPr>
      <w:r w:rsidRPr="002255B7">
        <w:t>Proposal 1:</w:t>
      </w:r>
      <w:r w:rsidRPr="002255B7">
        <w:tab/>
        <w:t>Both NR SL-CBR and LTE SL-CBR can be reported to the gNB for RRC_CONNECTED UEs.</w:t>
      </w:r>
    </w:p>
    <w:p w14:paraId="4CF1F6FC" w14:textId="77777777" w:rsidR="00566E02" w:rsidRPr="002255B7" w:rsidRDefault="00566E02" w:rsidP="00566E02">
      <w:pPr>
        <w:spacing w:before="120" w:after="120"/>
      </w:pPr>
      <w:r w:rsidRPr="002255B7">
        <w:t>Proposal 2:</w:t>
      </w:r>
      <w:r w:rsidRPr="002255B7">
        <w:tab/>
        <w:t>Rel-16 V2X does not support the function of disabling semi-persistent resource reservation by congestion control.</w:t>
      </w:r>
    </w:p>
    <w:p w14:paraId="799CFE9B" w14:textId="77777777" w:rsidR="00566E02" w:rsidRPr="00566E02" w:rsidRDefault="0065649A" w:rsidP="00566E02">
      <w:r>
        <w:rPr>
          <w:noProof/>
        </w:rPr>
        <w:pict w14:anchorId="23DAC6C6">
          <v:rect id="_x0000_i1028" alt="" style="width:435.25pt;height:.05pt;mso-width-percent:0;mso-height-percent:0;mso-width-percent:0;mso-height-percent:0" o:hrpct="930" o:hralign="center" o:hrstd="t" o:hr="t" fillcolor="#a0a0a0" stroked="f"/>
        </w:pict>
      </w:r>
    </w:p>
    <w:p w14:paraId="16E07114" w14:textId="77777777" w:rsidR="00566E02" w:rsidRPr="002255B7" w:rsidRDefault="0065649A" w:rsidP="00566E02">
      <w:hyperlink r:id="rId23" w:history="1">
        <w:r w:rsidR="00566E02" w:rsidRPr="002255B7">
          <w:rPr>
            <w:rStyle w:val="af8"/>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65649A" w:rsidP="00566E02">
      <w:r>
        <w:rPr>
          <w:noProof/>
        </w:rPr>
        <w:pict w14:anchorId="1B0862B0">
          <v:rect id="_x0000_i1029" alt="" style="width:435.25pt;height:.05pt;mso-width-percent:0;mso-height-percent:0;mso-width-percent:0;mso-height-percent:0" o:hrpct="930" o:hralign="center" o:hrstd="t" o:hr="t" fillcolor="#a0a0a0" stroked="f"/>
        </w:pict>
      </w:r>
    </w:p>
    <w:p w14:paraId="03CCF649" w14:textId="77777777" w:rsidR="00566E02" w:rsidRPr="002255B7" w:rsidRDefault="0065649A" w:rsidP="00566E02">
      <w:hyperlink r:id="rId24" w:history="1">
        <w:r w:rsidR="00566E02" w:rsidRPr="002255B7">
          <w:rPr>
            <w:rStyle w:val="af8"/>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lastRenderedPageBreak/>
        <w:t xml:space="preserve">Proposal 2: It is unnecessary to explicitly disable the SPS resource reservation due to congestion control, and it is left for UE implementation. </w:t>
      </w:r>
    </w:p>
    <w:p w14:paraId="35ECA821" w14:textId="77777777" w:rsidR="00566E02" w:rsidRPr="00566E02" w:rsidRDefault="0065649A" w:rsidP="00566E02">
      <w:r>
        <w:rPr>
          <w:noProof/>
        </w:rPr>
        <w:pict w14:anchorId="2BBEBBBA">
          <v:rect id="_x0000_i1030" alt="" style="width:435.25pt;height:.05pt;mso-width-percent:0;mso-height-percent:0;mso-width-percent:0;mso-height-percent:0" o:hrpct="930" o:hralign="center" o:hrstd="t" o:hr="t" fillcolor="#a0a0a0" stroked="f"/>
        </w:pict>
      </w:r>
    </w:p>
    <w:p w14:paraId="52FABF25" w14:textId="77777777" w:rsidR="00566E02" w:rsidRPr="002255B7" w:rsidRDefault="0065649A" w:rsidP="00566E02">
      <w:hyperlink r:id="rId25" w:history="1">
        <w:r w:rsidR="00566E02" w:rsidRPr="002255B7">
          <w:rPr>
            <w:rStyle w:val="af8"/>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rPr>
      </w:pPr>
      <w:r w:rsidRPr="002255B7">
        <w:rPr>
          <w:rFonts w:ascii="Malgun Gothic" w:eastAsia="Malgun Gothic" w:hAnsi="Malgun Gothic" w:cs="Batang"/>
          <w:b/>
          <w:i/>
          <w:u w:val="single"/>
        </w:rPr>
        <w:t>Proposal 1</w:t>
      </w:r>
      <w:r w:rsidRPr="002255B7">
        <w:rPr>
          <w:rFonts w:ascii="Malgun Gothic" w:eastAsia="Malgun Gothic" w:hAnsi="Malgun Gothic" w:cs="Batang"/>
          <w:b/>
          <w:i/>
        </w:rPr>
        <w:t>:</w:t>
      </w:r>
      <w:r w:rsidRPr="002255B7">
        <w:rPr>
          <w:rFonts w:ascii="Malgun Gothic" w:eastAsia="Malgun Gothic" w:hAnsi="Malgun Gothic" w:cs="Batang"/>
          <w:i/>
        </w:rPr>
        <w:t xml:space="preserve"> </w:t>
      </w:r>
      <w:r w:rsidRPr="002255B7">
        <w:rPr>
          <w:rFonts w:ascii="Malgun Gothic" w:eastAsia="Malgun Gothic" w:hAnsi="Malgun Gothic" w:cs="Batang"/>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697038E0" w14:textId="77777777" w:rsidR="00566E02" w:rsidRPr="00566E02" w:rsidRDefault="0065649A" w:rsidP="00566E02">
      <w:r>
        <w:rPr>
          <w:noProof/>
        </w:rPr>
        <w:pict w14:anchorId="4F34947A">
          <v:rect id="_x0000_i1031" alt="" style="width:435.25pt;height:.05pt;mso-width-percent:0;mso-height-percent:0;mso-width-percent:0;mso-height-percent:0" o:hrpct="930" o:hralign="center" o:hrstd="t" o:hr="t" fillcolor="#a0a0a0" stroked="f"/>
        </w:pict>
      </w:r>
    </w:p>
    <w:p w14:paraId="1142E7DB" w14:textId="77777777" w:rsidR="00566E02" w:rsidRPr="002255B7" w:rsidRDefault="0065649A" w:rsidP="00566E02">
      <w:hyperlink r:id="rId26" w:history="1">
        <w:r w:rsidR="00566E02" w:rsidRPr="002255B7">
          <w:rPr>
            <w:rStyle w:val="af8"/>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1: It is proposed to also support CBR reporting of Type 1 CG resources to LTE eNB.</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65649A" w:rsidP="00566E02">
      <w:r>
        <w:rPr>
          <w:noProof/>
        </w:rPr>
        <w:pict w14:anchorId="2F30F838">
          <v:rect id="_x0000_i1032" alt="" style="width:435.25pt;height:.05pt;mso-width-percent:0;mso-height-percent:0;mso-width-percent:0;mso-height-percent:0" o:hrpct="930" o:hralign="center" o:hrstd="t" o:hr="t" fillcolor="#a0a0a0" stroked="f"/>
        </w:pict>
      </w:r>
    </w:p>
    <w:p w14:paraId="67FC3309" w14:textId="77777777" w:rsidR="00566E02" w:rsidRPr="002255B7" w:rsidRDefault="0065649A" w:rsidP="00566E02">
      <w:hyperlink r:id="rId27" w:history="1">
        <w:r w:rsidR="00566E02" w:rsidRPr="002255B7">
          <w:rPr>
            <w:rStyle w:val="af8"/>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65649A" w:rsidP="00566E02">
      <w:r>
        <w:rPr>
          <w:noProof/>
        </w:rPr>
        <w:pict w14:anchorId="04AF4567">
          <v:rect id="_x0000_i1033" alt="" style="width:435.25pt;height:.05pt;mso-width-percent:0;mso-height-percent:0;mso-width-percent:0;mso-height-percent:0" o:hrpct="930" o:hralign="center" o:hrstd="t" o:hr="t" fillcolor="#a0a0a0" stroked="f"/>
        </w:pict>
      </w:r>
    </w:p>
    <w:p w14:paraId="2E4FE53B" w14:textId="77777777" w:rsidR="00566E02" w:rsidRPr="002255B7" w:rsidRDefault="0065649A" w:rsidP="00566E02">
      <w:hyperlink r:id="rId28" w:history="1">
        <w:r w:rsidR="00566E02" w:rsidRPr="002255B7">
          <w:rPr>
            <w:rStyle w:val="af8"/>
          </w:rPr>
          <w:t>R1-2004297</w:t>
        </w:r>
      </w:hyperlink>
      <w:r w:rsidR="00566E02" w:rsidRPr="002255B7">
        <w:t xml:space="preserve"> InterDigital,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65649A" w:rsidP="00566E02">
      <w:r>
        <w:rPr>
          <w:noProof/>
        </w:rPr>
        <w:pict w14:anchorId="530637B7">
          <v:rect id="_x0000_i1034" alt="" style="width:435.25pt;height:.05pt;mso-width-percent:0;mso-height-percent:0;mso-width-percent:0;mso-height-percent:0" o:hrpct="930" o:hralign="center" o:hrstd="t" o:hr="t" fillcolor="#a0a0a0" stroked="f"/>
        </w:pict>
      </w:r>
    </w:p>
    <w:p w14:paraId="0BB25604" w14:textId="77777777" w:rsidR="00566E02" w:rsidRPr="002255B7" w:rsidRDefault="0065649A" w:rsidP="00566E02">
      <w:hyperlink r:id="rId29" w:history="1">
        <w:r w:rsidR="00566E02" w:rsidRPr="002255B7">
          <w:rPr>
            <w:rStyle w:val="af8"/>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65649A" w:rsidP="00566E02">
      <w:r>
        <w:rPr>
          <w:noProof/>
        </w:rPr>
        <w:pict w14:anchorId="30944345">
          <v:rect id="_x0000_i1035" alt="" style="width:435.25pt;height:.05pt;mso-width-percent:0;mso-height-percent:0;mso-width-percent:0;mso-height-percent:0" o:hrpct="930"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0204B" w14:textId="77777777" w:rsidR="0065649A" w:rsidRDefault="0065649A">
      <w:r>
        <w:separator/>
      </w:r>
    </w:p>
  </w:endnote>
  <w:endnote w:type="continuationSeparator" w:id="0">
    <w:p w14:paraId="3FB9A946" w14:textId="77777777" w:rsidR="0065649A" w:rsidRDefault="0065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62E4D" w14:textId="77777777" w:rsidR="0065649A" w:rsidRDefault="0065649A">
      <w:r>
        <w:separator/>
      </w:r>
    </w:p>
  </w:footnote>
  <w:footnote w:type="continuationSeparator" w:id="0">
    <w:p w14:paraId="205ABA20" w14:textId="77777777" w:rsidR="0065649A" w:rsidRDefault="00656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5024B"/>
    <w:multiLevelType w:val="hybridMultilevel"/>
    <w:tmpl w:val="51AA62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7"/>
  </w:num>
  <w:num w:numId="5">
    <w:abstractNumId w:val="25"/>
  </w:num>
  <w:num w:numId="6">
    <w:abstractNumId w:val="4"/>
  </w:num>
  <w:num w:numId="7">
    <w:abstractNumId w:val="22"/>
  </w:num>
  <w:num w:numId="8">
    <w:abstractNumId w:val="2"/>
  </w:num>
  <w:num w:numId="9">
    <w:abstractNumId w:val="15"/>
  </w:num>
  <w:num w:numId="10">
    <w:abstractNumId w:val="23"/>
  </w:num>
  <w:num w:numId="11">
    <w:abstractNumId w:val="1"/>
  </w:num>
  <w:num w:numId="12">
    <w:abstractNumId w:val="21"/>
  </w:num>
  <w:num w:numId="13">
    <w:abstractNumId w:val="16"/>
  </w:num>
  <w:num w:numId="14">
    <w:abstractNumId w:val="5"/>
  </w:num>
  <w:num w:numId="15">
    <w:abstractNumId w:val="28"/>
  </w:num>
  <w:num w:numId="16">
    <w:abstractNumId w:val="13"/>
  </w:num>
  <w:num w:numId="17">
    <w:abstractNumId w:val="31"/>
  </w:num>
  <w:num w:numId="18">
    <w:abstractNumId w:val="11"/>
  </w:num>
  <w:num w:numId="19">
    <w:abstractNumId w:val="10"/>
  </w:num>
  <w:num w:numId="20">
    <w:abstractNumId w:val="30"/>
  </w:num>
  <w:num w:numId="21">
    <w:abstractNumId w:val="9"/>
  </w:num>
  <w:num w:numId="22">
    <w:abstractNumId w:val="19"/>
  </w:num>
  <w:num w:numId="23">
    <w:abstractNumId w:val="7"/>
  </w:num>
  <w:num w:numId="24">
    <w:abstractNumId w:val="26"/>
  </w:num>
  <w:num w:numId="25">
    <w:abstractNumId w:val="8"/>
  </w:num>
  <w:num w:numId="26">
    <w:abstractNumId w:val="18"/>
  </w:num>
  <w:num w:numId="27">
    <w:abstractNumId w:val="20"/>
  </w:num>
  <w:num w:numId="28">
    <w:abstractNumId w:val="27"/>
  </w:num>
  <w:num w:numId="29">
    <w:abstractNumId w:val="24"/>
  </w:num>
  <w:num w:numId="30">
    <w:abstractNumId w:val="14"/>
  </w:num>
  <w:num w:numId="31">
    <w:abstractNumId w:val="3"/>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removePersonalInformation/>
  <w:removeDateAndTime/>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zh-CN" w:vendorID="64" w:dllVersion="131077"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7F4"/>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BB"/>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5FE6"/>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AA"/>
    <w:rsid w:val="002202EC"/>
    <w:rsid w:val="00220422"/>
    <w:rsid w:val="002204ED"/>
    <w:rsid w:val="0022065D"/>
    <w:rsid w:val="0022088E"/>
    <w:rsid w:val="00220A14"/>
    <w:rsid w:val="00220E92"/>
    <w:rsid w:val="00220E9C"/>
    <w:rsid w:val="002211DD"/>
    <w:rsid w:val="0022132B"/>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065"/>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DFC"/>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A71"/>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3E0"/>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0E"/>
    <w:rsid w:val="006561FF"/>
    <w:rsid w:val="00656310"/>
    <w:rsid w:val="0065649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D30"/>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686"/>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7B0"/>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65D"/>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69C"/>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734"/>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4AD"/>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30"/>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4EE"/>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D3"/>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BF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ABE"/>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686"/>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7346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34686"/>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33">
    <w:name w:val="Body Text 3"/>
    <w:basedOn w:val="a"/>
    <w:rsid w:val="005F7B59"/>
    <w:rPr>
      <w:i/>
    </w:rPr>
  </w:style>
  <w:style w:type="paragraph" w:styleId="aa">
    <w:name w:val="Document Map"/>
    <w:basedOn w:val="a"/>
    <w:semiHidden/>
    <w:rsid w:val="005F7B59"/>
    <w:pPr>
      <w:shd w:val="clear" w:color="auto" w:fill="000080"/>
    </w:pPr>
    <w:rPr>
      <w:rFonts w:ascii="Tahoma" w:hAnsi="Tahoma"/>
    </w:rPr>
  </w:style>
  <w:style w:type="paragraph" w:customStyle="1" w:styleId="Bulletedo1">
    <w:name w:val="Bulleted o 1"/>
    <w:basedOn w:val="a"/>
    <w:rsid w:val="005F7B59"/>
    <w:pPr>
      <w:numPr>
        <w:numId w:val="1"/>
      </w:numPr>
    </w:pPr>
  </w:style>
  <w:style w:type="paragraph" w:customStyle="1" w:styleId="text">
    <w:name w:val="text"/>
    <w:basedOn w:val="a"/>
    <w:rsid w:val="005F7B59"/>
    <w:pPr>
      <w:spacing w:after="240"/>
    </w:pPr>
    <w:rPr>
      <w:rFonts w:eastAsia="宋体"/>
    </w:rPr>
  </w:style>
  <w:style w:type="paragraph" w:customStyle="1" w:styleId="Equation">
    <w:name w:val="Equation"/>
    <w:basedOn w:val="a"/>
    <w:next w:val="a"/>
    <w:rsid w:val="005F7B59"/>
    <w:pPr>
      <w:tabs>
        <w:tab w:val="right" w:pos="10206"/>
      </w:tabs>
      <w:spacing w:after="220"/>
      <w:ind w:left="1298"/>
    </w:pPr>
    <w:rPr>
      <w:rFonts w:ascii="Arial" w:hAnsi="Arial"/>
    </w:rPr>
  </w:style>
  <w:style w:type="paragraph" w:customStyle="1" w:styleId="00BodyText">
    <w:name w:val="00 BodyText"/>
    <w:basedOn w:val="a"/>
    <w:rsid w:val="005F7B59"/>
    <w:pPr>
      <w:spacing w:after="220"/>
    </w:pPr>
    <w:rPr>
      <w:rFonts w:ascii="Arial" w:hAnsi="Arial"/>
    </w:rPr>
  </w:style>
  <w:style w:type="paragraph" w:customStyle="1" w:styleId="11BodyText">
    <w:name w:val="11 BodyText"/>
    <w:basedOn w:val="a"/>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ab">
    <w:name w:val="caption"/>
    <w:aliases w:val="cap,3GPP Caption Table"/>
    <w:basedOn w:val="a"/>
    <w:next w:val="a"/>
    <w:link w:val="Char1"/>
    <w:qFormat/>
    <w:rsid w:val="005F7B59"/>
    <w:pPr>
      <w:spacing w:before="120" w:after="120"/>
    </w:pPr>
    <w:rPr>
      <w:b/>
      <w:bCs/>
    </w:rPr>
  </w:style>
  <w:style w:type="paragraph" w:customStyle="1" w:styleId="bodyCharCharChar">
    <w:name w:val="body Char Char Char"/>
    <w:basedOn w:val="a"/>
    <w:rsid w:val="005F7B59"/>
    <w:pPr>
      <w:tabs>
        <w:tab w:val="left" w:pos="2160"/>
      </w:tabs>
      <w:spacing w:before="120" w:after="120" w:line="280" w:lineRule="atLeast"/>
    </w:pPr>
    <w:rPr>
      <w:rFonts w:ascii="New York" w:hAnsi="New York"/>
    </w:rPr>
  </w:style>
  <w:style w:type="paragraph" w:styleId="ac">
    <w:name w:val="Body Text"/>
    <w:aliases w:val="bt"/>
    <w:basedOn w:val="a"/>
    <w:rsid w:val="005F7B59"/>
    <w:pPr>
      <w:spacing w:after="120"/>
    </w:pPr>
    <w:rPr>
      <w:rFonts w:ascii="Times" w:hAnsi="Times"/>
    </w:rPr>
  </w:style>
  <w:style w:type="paragraph" w:styleId="25">
    <w:name w:val="Body Text 2"/>
    <w:basedOn w:val="a"/>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a"/>
    <w:rsid w:val="005F7B59"/>
    <w:pPr>
      <w:tabs>
        <w:tab w:val="left" w:pos="2160"/>
      </w:tabs>
      <w:spacing w:before="120" w:after="120" w:line="280" w:lineRule="atLeast"/>
    </w:pPr>
    <w:rPr>
      <w:rFonts w:ascii="New York" w:hAnsi="New York"/>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标题 1 Char"/>
    <w:link w:val="1"/>
    <w:rsid w:val="00184F51"/>
    <w:rPr>
      <w:rFonts w:ascii="Arial" w:eastAsia="Times New Roman" w:hAnsi="Arial" w:cs="Arial"/>
      <w:sz w:val="36"/>
      <w:szCs w:val="36"/>
    </w:rPr>
  </w:style>
  <w:style w:type="character" w:customStyle="1" w:styleId="2Char">
    <w:name w:val="标题 2 Char"/>
    <w:link w:val="2"/>
    <w:rsid w:val="00184F51"/>
    <w:rPr>
      <w:rFonts w:ascii="Arial" w:eastAsia="Times New Roman" w:hAnsi="Arial" w:cs="Arial"/>
      <w:sz w:val="32"/>
      <w:szCs w:val="32"/>
    </w:rPr>
  </w:style>
  <w:style w:type="character" w:customStyle="1" w:styleId="3Char">
    <w:name w:val="标题 3 Char"/>
    <w:link w:val="3"/>
    <w:rsid w:val="00184F51"/>
    <w:rPr>
      <w:rFonts w:ascii="Arial" w:eastAsia="Times New Roman" w:hAnsi="Arial" w:cs="Arial"/>
      <w:sz w:val="28"/>
      <w:szCs w:val="28"/>
    </w:rPr>
  </w:style>
  <w:style w:type="character" w:customStyle="1" w:styleId="4Char">
    <w:name w:val="标题 4 Char"/>
    <w:aliases w:val="h4 Char"/>
    <w:link w:val="4"/>
    <w:rsid w:val="00184F51"/>
    <w:rPr>
      <w:rFonts w:ascii="Arial" w:eastAsia="Times New Roman" w:hAnsi="Arial" w:cs="Arial"/>
      <w:sz w:val="24"/>
      <w:szCs w:val="24"/>
    </w:rPr>
  </w:style>
  <w:style w:type="character" w:customStyle="1" w:styleId="5Char">
    <w:name w:val="标题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rPr>
  </w:style>
  <w:style w:type="character" w:customStyle="1" w:styleId="Char4">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style>
  <w:style w:type="character" w:customStyle="1" w:styleId="Char2">
    <w:name w:val="批注文字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rsid w:val="0002790C"/>
    <w:rPr>
      <w:rFonts w:ascii="Arial" w:eastAsia="Times New Roman" w:hAnsi="Arial" w:cs="Arial"/>
      <w:b/>
      <w:bCs/>
      <w:i/>
      <w:iCs/>
      <w:noProof/>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题注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1C41"/>
    <w:rPr>
      <w:b/>
      <w:bCs/>
    </w:rPr>
  </w:style>
  <w:style w:type="character" w:customStyle="1" w:styleId="UnresolvedMention1">
    <w:name w:val="Unresolved Mention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4227424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4421</Words>
  <Characters>25204</Characters>
  <Application>Microsoft Office Word</Application>
  <DocSecurity>0</DocSecurity>
  <Lines>210</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2020-05-29T17:49:00Z</dcterms:created>
  <dcterms:modified xsi:type="dcterms:W3CDTF">2020-05-29T18:06:00Z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