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31833" w14:textId="77777777" w:rsidR="00D12AA7" w:rsidRDefault="00F75FB1">
      <w:pPr>
        <w:pStyle w:val="Header"/>
        <w:tabs>
          <w:tab w:val="right" w:pos="9400"/>
          <w:tab w:val="right" w:pos="9781"/>
        </w:tabs>
        <w:ind w:right="-58"/>
        <w:rPr>
          <w:bCs w:val="0"/>
          <w:sz w:val="28"/>
          <w:szCs w:val="24"/>
          <w:lang w:eastAsia="zh-CN"/>
        </w:rPr>
      </w:pPr>
      <w:r>
        <w:rPr>
          <w:rFonts w:eastAsia="Batang"/>
          <w:bCs w:val="0"/>
          <w:sz w:val="28"/>
          <w:szCs w:val="24"/>
        </w:rPr>
        <w:t>3GPP TSG RAN WG1 #101</w:t>
      </w:r>
      <w:r>
        <w:rPr>
          <w:rFonts w:eastAsia="Batang"/>
          <w:bCs w:val="0"/>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Heading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Heading1"/>
        <w:spacing w:after="120"/>
        <w:jc w:val="both"/>
        <w:rPr>
          <w:lang w:eastAsia="zh-CN"/>
        </w:rPr>
      </w:pPr>
      <w:r>
        <w:rPr>
          <w:lang w:eastAsia="zh-CN"/>
        </w:rP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Batang" w:hAnsi="Calibri" w:cs="Calibri"/>
        </w:rPr>
      </w:pPr>
      <w:bookmarkStart w:id="1" w:name="_Hlk37801722"/>
      <w:r>
        <w:rPr>
          <w:rFonts w:ascii="Calibri" w:hAnsi="Calibri" w:cs="Calibri"/>
        </w:rPr>
        <w:lastRenderedPageBreak/>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t xml:space="preserve">ZTE, </w:t>
            </w:r>
            <w:proofErr w:type="spellStart"/>
            <w:r>
              <w:t>Sanechips</w:t>
            </w:r>
            <w:proofErr w:type="spellEnd"/>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pPr>
              <w:jc w:val="left"/>
            </w:pPr>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proofErr w:type="spellStart"/>
            <w:r w:rsidRPr="00F75FB1">
              <w:t>maximumtransmitPower</w:t>
            </w:r>
            <w:proofErr w:type="spellEnd"/>
            <w:r w:rsidRPr="00F75FB1">
              <w:t>-SL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954538" w:rsidRDefault="00954538" w:rsidP="00954538">
            <w:pPr>
              <w:rPr>
                <w:rFonts w:eastAsia="Malgun Gothic"/>
                <w:iCs/>
              </w:rPr>
            </w:pPr>
            <w:r>
              <w:rPr>
                <w:rFonts w:eastAsia="Malgun Gothic" w:hint="eastAsia"/>
                <w:iCs/>
              </w:rPr>
              <w:t xml:space="preserve">For issue 1.5, we have the same understanding with vivo. </w:t>
            </w:r>
            <w:r>
              <w:rPr>
                <w:rFonts w:eastAsia="Malgun Gothic"/>
                <w:iCs/>
              </w:rPr>
              <w:t xml:space="preserve">In RRC, </w:t>
            </w:r>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Pr>
                <w:rFonts w:ascii="Times New Roman" w:eastAsia="Malgun Gothic" w:hAnsi="Times New Roman"/>
                <w:i/>
                <w:iCs/>
                <w:szCs w:val="20"/>
              </w:rPr>
              <w:t xml:space="preserve"> </w:t>
            </w:r>
            <w:r>
              <w:rPr>
                <w:rFonts w:eastAsia="Malgun Gothic"/>
                <w:iCs/>
              </w:rPr>
              <w:t>is available only</w:t>
            </w:r>
            <w:r w:rsidRPr="00954538">
              <w:rPr>
                <w:rFonts w:eastAsia="Malgun Gothic"/>
                <w:iCs/>
              </w:rPr>
              <w:t xml:space="preserve"> in Mode</w:t>
            </w:r>
            <w:r>
              <w:rPr>
                <w:rFonts w:eastAsia="Malgun Gothic"/>
                <w:iCs/>
              </w:rPr>
              <w:t>2 (</w:t>
            </w:r>
            <w:r w:rsidRPr="00954538">
              <w:rPr>
                <w:rFonts w:eastAsia="Malgun Gothic"/>
                <w:i/>
                <w:iCs/>
              </w:rPr>
              <w:t>SL-UE-SelectedConfig-r16</w:t>
            </w:r>
            <w:r>
              <w:rPr>
                <w:rFonts w:eastAsia="Malgun Gothic"/>
                <w:iCs/>
              </w:rPr>
              <w:t xml:space="preserve">) and thus </w:t>
            </w:r>
            <w:r w:rsidRPr="00954538">
              <w:rPr>
                <w:rFonts w:eastAsia="Malgun Gothic"/>
                <w:iCs/>
              </w:rPr>
              <w:t xml:space="preserve">CBR-based sidelink power control in mode 1 is </w:t>
            </w:r>
            <w:r>
              <w:rPr>
                <w:rFonts w:eastAsia="Malgun Gothic"/>
                <w:iCs/>
              </w:rPr>
              <w:t xml:space="preserve">not </w:t>
            </w:r>
            <w:r w:rsidRPr="00954538">
              <w:rPr>
                <w:rFonts w:eastAsia="Malgun Gothic"/>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D12AA7" w14:paraId="46FAE02C" w14:textId="77777777" w:rsidTr="00F75FB1">
        <w:tc>
          <w:tcPr>
            <w:tcW w:w="1555" w:type="dxa"/>
          </w:tcPr>
          <w:p w14:paraId="47948C54" w14:textId="77777777" w:rsidR="00D12AA7" w:rsidRDefault="00D12AA7">
            <w:pPr>
              <w:rPr>
                <w:iCs/>
              </w:rPr>
            </w:pPr>
          </w:p>
        </w:tc>
        <w:tc>
          <w:tcPr>
            <w:tcW w:w="2243" w:type="dxa"/>
          </w:tcPr>
          <w:p w14:paraId="28D85400" w14:textId="77777777" w:rsidR="00D12AA7" w:rsidRDefault="00D12AA7">
            <w:pPr>
              <w:rPr>
                <w:iCs/>
              </w:rPr>
            </w:pPr>
          </w:p>
        </w:tc>
        <w:tc>
          <w:tcPr>
            <w:tcW w:w="5219" w:type="dxa"/>
          </w:tcPr>
          <w:p w14:paraId="0E1B438B" w14:textId="77777777" w:rsidR="00D12AA7" w:rsidRDefault="00D12AA7">
            <w:pPr>
              <w:rPr>
                <w:iCs/>
              </w:rPr>
            </w:pPr>
          </w:p>
        </w:tc>
      </w:tr>
    </w:tbl>
    <w:p w14:paraId="2176C610" w14:textId="77777777" w:rsidR="00D12AA7" w:rsidRDefault="00D12AA7">
      <w:pPr>
        <w:rPr>
          <w:iCs/>
        </w:rPr>
      </w:pPr>
    </w:p>
    <w:p w14:paraId="649911A0" w14:textId="77777777" w:rsidR="00D12AA7" w:rsidRDefault="00F75FB1">
      <w:pPr>
        <w:pStyle w:val="Heading1"/>
        <w:spacing w:after="120"/>
        <w:jc w:val="both"/>
        <w:rPr>
          <w:lang w:eastAsia="zh-CN"/>
        </w:rPr>
      </w:pPr>
      <w:bookmarkStart w:id="2" w:name="_Toc37801437"/>
      <w:r>
        <w:rPr>
          <w:lang w:eastAsia="zh-CN"/>
        </w:rPr>
        <w:t>Issues</w:t>
      </w:r>
      <w:bookmarkEnd w:id="2"/>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Default="00F75FB1">
      <w:pPr>
        <w:rPr>
          <w:lang w:eastAsia="en-GB"/>
        </w:rPr>
      </w:pPr>
      <w:r>
        <w:rPr>
          <w:lang w:eastAsia="en-GB"/>
        </w:rPr>
        <w:t>Note: Issue numbering is the same as in the previous meeting, hence gaps in numbering appear for issues which have been settled.</w:t>
      </w:r>
    </w:p>
    <w:p w14:paraId="64262108" w14:textId="77777777" w:rsidR="00D12AA7" w:rsidRDefault="00D12AA7"/>
    <w:p w14:paraId="25CE1D9A" w14:textId="77777777" w:rsidR="00D12AA7" w:rsidRDefault="00F75FB1">
      <w:pPr>
        <w:pStyle w:val="Heading2"/>
      </w:pPr>
      <w:bookmarkStart w:id="3" w:name="_Toc37801438"/>
      <w:r>
        <w:t>Topic 1: Sidelink Congestion Control</w:t>
      </w:r>
      <w:bookmarkEnd w:id="3"/>
    </w:p>
    <w:p w14:paraId="6F5273C9" w14:textId="77777777" w:rsidR="00D12AA7" w:rsidRDefault="00D12AA7">
      <w:pPr>
        <w:rPr>
          <w:lang w:eastAsia="en-GB"/>
        </w:rPr>
      </w:pPr>
    </w:p>
    <w:p w14:paraId="4930D3DD" w14:textId="77777777" w:rsidR="00D12AA7" w:rsidRDefault="00F75FB1">
      <w:pPr>
        <w:pStyle w:val="Heading3"/>
      </w:pPr>
      <w:bookmarkStart w:id="4" w:name="_Toc37801440"/>
      <w:r>
        <w:t>Issue 1.2: CR – treatment of resources reserved, but not used due to HARQ feedback and/or pre-emption</w:t>
      </w:r>
      <w:bookmarkEnd w:id="4"/>
    </w:p>
    <w:p w14:paraId="713CAA36" w14:textId="77777777" w:rsidR="00D12AA7" w:rsidRDefault="00F75FB1">
      <w:pPr>
        <w:pStyle w:val="Heading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w:t>
      </w:r>
      <w:proofErr w:type="spellStart"/>
      <w:r>
        <w:rPr>
          <w:lang w:eastAsia="en-GB"/>
        </w:rPr>
        <w:t>n+b</w:t>
      </w:r>
      <w:proofErr w:type="spellEnd"/>
      <w:r>
        <w:rPr>
          <w:lang w:eastAsia="en-GB"/>
        </w:rPr>
        <w:t xml:space="preserve">]”. Hence, for the past segment of the evaluation window, slots [n-a, n-1], it is clear that resources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w:t>
      </w:r>
      <w:proofErr w:type="spellStart"/>
      <w:r>
        <w:rPr>
          <w:lang w:eastAsia="en-GB"/>
        </w:rPr>
        <w:t>n+b</w:t>
      </w:r>
      <w:proofErr w:type="spellEnd"/>
      <w:r>
        <w:rPr>
          <w:lang w:eastAsia="en-GB"/>
        </w:rPr>
        <w:t xml:space="preserve">],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Heading5"/>
      </w:pPr>
      <w:r>
        <w:t>Pre-emption</w:t>
      </w:r>
    </w:p>
    <w:p w14:paraId="6D27035A" w14:textId="77777777" w:rsidR="00D12AA7" w:rsidRDefault="00F75FB1">
      <w:pPr>
        <w:rPr>
          <w:lang w:eastAsia="en-GB"/>
        </w:rPr>
      </w:pPr>
      <w:r>
        <w:rPr>
          <w:lang w:eastAsia="en-GB"/>
        </w:rPr>
        <w:t>For the case of pre-emption, [Huawei, HiSilicon]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 xml:space="preserve">if a sidelink transmission is scheduled by any received SCI indicating a higher priority than the </w:t>
            </w:r>
            <w:proofErr w:type="spellStart"/>
            <w:r>
              <w:rPr>
                <w:rFonts w:eastAsia="Times New Roman"/>
                <w:szCs w:val="20"/>
              </w:rPr>
              <w:t>prority</w:t>
            </w:r>
            <w:proofErr w:type="spellEnd"/>
            <w:r>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Heading5"/>
      </w:pPr>
      <w:r>
        <w:lastRenderedPageBreak/>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ListParagraph"/>
              <w:numPr>
                <w:ilvl w:val="0"/>
                <w:numId w:val="2"/>
              </w:numPr>
              <w:rPr>
                <w:szCs w:val="20"/>
                <w:lang w:val="en-US"/>
              </w:rPr>
            </w:pPr>
            <w:r>
              <w:rPr>
                <w:szCs w:val="20"/>
                <w:lang w:val="en-US"/>
              </w:rPr>
              <w:t>NR V2X Mode-2 supports resource reservation for feedback-based PSSCH retransmissions by signaling associated with a prior transmission of the same TB</w:t>
            </w:r>
          </w:p>
          <w:p w14:paraId="58ED124B" w14:textId="77777777" w:rsidR="00D12AA7" w:rsidRDefault="00F75FB1">
            <w:pPr>
              <w:pStyle w:val="ListParagraph"/>
              <w:numPr>
                <w:ilvl w:val="1"/>
                <w:numId w:val="2"/>
              </w:numPr>
              <w:rPr>
                <w:szCs w:val="20"/>
                <w:lang w:val="en-US"/>
              </w:rPr>
            </w:pPr>
            <w:r>
              <w:rPr>
                <w:szCs w:val="20"/>
                <w:lang w:val="en-US"/>
              </w:rPr>
              <w:t>FFS impact on subsequent sensing and resource selection procedures</w:t>
            </w:r>
          </w:p>
          <w:p w14:paraId="19E3BB9D" w14:textId="77777777" w:rsidR="00D12AA7" w:rsidRDefault="00F75FB1">
            <w:pPr>
              <w:pStyle w:val="ListParagraph"/>
              <w:numPr>
                <w:ilvl w:val="1"/>
                <w:numId w:val="2"/>
              </w:numPr>
              <w:rPr>
                <w:szCs w:val="20"/>
                <w:lang w:val="en-US"/>
              </w:rPr>
            </w:pPr>
            <w:r>
              <w:rPr>
                <w:szCs w:val="20"/>
                <w:lang w:val="en-US"/>
              </w:rPr>
              <w:t>At least from the transmitter perspective of this TB, usage of HARQ feedback for release of unused resource(s) is supported</w:t>
            </w:r>
          </w:p>
          <w:p w14:paraId="50A12CE2" w14:textId="77777777" w:rsidR="00D12AA7" w:rsidRDefault="00F75FB1">
            <w:pPr>
              <w:pStyle w:val="ListParagraph"/>
              <w:numPr>
                <w:ilvl w:val="2"/>
                <w:numId w:val="2"/>
              </w:numPr>
              <w:rPr>
                <w:szCs w:val="20"/>
                <w:lang w:val="en-US"/>
              </w:rPr>
            </w:pPr>
            <w:r>
              <w:rPr>
                <w:szCs w:val="20"/>
                <w:lang w:val="en-US"/>
              </w:rPr>
              <w:t>No additional signaling is defined for the purpose of release of unused resources by the transmitting UE</w:t>
            </w:r>
          </w:p>
          <w:p w14:paraId="5243B271" w14:textId="77777777" w:rsidR="00D12AA7" w:rsidRDefault="00F75FB1">
            <w:pPr>
              <w:pStyle w:val="ListParagraph"/>
              <w:numPr>
                <w:ilvl w:val="2"/>
                <w:numId w:val="2"/>
              </w:numPr>
              <w:rPr>
                <w:szCs w:val="20"/>
                <w:lang w:val="en-US"/>
              </w:rPr>
            </w:pPr>
            <w:r>
              <w:rPr>
                <w:szCs w:val="20"/>
                <w:lang w:val="en-US"/>
              </w:rP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Heading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Yes: [Nokia, NSB], [vivo], [Huawei, HiSilicon], [LGE], [OPPO]</w:t>
      </w:r>
    </w:p>
    <w:p w14:paraId="3D90F25E" w14:textId="77777777" w:rsidR="00D12AA7" w:rsidRDefault="00F75FB1">
      <w:pPr>
        <w:rPr>
          <w:lang w:eastAsia="en-GB"/>
        </w:rPr>
      </w:pPr>
      <w:r>
        <w:rPr>
          <w:lang w:eastAsia="en-GB"/>
        </w:rPr>
        <w:t>No: [</w:t>
      </w:r>
      <w:r>
        <w:t xml:space="preserve">ZTE, </w:t>
      </w:r>
      <w:proofErr w:type="spellStart"/>
      <w:r>
        <w:t>Sanechips</w:t>
      </w:r>
      <w:proofErr w:type="spellEnd"/>
      <w:r>
        <w:rPr>
          <w:lang w:eastAsia="en-GB"/>
        </w:rPr>
        <w:t>], [CATT], [Apple], [InterDigital], [Ericsson]</w:t>
      </w:r>
    </w:p>
    <w:p w14:paraId="7CAEE200" w14:textId="77777777"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Heading4"/>
      </w:pPr>
      <w:r>
        <w:lastRenderedPageBreak/>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Heading3"/>
      </w:pPr>
      <w:bookmarkStart w:id="5" w:name="_Toc37801441"/>
      <w:r>
        <w:t>Issue 1.3: Semi-persistent resource reservation disabled by congestion control</w:t>
      </w:r>
      <w:bookmarkEnd w:id="5"/>
    </w:p>
    <w:p w14:paraId="3EC20A00" w14:textId="77777777" w:rsidR="00D12AA7" w:rsidRDefault="00F75FB1">
      <w:pPr>
        <w:pStyle w:val="Heading4"/>
      </w:pPr>
      <w:r>
        <w:t xml:space="preserve">Views expressed in contributions </w:t>
      </w:r>
    </w:p>
    <w:p w14:paraId="35066B95" w14:textId="77777777" w:rsidR="00D12AA7" w:rsidRDefault="00F75FB1">
      <w:pPr>
        <w:rPr>
          <w:lang w:eastAsia="en-GB"/>
        </w:rPr>
      </w:pPr>
      <w:r>
        <w:rPr>
          <w:lang w:eastAsia="en-GB"/>
        </w:rPr>
        <w:t>[InterDigital] propose that congestion control can disable semi-persistent resource reservation. This is opposed by [ZTE], [CATT].</w:t>
      </w:r>
    </w:p>
    <w:p w14:paraId="5259F4D7" w14:textId="77777777" w:rsidR="00D12AA7" w:rsidRDefault="00F75FB1">
      <w:pPr>
        <w:pStyle w:val="Heading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Heading3"/>
      </w:pPr>
      <w:bookmarkStart w:id="6" w:name="_Toc37801442"/>
      <w:r>
        <w:t>Issue 1.4: CBR reporting in cross-RAT scenarios</w:t>
      </w:r>
      <w:bookmarkEnd w:id="6"/>
    </w:p>
    <w:p w14:paraId="1BC1C85A" w14:textId="77777777" w:rsidR="00D12AA7" w:rsidRDefault="00F75FB1">
      <w:pPr>
        <w:pStyle w:val="Heading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 xml:space="preserve">[ZTE, </w:t>
      </w:r>
      <w:proofErr w:type="spellStart"/>
      <w:r>
        <w:rPr>
          <w:lang w:eastAsia="en-GB"/>
        </w:rPr>
        <w:t>Sanechips</w:t>
      </w:r>
      <w:proofErr w:type="spellEnd"/>
      <w:r>
        <w:rPr>
          <w:lang w:eastAsia="en-GB"/>
        </w:rPr>
        <w:t>] proposed support for reporting LTE sidelink CBR to the gNB for RRC_CONNECTED UEs.</w:t>
      </w:r>
    </w:p>
    <w:p w14:paraId="1DE2AE67" w14:textId="77777777" w:rsidR="00D12AA7" w:rsidRDefault="00F75FB1">
      <w:pPr>
        <w:pStyle w:val="Heading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Heading3"/>
      </w:pPr>
      <w:bookmarkStart w:id="7" w:name="_Toc37801443"/>
      <w:r>
        <w:t>Issue 1.5: CBR-based sidelink power control in mode 1</w:t>
      </w:r>
      <w:bookmarkEnd w:id="7"/>
    </w:p>
    <w:p w14:paraId="78C5E363" w14:textId="77777777" w:rsidR="00D12AA7" w:rsidRDefault="00F75FB1">
      <w:pPr>
        <w:pStyle w:val="Heading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655897">
            <w:pPr>
              <w:keepLines/>
              <w:tabs>
                <w:tab w:val="center" w:pos="4536"/>
                <w:tab w:val="right" w:pos="9072"/>
              </w:tabs>
              <w:spacing w:after="180"/>
              <w:rPr>
                <w:rFonts w:ascii="Times New Roman" w:eastAsia="Times New Roman" w:hAnsi="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ascii="Times New Roman" w:eastAsia="Times New Roman" w:hAnsi="Times New Roman"/>
                <w:szCs w:val="20"/>
                <w:lang w:val="de-DE"/>
              </w:rPr>
              <w:t xml:space="preserve"> [dBm]</w:t>
            </w:r>
          </w:p>
          <w:p w14:paraId="52D685D8" w14:textId="77777777" w:rsidR="00D12AA7" w:rsidRDefault="00F75FB1">
            <w:pPr>
              <w:rPr>
                <w:rFonts w:ascii="Times New Roman" w:eastAsia="Malgun Gothic" w:hAnsi="Times New Roman"/>
                <w:szCs w:val="20"/>
              </w:rPr>
            </w:pPr>
            <w:r>
              <w:rPr>
                <w:rFonts w:ascii="Times New Roman" w:eastAsia="Times New Roman" w:hAnsi="Times New Roman"/>
                <w:szCs w:val="20"/>
              </w:rPr>
              <w:t>w</w:t>
            </w:r>
            <w:r>
              <w:rPr>
                <w:rFonts w:ascii="Times New Roman" w:eastAsia="Malgun Gothic" w:hAnsi="Times New Roman"/>
                <w:szCs w:val="20"/>
              </w:rPr>
              <w:t>here</w:t>
            </w:r>
          </w:p>
          <w:p w14:paraId="0AD982B8"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Times New Roman"/>
                      <w:szCs w:val="20"/>
                      <w:lang w:val="zh-CN"/>
                    </w:rPr>
                    <m:t>P</m:t>
                  </m:r>
                </m:e>
                <m:sub>
                  <m:r>
                    <m:rPr>
                      <m:nor/>
                    </m:rPr>
                    <w:rPr>
                      <w:rFonts w:ascii="Cambria Math" w:eastAsia="Times New Roman" w:hAnsi="Times New Roman"/>
                      <w:szCs w:val="20"/>
                    </w:rPr>
                    <m:t>CMAX</m:t>
                  </m:r>
                  <m:ctrlPr>
                    <w:rPr>
                      <w:rFonts w:ascii="Cambria Math" w:eastAsia="Times New Roman" w:hAnsi="Cambria Math"/>
                      <w:szCs w:val="20"/>
                      <w:lang w:val="zh-CN"/>
                    </w:rPr>
                  </m:ctrlPr>
                </m:sub>
              </m:sSub>
            </m:oMath>
            <w:r>
              <w:rPr>
                <w:rFonts w:ascii="Times New Roman" w:eastAsia="Times New Roman" w:hAnsi="Times New Roman"/>
                <w:szCs w:val="20"/>
              </w:rPr>
              <w:t xml:space="preserve"> </w:t>
            </w:r>
            <w:r w:rsidRPr="00F75FB1">
              <w:rPr>
                <w:rFonts w:ascii="Times New Roman" w:eastAsia="Malgun Gothic" w:hAnsi="Times New Roman"/>
                <w:szCs w:val="20"/>
              </w:rPr>
              <w:t xml:space="preserve">is defined in </w:t>
            </w:r>
            <w:r w:rsidRPr="00F75FB1">
              <w:rPr>
                <w:rFonts w:ascii="Times New Roman" w:eastAsia="Times New Roman" w:hAnsi="Times New Roman"/>
                <w:szCs w:val="20"/>
              </w:rPr>
              <w:t>[8-1, TS 38.101-1]</w:t>
            </w:r>
          </w:p>
          <w:p w14:paraId="557878C0"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ascii="Times New Roman" w:eastAsia="Malgun Gothic" w:hAnsi="Times New Roman"/>
                <w:szCs w:val="20"/>
              </w:rPr>
              <w:t xml:space="preserve"> is </w:t>
            </w:r>
            <w:r>
              <w:rPr>
                <w:rFonts w:ascii="Times New Roman" w:eastAsia="Malgun Gothic" w:hAnsi="Times New Roman"/>
                <w:szCs w:val="20"/>
              </w:rPr>
              <w:t>determined</w:t>
            </w:r>
            <w:r w:rsidRPr="00F75FB1">
              <w:rPr>
                <w:rFonts w:ascii="Times New Roman" w:eastAsia="Malgun Gothic" w:hAnsi="Times New Roman"/>
                <w:szCs w:val="20"/>
              </w:rPr>
              <w:t xml:space="preserve"> by</w:t>
            </w:r>
            <w:r>
              <w:rPr>
                <w:rFonts w:ascii="Times New Roman" w:eastAsia="Malgun Gothic" w:hAnsi="Times New Roman"/>
                <w:szCs w:val="20"/>
              </w:rPr>
              <w:t xml:space="preserve"> a value of</w:t>
            </w:r>
            <w:r w:rsidRPr="00F75FB1">
              <w:rPr>
                <w:rFonts w:ascii="Times New Roman" w:eastAsia="Malgun Gothic" w:hAnsi="Times New Roman"/>
                <w:szCs w:val="20"/>
              </w:rPr>
              <w:t xml:space="preserve"> </w:t>
            </w:r>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Pr>
                <w:rFonts w:ascii="Times New Roman" w:eastAsia="Malgun Gothic" w:hAnsi="Times New Roman"/>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Pr>
                <w:rFonts w:ascii="Times New Roman" w:eastAsia="Malgun Gothic" w:hAnsi="Times New Roman"/>
                <w:szCs w:val="20"/>
              </w:rPr>
              <w:t xml:space="preserve"> [6, TS 38.214]</w:t>
            </w:r>
            <w:r>
              <w:rPr>
                <w:rFonts w:ascii="Times New Roman" w:eastAsia="Malgun Gothic" w:hAnsi="Times New Roman"/>
                <w:iCs/>
                <w:szCs w:val="20"/>
              </w:rPr>
              <w:t>;</w:t>
            </w:r>
            <w:r w:rsidRPr="00F75FB1">
              <w:rPr>
                <w:rFonts w:ascii="Times New Roman" w:eastAsia="Times New Roman" w:hAnsi="Times New Roman"/>
                <w:szCs w:val="20"/>
              </w:rPr>
              <w:t xml:space="preserve"> </w:t>
            </w:r>
            <w:r>
              <w:rPr>
                <w:rFonts w:ascii="Times New Roman" w:eastAsia="Times New Roman" w:hAnsi="Times New Roman"/>
                <w:szCs w:val="20"/>
              </w:rPr>
              <w:t xml:space="preserve">if </w:t>
            </w:r>
            <w:bookmarkStart w:id="8" w:name="_Hlk40811461"/>
            <w:proofErr w:type="spellStart"/>
            <w:r w:rsidRPr="00F75FB1">
              <w:rPr>
                <w:rFonts w:ascii="Times New Roman" w:eastAsia="Malgun Gothic" w:hAnsi="Times New Roman"/>
                <w:i/>
                <w:iCs/>
                <w:szCs w:val="20"/>
              </w:rPr>
              <w:t>maximumtransmitPower</w:t>
            </w:r>
            <w:proofErr w:type="spellEnd"/>
            <w:r w:rsidRPr="00F75FB1">
              <w:rPr>
                <w:rFonts w:ascii="Times New Roman" w:eastAsia="Malgun Gothic" w:hAnsi="Times New Roman"/>
                <w:i/>
                <w:iCs/>
                <w:szCs w:val="20"/>
              </w:rPr>
              <w:t>-SL</w:t>
            </w:r>
            <w:r w:rsidRPr="00F75FB1">
              <w:rPr>
                <w:rFonts w:ascii="Times New Roman" w:eastAsia="Times New Roman" w:hAnsi="Times New Roman"/>
                <w:szCs w:val="20"/>
              </w:rPr>
              <w:t xml:space="preserve"> </w:t>
            </w:r>
            <w:bookmarkEnd w:id="8"/>
            <w:r w:rsidRPr="00F75FB1">
              <w:rPr>
                <w:rFonts w:ascii="Times New Roman" w:eastAsia="Times New Roman" w:hAnsi="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ascii="Times New Roman" w:eastAsia="Times New Roman" w:hAnsi="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ListParagraph"/>
        <w:numPr>
          <w:ilvl w:val="0"/>
          <w:numId w:val="3"/>
        </w:numPr>
        <w:rPr>
          <w:lang w:val="en-US" w:eastAsia="en-GB"/>
        </w:rPr>
      </w:pPr>
      <w:r w:rsidRPr="00F75FB1">
        <w:rPr>
          <w:lang w:val="en-US" w:eastAsia="en-GB"/>
        </w:rPr>
        <w:t xml:space="preserve">CBR-based </w:t>
      </w:r>
      <w:r>
        <w:rPr>
          <w:lang w:val="en-GB" w:eastAsia="en-GB"/>
        </w:rPr>
        <w:t xml:space="preserve">sidelink </w:t>
      </w:r>
      <w:r w:rsidRPr="00F75FB1">
        <w:rPr>
          <w:lang w:val="en-US" w:eastAsia="en-GB"/>
        </w:rPr>
        <w:t xml:space="preserve">power control can </w:t>
      </w:r>
      <w:r>
        <w:rPr>
          <w:lang w:val="en-GB" w:eastAsia="en-GB"/>
        </w:rPr>
        <w:t xml:space="preserve">actually </w:t>
      </w:r>
      <w:r w:rsidRPr="00F75FB1">
        <w:rPr>
          <w:lang w:val="en-US" w:eastAsia="en-GB"/>
        </w:rPr>
        <w:t>be applied in mode 1</w:t>
      </w:r>
      <w:r>
        <w:rPr>
          <w:lang w:val="en-GB" w:eastAsia="en-GB"/>
        </w:rPr>
        <w:t>; or</w:t>
      </w:r>
      <w:r w:rsidRPr="00F75FB1">
        <w:rPr>
          <w:lang w:val="en-US" w:eastAsia="en-GB"/>
        </w:rPr>
        <w:t xml:space="preserve"> </w:t>
      </w:r>
    </w:p>
    <w:p w14:paraId="604A2065" w14:textId="77777777" w:rsidR="00D12AA7" w:rsidRPr="00F75FB1" w:rsidRDefault="00F75FB1">
      <w:pPr>
        <w:pStyle w:val="ListParagraph"/>
        <w:numPr>
          <w:ilvl w:val="0"/>
          <w:numId w:val="3"/>
        </w:numPr>
        <w:rPr>
          <w:lang w:val="en-US" w:eastAsia="en-GB"/>
        </w:rPr>
      </w:pPr>
      <w:r w:rsidRPr="00F75FB1">
        <w:rPr>
          <w:lang w:val="en-US" w:eastAsia="en-GB"/>
        </w:rPr>
        <w:t xml:space="preserve">for mode 1 the parameter </w:t>
      </w:r>
      <w:proofErr w:type="spellStart"/>
      <w:r w:rsidRPr="00F75FB1">
        <w:rPr>
          <w:rFonts w:ascii="Times New Roman" w:eastAsia="Malgun Gothic" w:hAnsi="Times New Roman"/>
          <w:i/>
          <w:iCs/>
          <w:szCs w:val="20"/>
          <w:lang w:val="en-US"/>
        </w:rPr>
        <w:t>maximumtransmitPower</w:t>
      </w:r>
      <w:proofErr w:type="spellEnd"/>
      <w:r w:rsidRPr="00F75FB1">
        <w:rPr>
          <w:rFonts w:ascii="Times New Roman" w:eastAsia="Malgun Gothic" w:hAnsi="Times New Roman"/>
          <w:i/>
          <w:iCs/>
          <w:szCs w:val="20"/>
          <w:lang w:val="en-US"/>
        </w:rPr>
        <w:t>-SL</w:t>
      </w:r>
      <w:r w:rsidRPr="00F75FB1">
        <w:rPr>
          <w:lang w:val="en-US" w:eastAsia="en-GB"/>
        </w:rPr>
        <w:t xml:space="preserve"> cannot be provided, hence CBR-based </w:t>
      </w:r>
      <w:r>
        <w:rPr>
          <w:lang w:val="en-GB" w:eastAsia="en-GB"/>
        </w:rPr>
        <w:t xml:space="preserve">sidelink </w:t>
      </w:r>
      <w:r w:rsidRPr="00F75FB1">
        <w:rPr>
          <w:lang w:val="en-US" w:eastAsia="en-GB"/>
        </w:rPr>
        <w:t>power control in mode 1</w:t>
      </w:r>
      <w:r>
        <w:rPr>
          <w:lang w:val="en-GB" w:eastAsia="en-GB"/>
        </w:rPr>
        <w:t xml:space="preserve"> is actually not supported</w:t>
      </w:r>
      <w:r w:rsidRPr="00F75FB1">
        <w:rPr>
          <w:lang w:val="en-US"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Heading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Heading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proofErr w:type="spellStart"/>
      <w:r w:rsidRPr="00F75FB1">
        <w:rPr>
          <w:rFonts w:eastAsia="Malgun Gothic"/>
          <w:i/>
          <w:iCs/>
          <w:szCs w:val="20"/>
        </w:rPr>
        <w:t>maximumtransmitPower</w:t>
      </w:r>
      <w:proofErr w:type="spellEnd"/>
      <w:r w:rsidRPr="00F75FB1">
        <w:rPr>
          <w:rFonts w:eastAsia="Malgun Gothic"/>
          <w:i/>
          <w:iCs/>
          <w:szCs w:val="20"/>
        </w:rPr>
        <w:t>-SL</w:t>
      </w:r>
      <w:r>
        <w:rPr>
          <w:rFonts w:eastAsia="Malgun Gothic"/>
          <w:iCs/>
          <w:szCs w:val="20"/>
        </w:rPr>
        <w:t xml:space="preserve"> </w:t>
      </w:r>
      <w:r>
        <w:t>can be provided to a mode 1 UE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Heading2"/>
      </w:pPr>
      <w:bookmarkStart w:id="9" w:name="_Toc37801446"/>
      <w:r>
        <w:t>Topic 3: QoS</w:t>
      </w:r>
      <w:bookmarkEnd w:id="9"/>
    </w:p>
    <w:p w14:paraId="5A76FAA4" w14:textId="77777777" w:rsidR="00D12AA7" w:rsidRDefault="00F75FB1">
      <w:pPr>
        <w:pStyle w:val="Heading3"/>
      </w:pPr>
      <w:bookmarkStart w:id="10" w:name="_Toc37801447"/>
      <w:r>
        <w:t>Issue 3.1: QoS-based Resource Pool Segregation/Prioritization</w:t>
      </w:r>
      <w:bookmarkEnd w:id="10"/>
    </w:p>
    <w:p w14:paraId="217A505A" w14:textId="77777777" w:rsidR="00D12AA7" w:rsidRDefault="00F75FB1">
      <w:pPr>
        <w:pStyle w:val="Heading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Heading4"/>
      </w:pPr>
      <w:r>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[InterDigital]: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Heading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Heading1"/>
        <w:pBdr>
          <w:top w:val="single" w:sz="12" w:space="4" w:color="auto"/>
        </w:pBdr>
        <w:textAlignment w:val="auto"/>
        <w:rPr>
          <w:lang w:eastAsia="zh-CN"/>
        </w:rPr>
      </w:pPr>
      <w:bookmarkStart w:id="11" w:name="_Toc37801448"/>
      <w:r>
        <w:rPr>
          <w:lang w:eastAsia="zh-CN"/>
        </w:rPr>
        <w:t>References</w:t>
      </w:r>
      <w:bookmarkEnd w:id="11"/>
    </w:p>
    <w:p w14:paraId="6FD121F7" w14:textId="77777777" w:rsidR="00D12AA7" w:rsidRDefault="00F75FB1">
      <w:pPr>
        <w:pStyle w:val="ListParagraph"/>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2" w:name="_Toc37801449"/>
      <w:r>
        <w:rPr>
          <w:rFonts w:ascii="Arial" w:eastAsia="Times New Roman" w:hAnsi="Arial" w:cs="Arial"/>
          <w:sz w:val="36"/>
          <w:szCs w:val="36"/>
        </w:rPr>
        <w:t>Background</w:t>
      </w:r>
      <w:bookmarkEnd w:id="12"/>
    </w:p>
    <w:p w14:paraId="55DE035B" w14:textId="77777777" w:rsidR="00D12AA7" w:rsidRDefault="00F75FB1">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3" w:name="_Toc37801450"/>
      <w:r>
        <w:rPr>
          <w:rFonts w:ascii="Arial" w:eastAsia="Calibri" w:hAnsi="Arial" w:cs="Arial"/>
          <w:sz w:val="32"/>
          <w:szCs w:val="32"/>
        </w:rPr>
        <w:t>WI Objectives</w:t>
      </w:r>
      <w:bookmarkEnd w:id="13"/>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Pr>
                <w:rFonts w:ascii="Times New Roman" w:eastAsia="Malgun Gothic" w:hAnsi="Times New Roman"/>
                <w:bCs/>
                <w:szCs w:val="20"/>
                <w:lang w:eastAsia="en-GB"/>
              </w:rPr>
              <w:t>in-network coverage, out-of-network coverage, and partial network coverage</w:t>
            </w:r>
            <w:r>
              <w:rPr>
                <w:rFonts w:ascii="Times New Roman" w:eastAsia="Malgun Gothic" w:hAnsi="Times New Roman"/>
                <w:szCs w:val="20"/>
              </w:rPr>
              <w:t>.</w:t>
            </w:r>
          </w:p>
          <w:p w14:paraId="5D9B43D0"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4" w:name="_Toc37801451"/>
      <w:r>
        <w:rPr>
          <w:rFonts w:ascii="Arial" w:eastAsia="Times New Roman" w:hAnsi="Arial" w:cs="Arial"/>
          <w:sz w:val="32"/>
          <w:szCs w:val="32"/>
        </w:rPr>
        <w:t>Earlier Agreements</w:t>
      </w:r>
      <w:bookmarkEnd w:id="14"/>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2"/>
      <w:r>
        <w:rPr>
          <w:rFonts w:ascii="Arial" w:eastAsia="Times New Roman" w:hAnsi="Arial" w:cs="Arial"/>
          <w:sz w:val="28"/>
          <w:szCs w:val="28"/>
          <w:lang w:eastAsia="en-GB"/>
        </w:rPr>
        <w:lastRenderedPageBreak/>
        <w:t>QoS</w:t>
      </w:r>
      <w:bookmarkEnd w:id="1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adjustRightInd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adjustRightInd w:val="0"/>
              <w:spacing w:after="180"/>
              <w:textAlignment w:val="baseline"/>
              <w:rPr>
                <w:bCs/>
                <w:szCs w:val="20"/>
              </w:rPr>
            </w:pPr>
            <w:r>
              <w:rPr>
                <w:bCs/>
                <w:szCs w:val="20"/>
              </w:rPr>
              <w:t>latency,</w:t>
            </w:r>
          </w:p>
          <w:p w14:paraId="2823BFA2" w14:textId="77777777" w:rsidR="00D12AA7" w:rsidRDefault="00F75FB1">
            <w:pPr>
              <w:numPr>
                <w:ilvl w:val="0"/>
                <w:numId w:val="8"/>
              </w:numPr>
              <w:overflowPunct w:val="0"/>
              <w:adjustRightInd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adjustRightInd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adjustRightInd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adjustRightInd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adjustRightInd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adjustRightInd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lastRenderedPageBreak/>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3"/>
      <w:r>
        <w:rPr>
          <w:rFonts w:ascii="Arial" w:eastAsia="Times New Roman" w:hAnsi="Arial" w:cs="Arial"/>
          <w:sz w:val="28"/>
          <w:szCs w:val="28"/>
          <w:lang w:eastAsia="en-GB"/>
        </w:rPr>
        <w:t>Sidelink Congestion Control</w:t>
      </w:r>
      <w:bookmarkEnd w:id="16"/>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Batang" w:hAnsi="Times"/>
                <w:szCs w:val="20"/>
              </w:rPr>
            </w:pPr>
            <w:r>
              <w:rPr>
                <w:rFonts w:ascii="Times" w:eastAsia="Batang" w:hAnsi="Times"/>
                <w:szCs w:val="20"/>
                <w:highlight w:val="green"/>
              </w:rPr>
              <w:t>Agreements</w:t>
            </w:r>
            <w:r>
              <w:rPr>
                <w:rFonts w:ascii="Times" w:eastAsia="Batang" w:hAnsi="Times"/>
                <w:szCs w:val="20"/>
              </w:rPr>
              <w:t>:</w:t>
            </w:r>
          </w:p>
          <w:p w14:paraId="12E0EB84" w14:textId="77777777" w:rsidR="00D12AA7" w:rsidRDefault="00F75FB1">
            <w:pPr>
              <w:rPr>
                <w:rFonts w:ascii="Times" w:eastAsia="Batang" w:hAnsi="Times"/>
                <w:szCs w:val="20"/>
              </w:rPr>
            </w:pPr>
            <w:r>
              <w:rPr>
                <w:rFonts w:ascii="Times" w:eastAsia="Batang"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Batang" w:hAnsi="Times"/>
                <w:szCs w:val="20"/>
              </w:rPr>
            </w:pPr>
            <w:r>
              <w:rPr>
                <w:rFonts w:ascii="Times" w:eastAsia="Batang" w:hAnsi="Times"/>
                <w:szCs w:val="20"/>
              </w:rPr>
              <w:t>LTE CBR is the baseline for defining NR CBR.</w:t>
            </w:r>
          </w:p>
          <w:p w14:paraId="7D9C9B9F" w14:textId="77777777" w:rsidR="00D12AA7" w:rsidRDefault="00D12AA7">
            <w:pPr>
              <w:rPr>
                <w:rFonts w:ascii="Times" w:eastAsia="Batang"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lastRenderedPageBreak/>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 xml:space="preserve">Congestion control can set an upper bound on channel occupancy ratio (CR), </w:t>
            </w:r>
            <w:proofErr w:type="spellStart"/>
            <w:r>
              <w:rPr>
                <w:szCs w:val="20"/>
              </w:rPr>
              <w:t>CR</w:t>
            </w:r>
            <w:r>
              <w:rPr>
                <w:szCs w:val="20"/>
                <w:vertAlign w:val="subscript"/>
              </w:rPr>
              <w:t>limit</w:t>
            </w:r>
            <w:proofErr w:type="spellEnd"/>
            <w:r>
              <w:rPr>
                <w:szCs w:val="20"/>
              </w:rPr>
              <w:t>.</w:t>
            </w:r>
          </w:p>
          <w:p w14:paraId="234A3DDA" w14:textId="77777777" w:rsidR="00D12AA7" w:rsidRDefault="00F75FB1">
            <w:pPr>
              <w:numPr>
                <w:ilvl w:val="0"/>
                <w:numId w:val="17"/>
              </w:numPr>
              <w:rPr>
                <w:szCs w:val="20"/>
              </w:rPr>
            </w:pPr>
            <w:r>
              <w:rPr>
                <w:szCs w:val="20"/>
              </w:rPr>
              <w:t xml:space="preserve">Ranges/bounds of the transmission parameters and </w:t>
            </w:r>
            <w:proofErr w:type="spellStart"/>
            <w:r>
              <w:rPr>
                <w:szCs w:val="20"/>
              </w:rPr>
              <w:t>CR</w:t>
            </w:r>
            <w:r>
              <w:rPr>
                <w:szCs w:val="20"/>
                <w:vertAlign w:val="subscript"/>
              </w:rPr>
              <w:t>limit</w:t>
            </w:r>
            <w:proofErr w:type="spellEnd"/>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t>Agreements</w:t>
            </w:r>
            <w:r>
              <w:rPr>
                <w:szCs w:val="20"/>
              </w:rPr>
              <w:t>:</w:t>
            </w:r>
          </w:p>
          <w:p w14:paraId="248479A7" w14:textId="77777777" w:rsidR="00D12AA7" w:rsidRDefault="00F75FB1">
            <w:pPr>
              <w:rPr>
                <w:szCs w:val="20"/>
              </w:rPr>
            </w:pPr>
            <w:r>
              <w:rPr>
                <w:szCs w:val="20"/>
              </w:rPr>
              <w:t xml:space="preserve">Lookup table links CBR range with values of the transmission parameters and </w:t>
            </w:r>
            <w:proofErr w:type="spellStart"/>
            <w:r>
              <w:rPr>
                <w:szCs w:val="20"/>
              </w:rPr>
              <w:t>CR</w:t>
            </w:r>
            <w:r>
              <w:rPr>
                <w:szCs w:val="20"/>
                <w:vertAlign w:val="subscript"/>
              </w:rPr>
              <w:t>limit</w:t>
            </w:r>
            <w:proofErr w:type="spellEnd"/>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lastRenderedPageBreak/>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The future segment of the CR evaluation window reuses the same behaviour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ListParagraph"/>
              <w:numPr>
                <w:ilvl w:val="0"/>
                <w:numId w:val="20"/>
              </w:numPr>
              <w:spacing w:line="252" w:lineRule="auto"/>
              <w:rPr>
                <w:rFonts w:ascii="Times New Roman" w:hAnsi="Times New Roman"/>
                <w:szCs w:val="20"/>
                <w:lang w:val="en-US"/>
              </w:rPr>
            </w:pPr>
            <w:proofErr w:type="spellStart"/>
            <w:r>
              <w:rPr>
                <w:rFonts w:ascii="Times New Roman" w:hAnsi="Times New Roman"/>
                <w:szCs w:val="20"/>
                <w:lang w:val="en-US"/>
              </w:rPr>
              <w:t>n+b</w:t>
            </w:r>
            <w:proofErr w:type="spellEnd"/>
            <w:r>
              <w:rPr>
                <w:rFonts w:ascii="Times New Roman" w:hAnsi="Times New Roman"/>
                <w:szCs w:val="20"/>
                <w:lang w:val="en-US"/>
              </w:rPr>
              <w:t xml:space="preserve">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rPr>
              <w:t>b &gt;= 0</w:t>
            </w:r>
          </w:p>
          <w:p w14:paraId="0F0B1CE4" w14:textId="77777777"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rPr>
              <w:t>b &lt; (a+b+1)/2</w:t>
            </w:r>
          </w:p>
          <w:p w14:paraId="3860085B" w14:textId="77777777" w:rsidR="00D12AA7" w:rsidRDefault="00F75FB1">
            <w:pPr>
              <w:rPr>
                <w:szCs w:val="20"/>
              </w:rPr>
            </w:pPr>
            <w:r>
              <w:rPr>
                <w:rFonts w:eastAsia="SimSun"/>
                <w:szCs w:val="20"/>
              </w:rPr>
              <w:t> </w:t>
            </w:r>
            <w:r>
              <w:rPr>
                <w:szCs w:val="20"/>
              </w:rPr>
              <w:t>Notes:</w:t>
            </w:r>
          </w:p>
          <w:p w14:paraId="572D675F" w14:textId="77777777" w:rsidR="00D12AA7" w:rsidRPr="00F75FB1" w:rsidRDefault="00F75FB1">
            <w:pPr>
              <w:pStyle w:val="ListParagraph"/>
              <w:numPr>
                <w:ilvl w:val="0"/>
                <w:numId w:val="21"/>
              </w:numPr>
              <w:spacing w:line="252" w:lineRule="auto"/>
              <w:rPr>
                <w:rFonts w:ascii="Times New Roman" w:hAnsi="Times New Roman"/>
                <w:szCs w:val="20"/>
                <w:lang w:val="en-US"/>
              </w:rPr>
            </w:pPr>
            <w:r>
              <w:rPr>
                <w:rFonts w:ascii="Times New Roman" w:hAnsi="Times New Roman"/>
                <w:szCs w:val="20"/>
                <w:lang w:val="en-US"/>
              </w:rPr>
              <w:t>in the first bullet point above, LTE’s “should” has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F75FB1" w:rsidRDefault="00F75FB1">
            <w:pPr>
              <w:numPr>
                <w:ilvl w:val="0"/>
                <w:numId w:val="22"/>
              </w:numPr>
              <w:rPr>
                <w:rFonts w:eastAsia="Times New Roman"/>
              </w:rPr>
            </w:pPr>
            <w:r w:rsidRPr="00F75FB1">
              <w:rPr>
                <w:rFonts w:eastAsia="Times New Roman"/>
              </w:rPr>
              <w:t xml:space="preserve">UE evaluates CR and applies </w:t>
            </w:r>
            <w:proofErr w:type="spellStart"/>
            <w:r w:rsidRPr="00F75FB1">
              <w:rPr>
                <w:rFonts w:eastAsia="Times New Roman"/>
              </w:rPr>
              <w:t>CR_limit</w:t>
            </w:r>
            <w:proofErr w:type="spellEnd"/>
            <w:r w:rsidRPr="00F75FB1">
              <w:rPr>
                <w:rFonts w:eastAsia="Times New Roman"/>
              </w:rPr>
              <w:t xml:space="preserve">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lastRenderedPageBreak/>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F75FB1" w:rsidRDefault="00F75FB1">
            <w:pPr>
              <w:pStyle w:val="ListParagraph"/>
              <w:numPr>
                <w:ilvl w:val="0"/>
                <w:numId w:val="25"/>
              </w:numPr>
              <w:ind w:left="1240"/>
              <w:rPr>
                <w:lang w:val="en-US"/>
              </w:rPr>
            </w:pPr>
            <w:r>
              <w:rPr>
                <w:lang w:val="en-US"/>
              </w:rP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7" w:name="_Hlk34325238"/>
            <w:r>
              <w:rPr>
                <w:highlight w:val="green"/>
              </w:rPr>
              <w:t>Agreement:</w:t>
            </w:r>
          </w:p>
          <w:p w14:paraId="32079523" w14:textId="77777777" w:rsidR="00D12AA7" w:rsidRPr="00F75FB1" w:rsidRDefault="00F75FB1">
            <w:pPr>
              <w:pStyle w:val="ListParagraph"/>
              <w:numPr>
                <w:ilvl w:val="0"/>
                <w:numId w:val="25"/>
              </w:numPr>
              <w:ind w:left="1240"/>
              <w:rPr>
                <w:lang w:val="en-US"/>
              </w:rPr>
            </w:pPr>
            <w:r>
              <w:rPr>
                <w:lang w:val="en-US"/>
              </w:rPr>
              <w:t>The slot index in the definition of CR is the physical slot index.</w:t>
            </w:r>
            <w:bookmarkEnd w:id="17"/>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8" w:name="_Toc37801454"/>
      <w:r>
        <w:rPr>
          <w:rFonts w:ascii="Arial" w:eastAsia="Times New Roman" w:hAnsi="Arial" w:cs="Arial"/>
          <w:sz w:val="28"/>
          <w:szCs w:val="28"/>
          <w:lang w:eastAsia="en-GB"/>
        </w:rPr>
        <w:t>TX Parameter Restrictions</w:t>
      </w:r>
      <w:bookmarkEnd w:id="18"/>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lastRenderedPageBreak/>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19" w:name="_Toc37801455"/>
      <w:r>
        <w:rPr>
          <w:rFonts w:ascii="Arial" w:hAnsi="Arial"/>
          <w:sz w:val="36"/>
          <w:szCs w:val="36"/>
        </w:rPr>
        <w:t>Appendix: Contributions used as basis for the summary</w:t>
      </w:r>
      <w:bookmarkEnd w:id="19"/>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655897">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655897">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655897">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655897">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 xml:space="preserve">ZTE, </w:t>
            </w:r>
            <w:proofErr w:type="spellStart"/>
            <w:r>
              <w:rPr>
                <w:rFonts w:eastAsia="Times New Roman"/>
                <w:lang w:eastAsia="en-GB"/>
              </w:rPr>
              <w:t>Sanechips</w:t>
            </w:r>
            <w:proofErr w:type="spellEnd"/>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655897">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655897">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655897">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655897">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655897">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655897">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655897">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lastRenderedPageBreak/>
        <w:t>Proposal 1: CBR-based power control is applied in both resource allocation modes.</w:t>
      </w:r>
    </w:p>
    <w:p w14:paraId="79A602F7" w14:textId="77777777" w:rsidR="00D12AA7" w:rsidRDefault="00F75FB1">
      <w:r>
        <w:rPr>
          <w:b/>
          <w:bCs/>
        </w:rPr>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655897">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Batang"/>
          <w:b/>
          <w:bCs/>
          <w:szCs w:val="20"/>
        </w:rPr>
      </w:pPr>
      <w:bookmarkStart w:id="20"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0"/>
    </w:p>
    <w:p w14:paraId="54DF18FE" w14:textId="77777777" w:rsidR="00D12AA7" w:rsidRDefault="00D12AA7">
      <w:pPr>
        <w:spacing w:before="120" w:after="120"/>
        <w:rPr>
          <w:rFonts w:ascii="Times" w:hAnsi="Times" w:cs="Times"/>
          <w:b/>
        </w:rPr>
      </w:pPr>
    </w:p>
    <w:p w14:paraId="0DCEA39D" w14:textId="77777777" w:rsidR="00D12AA7" w:rsidRDefault="00655897">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R1-2003499 Huawei, HiSilicon</w:t>
      </w:r>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 xml:space="preserve">Observation 2: For the future segment of the evaluation window, i.e., slots [n, </w:t>
      </w:r>
      <w:proofErr w:type="spellStart"/>
      <w:r>
        <w:rPr>
          <w:b/>
        </w:rPr>
        <w:t>n+b</w:t>
      </w:r>
      <w:proofErr w:type="spellEnd"/>
      <w:r>
        <w:rPr>
          <w:b/>
        </w:rPr>
        <w:t>],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 xml:space="preserve">Observation 3: For the future segment of the evaluation window, i.e., slots [n, </w:t>
      </w:r>
      <w:proofErr w:type="spellStart"/>
      <w:r>
        <w:rPr>
          <w:b/>
        </w:rPr>
        <w:t>n+b</w:t>
      </w:r>
      <w:proofErr w:type="spellEnd"/>
      <w:r>
        <w:rPr>
          <w:b/>
        </w:rPr>
        <w:t>],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655897">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 xml:space="preserve">R1-2003553 ZTE, </w:t>
      </w:r>
      <w:proofErr w:type="spellStart"/>
      <w:r>
        <w:t>Sanechips</w:t>
      </w:r>
      <w:proofErr w:type="spellEnd"/>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lastRenderedPageBreak/>
        <w:t>Proposal 2:</w:t>
      </w:r>
      <w:r>
        <w:tab/>
        <w:t>Rel-16 V2X does not support the function of disabling semi-persistent resource reservation by congestion control.</w:t>
      </w:r>
    </w:p>
    <w:p w14:paraId="0B833EC9" w14:textId="77777777" w:rsidR="00D12AA7" w:rsidRDefault="00655897">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adjustRightInd w:val="0"/>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655897">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655897">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14:paraId="2B32595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and the existing grant(s) can be released by the UE if SL HARQ feedback is enabled.</w:t>
      </w:r>
    </w:p>
    <w:p w14:paraId="357D3985" w14:textId="77777777" w:rsidR="00D12AA7" w:rsidRDefault="00655897">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655897">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655897">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R1-2004297 InterDigital,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lastRenderedPageBreak/>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655897">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655897">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796F8" w14:textId="77777777" w:rsidR="00655897" w:rsidRDefault="00655897" w:rsidP="00954538">
      <w:pPr>
        <w:spacing w:after="0" w:line="240" w:lineRule="auto"/>
      </w:pPr>
      <w:r>
        <w:separator/>
      </w:r>
    </w:p>
  </w:endnote>
  <w:endnote w:type="continuationSeparator" w:id="0">
    <w:p w14:paraId="710BCF37" w14:textId="77777777" w:rsidR="00655897" w:rsidRDefault="00655897" w:rsidP="0095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07907" w14:textId="77777777" w:rsidR="00655897" w:rsidRDefault="00655897" w:rsidP="00954538">
      <w:pPr>
        <w:spacing w:after="0" w:line="240" w:lineRule="auto"/>
      </w:pPr>
      <w:r>
        <w:separator/>
      </w:r>
    </w:p>
  </w:footnote>
  <w:footnote w:type="continuationSeparator" w:id="0">
    <w:p w14:paraId="7E55A480" w14:textId="77777777" w:rsidR="00655897" w:rsidRDefault="00655897" w:rsidP="0095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5"/>
  </w:num>
  <w:num w:numId="8">
    <w:abstractNumId w:val="12"/>
  </w:num>
  <w:num w:numId="9">
    <w:abstractNumId w:val="24"/>
  </w:num>
  <w:num w:numId="10">
    <w:abstractNumId w:val="3"/>
  </w:num>
  <w:num w:numId="11">
    <w:abstractNumId w:val="22"/>
  </w:num>
  <w:num w:numId="12">
    <w:abstractNumId w:val="2"/>
  </w:num>
  <w:num w:numId="13">
    <w:abstractNumId w:val="20"/>
  </w:num>
  <w:num w:numId="14">
    <w:abstractNumId w:val="1"/>
  </w:num>
  <w:num w:numId="15">
    <w:abstractNumId w:val="13"/>
  </w:num>
  <w:num w:numId="16">
    <w:abstractNumId w:val="0"/>
  </w:num>
  <w:num w:numId="17">
    <w:abstractNumId w:val="19"/>
  </w:num>
  <w:num w:numId="18">
    <w:abstractNumId w:val="14"/>
  </w:num>
  <w:num w:numId="19">
    <w:abstractNumId w:val="10"/>
  </w:num>
  <w:num w:numId="20">
    <w:abstractNumId w:val="9"/>
  </w:num>
  <w:num w:numId="21">
    <w:abstractNumId w:val="26"/>
  </w:num>
  <w:num w:numId="22">
    <w:abstractNumId w:val="8"/>
  </w:num>
  <w:num w:numId="23">
    <w:abstractNumId w:val="18"/>
  </w:num>
  <w:num w:numId="24">
    <w:abstractNumId w:val="5"/>
  </w:num>
  <w:num w:numId="25">
    <w:abstractNumId w:val="23"/>
  </w:num>
  <w:num w:numId="26">
    <w:abstractNumId w:val="27"/>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F94"/>
    <w:pPr>
      <w:spacing w:after="160" w:line="259" w:lineRule="auto"/>
    </w:pPr>
    <w:rPr>
      <w:rFonts w:asciiTheme="minorHAnsi" w:eastAsiaTheme="minorEastAsia" w:hAnsiTheme="minorHAnsi" w:cstheme="minorBidi"/>
      <w:sz w:val="22"/>
      <w:szCs w:val="22"/>
      <w:lang w:val="en-AU"/>
    </w:rPr>
  </w:style>
  <w:style w:type="paragraph" w:styleId="Heading1">
    <w:name w:val="heading 1"/>
    <w:next w:val="Normal"/>
    <w:link w:val="Heading1Char1"/>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Heading2">
    <w:name w:val="heading 2"/>
    <w:basedOn w:val="Heading1"/>
    <w:next w:val="Normal"/>
    <w:link w:val="Heading2Char"/>
    <w:qFormat/>
    <w:rsid w:val="00D12AA7"/>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12AA7"/>
    <w:pPr>
      <w:spacing w:before="120"/>
      <w:outlineLvl w:val="2"/>
    </w:pPr>
    <w:rPr>
      <w:sz w:val="28"/>
      <w:szCs w:val="28"/>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FB6F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6F94"/>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semiHidden/>
    <w:qFormat/>
    <w:rsid w:val="00D12AA7"/>
    <w:rPr>
      <w:rFonts w:ascii="Tahoma" w:hAnsi="Tahoma" w:cs="Tahoma"/>
      <w:sz w:val="16"/>
      <w:szCs w:val="16"/>
    </w:rPr>
  </w:style>
  <w:style w:type="paragraph" w:styleId="Footer">
    <w:name w:val="footer"/>
    <w:basedOn w:val="Header"/>
    <w:link w:val="FooterChar"/>
    <w:qFormat/>
    <w:rsid w:val="00D12AA7"/>
    <w:pPr>
      <w:jc w:val="center"/>
    </w:pPr>
    <w:rPr>
      <w:i/>
      <w:iCs/>
    </w:rPr>
  </w:style>
  <w:style w:type="paragraph" w:styleId="Header">
    <w:name w:val="header"/>
    <w:link w:val="HeaderChar"/>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rPr>
      <w:rFonts w:eastAsia="SimSun"/>
    </w:r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Times New Roman" w:hAnsi="Arial" w:cs="Arial"/>
      <w:sz w:val="36"/>
      <w:szCs w:val="36"/>
    </w:rPr>
  </w:style>
  <w:style w:type="character" w:customStyle="1" w:styleId="Heading2Char">
    <w:name w:val="Heading 2 Char"/>
    <w:link w:val="Heading2"/>
    <w:qFormat/>
    <w:rsid w:val="00D12AA7"/>
    <w:rPr>
      <w:rFonts w:ascii="Arial" w:eastAsia="Times New Roman" w:hAnsi="Arial" w:cs="Arial"/>
      <w:sz w:val="32"/>
      <w:szCs w:val="32"/>
    </w:rPr>
  </w:style>
  <w:style w:type="character" w:customStyle="1" w:styleId="Heading3Char">
    <w:name w:val="Heading 3 Char"/>
    <w:link w:val="Heading3"/>
    <w:qFormat/>
    <w:rsid w:val="00D12AA7"/>
    <w:rPr>
      <w:rFonts w:ascii="Arial" w:eastAsia="Times New Roman" w:hAnsi="Arial" w:cs="Arial"/>
      <w:sz w:val="28"/>
      <w:szCs w:val="28"/>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basedOn w:val="Normal"/>
    <w:link w:val="ListParagraphChar"/>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Times New Roman" w:hAnsi="Arial" w:cs="Arial"/>
      <w:b/>
      <w:bCs/>
      <w:i/>
      <w:iCs/>
      <w:sz w:val="18"/>
      <w:szCs w:val="18"/>
    </w:rPr>
  </w:style>
  <w:style w:type="character" w:customStyle="1" w:styleId="HeaderChar">
    <w:name w:val="Header Char"/>
    <w:link w:val="Header"/>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link w:val="ListParagraph"/>
    <w:uiPriority w:val="34"/>
    <w:qFormat/>
    <w:locked/>
    <w:rsid w:val="00D12AA7"/>
    <w:rPr>
      <w:rFonts w:ascii="Calibri" w:eastAsia="Calibri" w:hAnsi="Calibri"/>
      <w:sz w:val="22"/>
      <w:szCs w:val="22"/>
      <w:lang w:eastAsia="en-US"/>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3364</Words>
  <Characters>19175</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2020-05-20T07:48:00Z</dcterms:created>
  <dcterms:modified xsi:type="dcterms:W3CDTF">2020-05-20T07:49:00Z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