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0ADD2" w14:textId="6E0BD5E5" w:rsidR="00C917F4" w:rsidRDefault="00F64EC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FF7F53">
              <w:rPr>
                <w:strike/>
                <w:color w:val="FF0000"/>
              </w:rPr>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resources of candidate SS/PBCH blocks corresponding to a same SS/PBCH block index according to ssb-PositionsInBurst,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24E1806F" w14:textId="77777777" w:rsidR="00C917F4" w:rsidRDefault="00483DCD">
            <w:pPr>
              <w:spacing w:after="0"/>
              <w:jc w:val="left"/>
            </w:pPr>
            <w:r w:rsidRPr="00D82F33">
              <w:lastRenderedPageBreak/>
              <w:t>R1-2003451</w:t>
            </w:r>
          </w:p>
          <w:p w14:paraId="1D03AAB0" w14:textId="77777777" w:rsidR="001C5BE7" w:rsidRDefault="001C5BE7">
            <w:pPr>
              <w:spacing w:after="0"/>
              <w:jc w:val="left"/>
              <w:rPr>
                <w:color w:val="FF0000"/>
              </w:rPr>
            </w:pPr>
            <w:commentRangeStart w:id="6"/>
            <w:r w:rsidRPr="001C5BE7">
              <w:rPr>
                <w:color w:val="FF0000"/>
              </w:rPr>
              <w:lastRenderedPageBreak/>
              <w:t>R1-2004086</w:t>
            </w:r>
            <w:commentRangeEnd w:id="6"/>
            <w:r>
              <w:rPr>
                <w:rStyle w:val="af0"/>
              </w:rPr>
              <w:commentReference w:id="6"/>
            </w:r>
          </w:p>
          <w:p w14:paraId="1DAF7363" w14:textId="30B7F230" w:rsidR="00FF7F53" w:rsidRPr="00FF7F53" w:rsidRDefault="00FF7F53">
            <w:pPr>
              <w:spacing w:after="0"/>
              <w:jc w:val="left"/>
            </w:pPr>
            <w:commentRangeStart w:id="7"/>
            <w:r w:rsidRPr="00FF7F53">
              <w:rPr>
                <w:color w:val="FF0000"/>
              </w:rPr>
              <w:t>R1-2003973</w:t>
            </w:r>
            <w:commentRangeEnd w:id="7"/>
            <w:r>
              <w:rPr>
                <w:rStyle w:val="af0"/>
              </w:rPr>
              <w:commentReference w:id="7"/>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lastRenderedPageBreak/>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w:t>
            </w:r>
            <w:r w:rsidRPr="001C5BE7">
              <w:t>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w:t>
            </w:r>
            <w:r w:rsidRPr="001C5BE7">
              <w:t>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39D5F357" w14:textId="41CC24BC" w:rsidR="00C917F4" w:rsidRDefault="00B23E0C">
            <w:pPr>
              <w:spacing w:after="0"/>
              <w:jc w:val="left"/>
            </w:pPr>
            <w:r w:rsidRPr="00B23E0C">
              <w:t>R1-</w:t>
            </w:r>
            <w:r w:rsidRPr="001C5BE7">
              <w:t>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Reflect RAN4 agreement that UE is allowed to take any active SCell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8"/>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9"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10"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20D3124A" w14:textId="3D748510" w:rsidR="00166DDC" w:rsidRPr="00166DDC" w:rsidRDefault="00166DDC" w:rsidP="00166DDC">
            <w:pPr>
              <w:rPr>
                <w:bCs/>
                <w:iCs/>
                <w:lang w:val="en-GB"/>
              </w:rPr>
            </w:pPr>
            <w:bookmarkStart w:id="11" w:name="_Toc40463385"/>
            <w:r w:rsidRPr="00166DDC">
              <w:t>The values of N1/N2 should be the same for LBE and FBE. Inform RAN4 of this decision.</w:t>
            </w:r>
            <w:bookmarkEnd w:id="11"/>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2" w:name="_Hlk525833065"/>
            <w:r w:rsidR="00D00917" w:rsidRPr="00D00917">
              <w:rPr>
                <w:szCs w:val="24"/>
                <w:lang w:val="en-GB"/>
              </w:rPr>
              <w:t>R1-</w:t>
            </w:r>
            <w:bookmarkEnd w:id="12"/>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¯L_max and k_SSB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MsgA PRACH-PUSCH gap in NR-U, select one of the alternatives in RAN1 #101-e: </w:t>
            </w:r>
          </w:p>
          <w:p w14:paraId="6D5295BA" w14:textId="77777777" w:rsidR="008E5ACB" w:rsidRPr="001D6B40"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af3"/>
              <w:numPr>
                <w:ilvl w:val="1"/>
                <w:numId w:val="6"/>
              </w:numPr>
              <w:rPr>
                <w:rFonts w:ascii="Times New Roman" w:hAnsi="Times New Roman"/>
                <w:sz w:val="22"/>
                <w:lang w:val="en-GB" w:eastAsia="zh-CN"/>
              </w:rPr>
            </w:pPr>
            <w:r w:rsidRPr="001D6B40">
              <w:rPr>
                <w:rFonts w:ascii="Times New Roman" w:hAnsi="Times New Roman"/>
                <w:sz w:val="22"/>
                <w:lang w:val="en-GB" w:eastAsia="zh-CN"/>
              </w:rPr>
              <w:t>For example, N = [0 or 1] when MsgA PUSCH has the same SCS and bandwi</w:t>
            </w:r>
            <w:r>
              <w:rPr>
                <w:rFonts w:ascii="Times New Roman" w:hAnsi="Times New Roman"/>
                <w:sz w:val="22"/>
                <w:lang w:val="en-GB" w:eastAsia="zh-CN"/>
              </w:rPr>
              <w:t>d</w:t>
            </w:r>
            <w:r w:rsidRPr="001D6B40">
              <w:rPr>
                <w:rFonts w:ascii="Times New Roman" w:hAnsi="Times New Roman"/>
                <w:sz w:val="22"/>
                <w:lang w:val="en-GB" w:eastAsia="zh-CN"/>
              </w:rPr>
              <w:t>th as MsgA PRACH</w:t>
            </w:r>
          </w:p>
          <w:p w14:paraId="295E9362" w14:textId="77777777" w:rsidR="008E5ACB" w:rsidRDefault="008E5ACB" w:rsidP="008E5ACB">
            <w:pPr>
              <w:pStyle w:val="af3"/>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semistatic: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w:t>
            </w:r>
            <w:r w:rsidR="00F64ECE">
              <w:rPr>
                <w:rFonts w:eastAsiaTheme="minorEastAsia"/>
                <w:lang w:eastAsia="zh-CN"/>
              </w:rPr>
              <w:t>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w:t>
            </w:r>
            <w:r w:rsidRPr="001C5BE7">
              <w:t>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any </w:t>
            </w:r>
            <w:r w:rsidR="00CA2091" w:rsidRPr="00CA2091">
              <w:rPr>
                <w:rFonts w:eastAsiaTheme="minorEastAsia"/>
                <w:lang w:eastAsia="zh-CN"/>
              </w:rPr>
              <w:t xml:space="preserve"> IS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af3"/>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af3"/>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D15156"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[101-e-NR-unlic-NRU-InitAccessProc-01]</w:t>
      </w:r>
    </w:p>
    <w:p w14:paraId="5F112848" w14:textId="44B9B3D9" w:rsidR="00C917F4" w:rsidRDefault="00F64ECE" w:rsidP="00A46ED5">
      <w:pPr>
        <w:pStyle w:val="af3"/>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p>
    <w:p w14:paraId="7D5CC213" w14:textId="179831C3" w:rsidR="00FA3335" w:rsidRDefault="00FA3335" w:rsidP="004E3D2A">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UE behavior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[101-e-NR-unlic-NRU-InitAccessProc-02]</w:t>
      </w:r>
    </w:p>
    <w:p w14:paraId="6B72F4F6" w14:textId="530E8F99" w:rsidR="001D6B40" w:rsidRPr="006F04A4" w:rsidRDefault="006F04A4" w:rsidP="001D6B40">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MsgA PRACH-PUSCH gap in NR-U, select one of the alternatives in RAN1 #101-e: </w:t>
      </w:r>
    </w:p>
    <w:p w14:paraId="342C6CD1" w14:textId="2B263DA3"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For example, N = [0 or 1] when MsgA PUSCH has the same SCS and bandwith as MsgA PRACH</w:t>
      </w:r>
    </w:p>
    <w:p w14:paraId="1D02BC20" w14:textId="15434266" w:rsidR="00A46ED5" w:rsidRDefault="001D6B40" w:rsidP="00A46ED5">
      <w:pPr>
        <w:pStyle w:val="af3"/>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[101-e-NR-unlic-NRU-InitAccessProc-03]</w:t>
      </w:r>
    </w:p>
    <w:p w14:paraId="66C9DAA0" w14:textId="30F44DF8" w:rsidR="00C917F4" w:rsidRPr="006F04A4" w:rsidRDefault="006F04A4">
      <w:pPr>
        <w:pStyle w:val="af3"/>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af3"/>
        <w:numPr>
          <w:ilvl w:val="0"/>
          <w:numId w:val="6"/>
        </w:numPr>
        <w:rPr>
          <w:rFonts w:ascii="Times New Roman" w:hAnsi="Times New Roman"/>
          <w:sz w:val="22"/>
          <w:szCs w:val="22"/>
          <w:lang w:val="en-GB" w:eastAsia="zh-CN"/>
        </w:rPr>
      </w:pPr>
      <w:r w:rsidRPr="006F04A4">
        <w:rPr>
          <w:rFonts w:ascii="Times" w:eastAsia="바탕" w:hAnsi="Times"/>
          <w:sz w:val="22"/>
          <w:szCs w:val="22"/>
          <w:highlight w:val="cyan"/>
          <w:lang w:val="en-GB"/>
        </w:rPr>
        <w:t>[101-e-NR-unlic-NRU-InitAccessProc-04]</w:t>
      </w:r>
    </w:p>
    <w:p w14:paraId="450CCC25" w14:textId="2DE22715" w:rsidR="00D96836" w:rsidRPr="006F04A4" w:rsidRDefault="006F04A4" w:rsidP="006F04A4">
      <w:pPr>
        <w:pStyle w:val="af3"/>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af3"/>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6B963E1" w:rsidR="00C917F4" w:rsidRDefault="00ED7B08">
            <w:pPr>
              <w:spacing w:after="0"/>
              <w:rPr>
                <w:lang w:eastAsia="zh-CN"/>
              </w:rPr>
            </w:pPr>
            <w:r>
              <w:rPr>
                <w:lang w:eastAsia="zh-CN"/>
              </w:rPr>
              <w:t>Samsung</w:t>
            </w:r>
          </w:p>
        </w:tc>
        <w:tc>
          <w:tcPr>
            <w:tcW w:w="6882" w:type="dxa"/>
          </w:tcPr>
          <w:p w14:paraId="5E461B3C" w14:textId="77777777" w:rsidR="00C917F4" w:rsidRDefault="00ED7B08">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FF21F1C" w14:textId="5492B4CA" w:rsidR="00ED7B08" w:rsidRDefault="00ED7B08">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1B2E8E64" w14:textId="7EB8D3DA" w:rsidR="00ED7B08" w:rsidRDefault="00ED7B08">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S 38.213 Subclause 5 relating to RLM is different from the other clarifications in this item, since that SSB is indicated by ssb-Index (not ssb-PositionsInBurst). So far, 38.213 has a clarification of ssb-PositionsInBurst, but there is no spec yet clarifies the use of ssb-Index</w:t>
            </w:r>
            <w:r w:rsidR="009747B8">
              <w:rPr>
                <w:rFonts w:eastAsiaTheme="minorEastAsia"/>
                <w:lang w:eastAsia="zh-CN"/>
              </w:rPr>
              <w:t xml:space="preserve">. </w:t>
            </w:r>
          </w:p>
          <w:p w14:paraId="0306210B" w14:textId="089F1A60" w:rsidR="00ED7B08" w:rsidRDefault="009747B8" w:rsidP="009747B8">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C917F4" w14:paraId="511B3AAC" w14:textId="77777777">
        <w:tc>
          <w:tcPr>
            <w:tcW w:w="2425" w:type="dxa"/>
          </w:tcPr>
          <w:p w14:paraId="136DCC04" w14:textId="4403EEC3" w:rsidR="00C917F4" w:rsidRDefault="001C5BE7">
            <w:pPr>
              <w:spacing w:after="0"/>
              <w:rPr>
                <w:lang w:eastAsia="zh-CN"/>
              </w:rPr>
            </w:pPr>
            <w:r>
              <w:rPr>
                <w:rFonts w:hint="eastAsia"/>
                <w:lang w:eastAsia="zh-CN"/>
              </w:rPr>
              <w:t>OPPO</w:t>
            </w:r>
          </w:p>
        </w:tc>
        <w:tc>
          <w:tcPr>
            <w:tcW w:w="6882" w:type="dxa"/>
          </w:tcPr>
          <w:p w14:paraId="2B0A9C4F" w14:textId="5E4C017A" w:rsidR="00C917F4" w:rsidRDefault="001C5BE7" w:rsidP="001C5BE7">
            <w:pPr>
              <w:spacing w:after="0"/>
              <w:rPr>
                <w:lang w:eastAsia="zh-CN"/>
              </w:rPr>
            </w:pPr>
            <w:r>
              <w:rPr>
                <w:lang w:eastAsia="zh-CN"/>
              </w:rPr>
              <w:t xml:space="preserve">@FL, we have a proposal about PDSCH rate-match around SSB in our contribution </w:t>
            </w:r>
            <w:r w:rsidRPr="00923DC2">
              <w:rPr>
                <w:lang w:eastAsia="zh-CN"/>
              </w:rPr>
              <w:t>R1-2004086</w:t>
            </w:r>
            <w:r>
              <w:rPr>
                <w:lang w:eastAsia="zh-CN"/>
              </w:rPr>
              <w:t xml:space="preserve"> section 2.5 proposal 5 and TP3.3. But this contribution was not captured in the summary. We propose to discuss about proposal together under [email thread-01]#2.6. </w:t>
            </w:r>
          </w:p>
        </w:tc>
      </w:tr>
      <w:tr w:rsidR="00C917F4" w14:paraId="37023EA5" w14:textId="77777777">
        <w:tc>
          <w:tcPr>
            <w:tcW w:w="2425" w:type="dxa"/>
          </w:tcPr>
          <w:p w14:paraId="1CA6A643" w14:textId="4E9BC56E" w:rsidR="00C917F4" w:rsidRDefault="00B158D3">
            <w:pPr>
              <w:spacing w:after="0"/>
              <w:rPr>
                <w:lang w:eastAsia="zh-CN"/>
              </w:rPr>
            </w:pPr>
            <w:r>
              <w:rPr>
                <w:lang w:eastAsia="zh-CN"/>
              </w:rPr>
              <w:t>Spreadtrum</w:t>
            </w:r>
          </w:p>
        </w:tc>
        <w:tc>
          <w:tcPr>
            <w:tcW w:w="6882" w:type="dxa"/>
          </w:tcPr>
          <w:p w14:paraId="343E6076" w14:textId="77777777" w:rsidR="00C917F4" w:rsidRDefault="00B158D3">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404520A5" w14:textId="38533753" w:rsidR="00B158D3" w:rsidRDefault="00B158D3">
            <w:pPr>
              <w:spacing w:after="0"/>
              <w:rPr>
                <w:lang w:eastAsia="zh-CN"/>
              </w:rPr>
            </w:pPr>
            <w:r>
              <w:rPr>
                <w:lang w:eastAsia="zh-CN"/>
              </w:rPr>
              <w:t xml:space="preserve">Regarding PDSCH rate matching around SSB, #2.13 can be supported for </w:t>
            </w:r>
            <w:r>
              <w:rPr>
                <w:lang w:eastAsia="zh-CN"/>
              </w:rPr>
              <w:lastRenderedPageBreak/>
              <w:t>both FBE and LBE, if “</w:t>
            </w:r>
            <w:r w:rsidRPr="00E46D16">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sidRPr="001F3673">
              <w:rPr>
                <w:i/>
                <w:lang w:eastAsia="zh-CN"/>
              </w:rPr>
              <w:t>SSB-PositionsInBurst</w:t>
            </w:r>
            <w:r>
              <w:rPr>
                <w:lang w:eastAsia="zh-CN"/>
              </w:rPr>
              <w:t>.</w:t>
            </w:r>
            <w:r w:rsidR="001F3673">
              <w:rPr>
                <w:lang w:eastAsia="zh-CN"/>
              </w:rPr>
              <w:t xml:space="preserve"> Therefore, </w:t>
            </w:r>
            <w:r w:rsidR="001F3673" w:rsidRPr="001F3673">
              <w:rPr>
                <w:b/>
                <w:lang w:eastAsia="zh-CN"/>
              </w:rPr>
              <w:t>#2.6, #2.13 and #2.14 can be discussed together</w:t>
            </w:r>
            <w:r w:rsidR="001F3673">
              <w:rPr>
                <w:lang w:eastAsia="zh-CN"/>
              </w:rPr>
              <w:t>.</w:t>
            </w:r>
          </w:p>
        </w:tc>
      </w:tr>
      <w:tr w:rsidR="00C917F4" w14:paraId="2A503C68" w14:textId="77777777">
        <w:tc>
          <w:tcPr>
            <w:tcW w:w="2425" w:type="dxa"/>
          </w:tcPr>
          <w:p w14:paraId="6C2A1E93" w14:textId="329CF644" w:rsidR="00C917F4" w:rsidRPr="00FF7F53" w:rsidRDefault="00FF7F53">
            <w:pPr>
              <w:spacing w:after="0"/>
              <w:rPr>
                <w:rFonts w:eastAsia="맑은 고딕"/>
                <w:lang w:eastAsia="ko-KR"/>
              </w:rPr>
            </w:pPr>
            <w:r>
              <w:rPr>
                <w:rFonts w:eastAsia="맑은 고딕" w:hint="eastAsia"/>
                <w:lang w:eastAsia="ko-KR"/>
              </w:rPr>
              <w:lastRenderedPageBreak/>
              <w:t>E</w:t>
            </w:r>
            <w:r>
              <w:rPr>
                <w:rFonts w:eastAsia="맑은 고딕"/>
                <w:lang w:eastAsia="ko-KR"/>
              </w:rPr>
              <w:t>TRI</w:t>
            </w:r>
          </w:p>
        </w:tc>
        <w:tc>
          <w:tcPr>
            <w:tcW w:w="6882" w:type="dxa"/>
          </w:tcPr>
          <w:p w14:paraId="74B3A1B9" w14:textId="3D717689" w:rsidR="00C917F4" w:rsidRDefault="009B6B5E">
            <w:pPr>
              <w:spacing w:after="0"/>
              <w:rPr>
                <w:lang w:eastAsia="zh-CN"/>
              </w:rPr>
            </w:pPr>
            <w:r>
              <w:rPr>
                <w:lang w:eastAsia="zh-CN"/>
              </w:rPr>
              <w:t xml:space="preserve">@FL, we </w:t>
            </w:r>
            <w:r w:rsidR="00130327">
              <w:rPr>
                <w:lang w:eastAsia="zh-CN"/>
              </w:rPr>
              <w:t xml:space="preserve">also </w:t>
            </w:r>
            <w:r>
              <w:rPr>
                <w:lang w:eastAsia="zh-CN"/>
              </w:rPr>
              <w:t>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rsidR="0062116C" w14:paraId="60E49724" w14:textId="77777777">
        <w:tc>
          <w:tcPr>
            <w:tcW w:w="2425" w:type="dxa"/>
          </w:tcPr>
          <w:p w14:paraId="632A218B" w14:textId="02209EE1" w:rsidR="0062116C" w:rsidRDefault="0062116C" w:rsidP="0062116C">
            <w:pPr>
              <w:spacing w:after="0"/>
              <w:rPr>
                <w:lang w:eastAsia="zh-CN"/>
              </w:rPr>
            </w:pPr>
            <w:r>
              <w:rPr>
                <w:rFonts w:eastAsia="맑은 고딕" w:hint="eastAsia"/>
                <w:lang w:eastAsia="ko-KR"/>
              </w:rPr>
              <w:t>LG Electronics</w:t>
            </w:r>
          </w:p>
        </w:tc>
        <w:tc>
          <w:tcPr>
            <w:tcW w:w="6882" w:type="dxa"/>
          </w:tcPr>
          <w:p w14:paraId="387BD928" w14:textId="77777777" w:rsidR="0062116C" w:rsidRDefault="0062116C" w:rsidP="0062116C">
            <w:pPr>
              <w:spacing w:after="0"/>
              <w:rPr>
                <w:rFonts w:eastAsia="맑은 고딕"/>
                <w:lang w:eastAsia="ko-KR"/>
              </w:rPr>
            </w:pPr>
            <w:r>
              <w:rPr>
                <w:rFonts w:eastAsia="맑은 고딕" w:hint="eastAsia"/>
                <w:lang w:eastAsia="ko-KR"/>
              </w:rPr>
              <w:t>For emai</w:t>
            </w:r>
            <w:r>
              <w:rPr>
                <w:rFonts w:eastAsia="맑은 고딕"/>
                <w:lang w:eastAsia="ko-KR"/>
              </w:rPr>
              <w:t>l thread #01, we agree with Samsung in that issues 2.6 and 2.7 are not prefera</w:t>
            </w:r>
            <w:bookmarkStart w:id="13" w:name="_GoBack"/>
            <w:bookmarkEnd w:id="13"/>
            <w:r>
              <w:rPr>
                <w:rFonts w:eastAsia="맑은 고딕"/>
                <w:lang w:eastAsia="ko-KR"/>
              </w:rPr>
              <w:t>ble to discuss, but issue 2.4 is an essential issue. If we adopt issue 2.4 as essential, issue 2.2 should be handled together since those two issues focus on the same topic.</w:t>
            </w:r>
          </w:p>
          <w:p w14:paraId="0246AEF3" w14:textId="77777777" w:rsidR="0062116C" w:rsidRDefault="0062116C" w:rsidP="0062116C">
            <w:pPr>
              <w:spacing w:after="0"/>
              <w:rPr>
                <w:rFonts w:eastAsia="맑은 고딕"/>
                <w:lang w:eastAsia="ko-KR"/>
              </w:rPr>
            </w:pPr>
            <w:r>
              <w:rPr>
                <w:rFonts w:eastAsia="맑은 고딕"/>
                <w:lang w:eastAsia="ko-KR"/>
              </w:rPr>
              <w:t>For email thread #02, we disagree to discuss issue 3.3 as commented in previous meetings, since it seems optimization and requires quite a big change to idle mode UE behavior.</w:t>
            </w:r>
          </w:p>
          <w:p w14:paraId="0EEACDC4" w14:textId="6CB25B78" w:rsidR="0062116C" w:rsidRDefault="0062116C" w:rsidP="0062116C">
            <w:pPr>
              <w:spacing w:after="0"/>
              <w:rPr>
                <w:lang w:eastAsia="zh-CN"/>
              </w:rPr>
            </w:pPr>
            <w:r>
              <w:rPr>
                <w:rFonts w:eastAsia="맑은 고딕"/>
                <w:lang w:eastAsia="ko-KR"/>
              </w:rPr>
              <w:t>For email threads #03 and #04, we are OK for FL’s suggestion.</w:t>
            </w:r>
          </w:p>
        </w:tc>
      </w:tr>
      <w:tr w:rsidR="0062116C" w14:paraId="41FE1136" w14:textId="77777777">
        <w:tc>
          <w:tcPr>
            <w:tcW w:w="2425" w:type="dxa"/>
          </w:tcPr>
          <w:p w14:paraId="3C873019" w14:textId="6C25FECE" w:rsidR="0062116C" w:rsidRDefault="0062116C" w:rsidP="0062116C">
            <w:pPr>
              <w:spacing w:after="0"/>
              <w:rPr>
                <w:lang w:eastAsia="zh-CN"/>
              </w:rPr>
            </w:pPr>
          </w:p>
        </w:tc>
        <w:tc>
          <w:tcPr>
            <w:tcW w:w="6882" w:type="dxa"/>
          </w:tcPr>
          <w:p w14:paraId="08C9D507" w14:textId="6DBC4EC0" w:rsidR="0062116C" w:rsidRDefault="0062116C" w:rsidP="0062116C">
            <w:pPr>
              <w:spacing w:after="0"/>
              <w:rPr>
                <w:lang w:eastAsia="zh-CN"/>
              </w:rPr>
            </w:pPr>
          </w:p>
        </w:tc>
      </w:tr>
      <w:tr w:rsidR="0062116C" w14:paraId="49F6F125" w14:textId="77777777">
        <w:tc>
          <w:tcPr>
            <w:tcW w:w="2425" w:type="dxa"/>
          </w:tcPr>
          <w:p w14:paraId="4AE709C7" w14:textId="70767BCC" w:rsidR="0062116C" w:rsidRDefault="0062116C" w:rsidP="0062116C">
            <w:pPr>
              <w:spacing w:after="0"/>
              <w:rPr>
                <w:lang w:eastAsia="zh-CN"/>
              </w:rPr>
            </w:pPr>
          </w:p>
        </w:tc>
        <w:tc>
          <w:tcPr>
            <w:tcW w:w="6882" w:type="dxa"/>
          </w:tcPr>
          <w:p w14:paraId="1FFD0D60" w14:textId="08AD03C6" w:rsidR="0062116C" w:rsidRDefault="0062116C" w:rsidP="0062116C">
            <w:pPr>
              <w:spacing w:after="0"/>
              <w:rPr>
                <w:lang w:eastAsia="zh-CN"/>
              </w:rPr>
            </w:pPr>
          </w:p>
        </w:tc>
      </w:tr>
      <w:tr w:rsidR="0062116C" w14:paraId="089CE3CF" w14:textId="77777777">
        <w:tc>
          <w:tcPr>
            <w:tcW w:w="2425" w:type="dxa"/>
          </w:tcPr>
          <w:p w14:paraId="218DE70B" w14:textId="7BA814CE" w:rsidR="0062116C" w:rsidRDefault="0062116C" w:rsidP="0062116C">
            <w:pPr>
              <w:spacing w:after="0"/>
              <w:rPr>
                <w:lang w:eastAsia="zh-CN"/>
              </w:rPr>
            </w:pPr>
          </w:p>
        </w:tc>
        <w:tc>
          <w:tcPr>
            <w:tcW w:w="6882" w:type="dxa"/>
          </w:tcPr>
          <w:p w14:paraId="5BE5593A" w14:textId="0C783C25" w:rsidR="0062116C" w:rsidRDefault="0062116C" w:rsidP="0062116C">
            <w:pPr>
              <w:spacing w:after="0"/>
              <w:rPr>
                <w:lang w:eastAsia="zh-CN"/>
              </w:rPr>
            </w:pPr>
          </w:p>
        </w:tc>
      </w:tr>
      <w:tr w:rsidR="0062116C" w14:paraId="79563E07" w14:textId="77777777">
        <w:tc>
          <w:tcPr>
            <w:tcW w:w="2425" w:type="dxa"/>
          </w:tcPr>
          <w:p w14:paraId="05DC3898" w14:textId="1578381B" w:rsidR="0062116C" w:rsidRDefault="0062116C" w:rsidP="0062116C">
            <w:pPr>
              <w:spacing w:after="0"/>
              <w:rPr>
                <w:lang w:eastAsia="zh-CN"/>
              </w:rPr>
            </w:pPr>
          </w:p>
        </w:tc>
        <w:tc>
          <w:tcPr>
            <w:tcW w:w="6882" w:type="dxa"/>
          </w:tcPr>
          <w:p w14:paraId="1929F2D9" w14:textId="7A3319F8" w:rsidR="0062116C" w:rsidRDefault="0062116C" w:rsidP="0062116C">
            <w:pPr>
              <w:spacing w:after="0"/>
              <w:rPr>
                <w:lang w:eastAsia="zh-CN"/>
              </w:rPr>
            </w:pPr>
          </w:p>
        </w:tc>
      </w:tr>
      <w:tr w:rsidR="0062116C" w14:paraId="454E4098" w14:textId="77777777">
        <w:tc>
          <w:tcPr>
            <w:tcW w:w="2425" w:type="dxa"/>
          </w:tcPr>
          <w:p w14:paraId="7C969284" w14:textId="534885E9" w:rsidR="0062116C" w:rsidRDefault="0062116C" w:rsidP="0062116C">
            <w:pPr>
              <w:spacing w:after="0"/>
              <w:rPr>
                <w:rFonts w:eastAsia="맑은 고딕"/>
                <w:lang w:eastAsia="ko-KR"/>
              </w:rPr>
            </w:pPr>
          </w:p>
        </w:tc>
        <w:tc>
          <w:tcPr>
            <w:tcW w:w="6882" w:type="dxa"/>
          </w:tcPr>
          <w:p w14:paraId="3F128A3E" w14:textId="400D24C6" w:rsidR="0062116C" w:rsidRDefault="0062116C" w:rsidP="0062116C">
            <w:pPr>
              <w:pStyle w:val="a4"/>
              <w:rPr>
                <w:rFonts w:eastAsia="맑은 고딕"/>
                <w:lang w:eastAsia="ko-KR"/>
              </w:rPr>
            </w:pPr>
          </w:p>
        </w:tc>
      </w:tr>
      <w:tr w:rsidR="0062116C" w14:paraId="36C0677B" w14:textId="77777777">
        <w:tc>
          <w:tcPr>
            <w:tcW w:w="2425" w:type="dxa"/>
          </w:tcPr>
          <w:p w14:paraId="6610D96A" w14:textId="3F731C86" w:rsidR="0062116C" w:rsidRDefault="0062116C" w:rsidP="0062116C">
            <w:pPr>
              <w:spacing w:after="0"/>
              <w:rPr>
                <w:lang w:eastAsia="zh-CN"/>
              </w:rPr>
            </w:pPr>
          </w:p>
        </w:tc>
        <w:tc>
          <w:tcPr>
            <w:tcW w:w="6882" w:type="dxa"/>
          </w:tcPr>
          <w:p w14:paraId="75075E7A" w14:textId="20462E83" w:rsidR="0062116C" w:rsidRDefault="0062116C" w:rsidP="0062116C">
            <w:pPr>
              <w:pStyle w:val="a4"/>
              <w:rPr>
                <w:rFonts w:eastAsia="맑은 고딕"/>
                <w:lang w:eastAsia="ko-KR"/>
              </w:rPr>
            </w:pPr>
          </w:p>
        </w:tc>
      </w:tr>
      <w:tr w:rsidR="0062116C" w14:paraId="56FB0B0C" w14:textId="77777777">
        <w:tc>
          <w:tcPr>
            <w:tcW w:w="2425" w:type="dxa"/>
          </w:tcPr>
          <w:p w14:paraId="0E4EA896" w14:textId="0B192AC0" w:rsidR="0062116C" w:rsidRDefault="0062116C" w:rsidP="0062116C">
            <w:pPr>
              <w:spacing w:after="0"/>
              <w:rPr>
                <w:lang w:eastAsia="zh-CN"/>
              </w:rPr>
            </w:pPr>
          </w:p>
        </w:tc>
        <w:tc>
          <w:tcPr>
            <w:tcW w:w="6882" w:type="dxa"/>
          </w:tcPr>
          <w:p w14:paraId="7AA6403B" w14:textId="3E1A1EB7" w:rsidR="0062116C" w:rsidRDefault="0062116C" w:rsidP="0062116C">
            <w:pPr>
              <w:pStyle w:val="a4"/>
              <w:rPr>
                <w:lang w:eastAsia="zh-CN"/>
              </w:rPr>
            </w:pPr>
          </w:p>
        </w:tc>
      </w:tr>
      <w:tr w:rsidR="0062116C" w14:paraId="60CCA157" w14:textId="77777777">
        <w:tc>
          <w:tcPr>
            <w:tcW w:w="2425" w:type="dxa"/>
          </w:tcPr>
          <w:p w14:paraId="3BA6A189" w14:textId="41B8338E" w:rsidR="0062116C" w:rsidRDefault="0062116C" w:rsidP="0062116C">
            <w:pPr>
              <w:spacing w:after="0"/>
              <w:rPr>
                <w:lang w:eastAsia="zh-CN"/>
              </w:rPr>
            </w:pPr>
          </w:p>
        </w:tc>
        <w:tc>
          <w:tcPr>
            <w:tcW w:w="6882" w:type="dxa"/>
          </w:tcPr>
          <w:p w14:paraId="028FC6DC" w14:textId="5F89BA2D" w:rsidR="0062116C" w:rsidRDefault="0062116C" w:rsidP="0062116C">
            <w:pPr>
              <w:pStyle w:val="a4"/>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4"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ZTE, Sanechips</w:t>
      </w:r>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Huawei, HiSilicon</w:t>
      </w:r>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t>R1-2004001</w:t>
      </w:r>
      <w:r w:rsidRPr="00923DC2">
        <w:rPr>
          <w:sz w:val="22"/>
          <w:lang w:eastAsia="zh-CN"/>
        </w:rPr>
        <w:tab/>
        <w:t>Remaining issues on initial access procedure</w:t>
      </w:r>
      <w:r w:rsidRPr="00923DC2">
        <w:rPr>
          <w:sz w:val="22"/>
          <w:lang w:eastAsia="zh-CN"/>
        </w:rPr>
        <w:tab/>
        <w:t>Spreadtrum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5"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5"/>
    </w:p>
    <w:p w14:paraId="7B397A1A" w14:textId="4C380DF8" w:rsidR="00C917F4" w:rsidRDefault="00F64ECE" w:rsidP="00EB7406">
      <w:pPr>
        <w:pStyle w:val="References"/>
        <w:rPr>
          <w:sz w:val="22"/>
          <w:lang w:eastAsia="zh-CN"/>
        </w:rPr>
      </w:pPr>
      <w:r>
        <w:rPr>
          <w:sz w:val="22"/>
          <w:lang w:eastAsia="zh-CN"/>
        </w:rPr>
        <w:lastRenderedPageBreak/>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4"/>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6"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6"/>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ao" w:date="2020-05-20T17:24:00Z" w:initials="HL">
    <w:p w14:paraId="25796D34" w14:textId="405EEF45" w:rsidR="001C5BE7" w:rsidRDefault="001C5BE7">
      <w:pPr>
        <w:pStyle w:val="a4"/>
      </w:pPr>
      <w:r>
        <w:rPr>
          <w:rStyle w:val="af0"/>
        </w:rPr>
        <w:annotationRef/>
      </w:r>
      <w:r>
        <w:t>Add our proposal on PDSCH rate match around SSB</w:t>
      </w:r>
    </w:p>
  </w:comment>
  <w:comment w:id="7" w:author="이정훈" w:date="2020-05-21T11:29:00Z" w:initials="이">
    <w:p w14:paraId="1BD2E385" w14:textId="6E34443E" w:rsidR="00FF7F53" w:rsidRPr="00FF7F53" w:rsidRDefault="00FF7F53">
      <w:pPr>
        <w:pStyle w:val="a4"/>
        <w:rPr>
          <w:rFonts w:eastAsia="맑은 고딕"/>
          <w:lang w:eastAsia="ko-KR"/>
        </w:rPr>
      </w:pPr>
      <w:r>
        <w:rPr>
          <w:rStyle w:val="af0"/>
        </w:rPr>
        <w:annotationRef/>
      </w:r>
      <w:r>
        <w:rPr>
          <w:rFonts w:eastAsia="맑은 고딕" w:hint="eastAsia"/>
          <w:lang w:eastAsia="ko-KR"/>
        </w:rPr>
        <w:t>M</w:t>
      </w:r>
      <w:r>
        <w:rPr>
          <w:rFonts w:eastAsia="맑은 고딕"/>
          <w:lang w:eastAsia="ko-KR"/>
        </w:rPr>
        <w:t>ove our contribution to this issue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96D34" w15:done="0"/>
  <w15:commentEx w15:paraId="1BD2E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96D34" w16cid:durableId="2270E291"/>
  <w16cid:commentId w16cid:paraId="1BD2E385" w16cid:durableId="2270E4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695E6" w14:textId="77777777" w:rsidR="00D15156" w:rsidRDefault="00D15156" w:rsidP="00F64ECE">
      <w:pPr>
        <w:spacing w:after="0" w:line="240" w:lineRule="auto"/>
      </w:pPr>
      <w:r>
        <w:separator/>
      </w:r>
    </w:p>
  </w:endnote>
  <w:endnote w:type="continuationSeparator" w:id="0">
    <w:p w14:paraId="0F5411E1" w14:textId="77777777" w:rsidR="00D15156" w:rsidRDefault="00D15156"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CAD2" w14:textId="77777777" w:rsidR="00D15156" w:rsidRDefault="00D15156" w:rsidP="00F64ECE">
      <w:pPr>
        <w:spacing w:after="0" w:line="240" w:lineRule="auto"/>
      </w:pPr>
      <w:r>
        <w:separator/>
      </w:r>
    </w:p>
  </w:footnote>
  <w:footnote w:type="continuationSeparator" w:id="0">
    <w:p w14:paraId="7CDE0661" w14:textId="77777777" w:rsidR="00D15156" w:rsidRDefault="00D15156" w:rsidP="00F64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aliases w:val="- Bullets,リスト段落,?? ??,?????,????,Lista1,列出段落1,中等深浅网格 1 - 着色 21,列表段落1,—ño’i—Ž,列表段落,¥¡¡¡¡ì¬º¥¹¥È¶ÎÂä,ÁÐ³ö¶ÎÂä,¥ê¥¹¥È¶ÎÂä,1st level - Bullet List Paragraph,Lettre d'introduction,Paragrafo elenco,Normal bullet 2,Bullet list,목록단락"/>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aliases w:val="- Bullets Char,リスト段落 Char,?? ?? Char,????? Char,???? Char,Lista1 Char,列出段落1 Char,中等深浅网格 1 - 着色 21 Char,列表段落1 Char,—ño’i—Ž Char,列表段落 Char,¥¡¡¡¡ì¬º¥¹¥È¶ÎÂä Char,ÁÐ³ö¶ÎÂä Char,¥ê¥¹¥È¶ÎÂä Char,1st level - Bullet List Paragraph Char,목록단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rPr>
      <w:color w:val="808080"/>
    </w:rPr>
  </w:style>
  <w:style w:type="character" w:customStyle="1" w:styleId="2Char">
    <w:name w:val="제목 2 Char"/>
    <w:basedOn w:val="a0"/>
    <w:link w:val="2"/>
    <w:uiPriority w:val="9"/>
    <w:rPr>
      <w:b/>
      <w:bCs/>
      <w:sz w:val="24"/>
      <w:szCs w:val="22"/>
    </w:rPr>
  </w:style>
  <w:style w:type="character" w:customStyle="1" w:styleId="Char0">
    <w:name w:val="메모 텍스트 Char"/>
    <w:basedOn w:val="a0"/>
    <w:link w:val="a4"/>
    <w:rPr>
      <w:sz w:val="22"/>
      <w:szCs w:val="22"/>
    </w:rPr>
  </w:style>
  <w:style w:type="character" w:customStyle="1" w:styleId="Char">
    <w:name w:val="메모 주제 Char"/>
    <w:basedOn w:val="Char0"/>
    <w:link w:val="a3"/>
    <w:semiHidden/>
    <w:rPr>
      <w:b/>
      <w:bCs/>
      <w:sz w:val="22"/>
      <w:szCs w:val="22"/>
    </w:rPr>
  </w:style>
  <w:style w:type="character" w:customStyle="1" w:styleId="apple-converted-space">
    <w:name w:val="apple-converted-space"/>
    <w:basedOn w:val="a0"/>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a8"/>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23E8A-A9AD-40D6-A124-D2F9C3B0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2847</Words>
  <Characters>16230</Characters>
  <Application>Microsoft Office Word</Application>
  <DocSecurity>0</DocSecurity>
  <Lines>135</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김선욱/책임연구원/미래기술센터 C&amp;M표준(연)5G무선통신표준Task(seonwook.kim@lge.com)</cp:lastModifiedBy>
  <cp:revision>2</cp:revision>
  <cp:lastPrinted>2007-06-18T22:08:00Z</cp:lastPrinted>
  <dcterms:created xsi:type="dcterms:W3CDTF">2020-05-21T02:41:00Z</dcterms:created>
  <dcterms:modified xsi:type="dcterms:W3CDTF">2020-05-21T02:41:00Z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