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1304CA92" w:rsidR="002410EE" w:rsidRDefault="002410EE" w:rsidP="002410EE">
      <w:pPr>
        <w:pStyle w:val="3GPPHeader"/>
        <w:spacing w:after="0"/>
        <w:rPr>
          <w:sz w:val="20"/>
          <w:lang w:val="en-US"/>
        </w:rPr>
      </w:pPr>
      <w:r>
        <w:rPr>
          <w:sz w:val="20"/>
          <w:lang w:val="en-US"/>
        </w:rPr>
        <w:t>Agenda Item:</w:t>
      </w:r>
      <w:r>
        <w:rPr>
          <w:sz w:val="20"/>
          <w:lang w:val="en-US"/>
        </w:rPr>
        <w:tab/>
        <w:t>7.2.2.</w:t>
      </w:r>
      <w:r w:rsidR="00BC6800">
        <w:rPr>
          <w:sz w:val="20"/>
          <w:lang w:val="en-US"/>
        </w:rPr>
        <w:t>2.2</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863139C" w:rsidR="000916C2" w:rsidRDefault="00670370" w:rsidP="004F0304">
      <w:pPr>
        <w:pStyle w:val="3GPPHeader"/>
        <w:spacing w:after="0"/>
        <w:ind w:left="1710" w:hanging="1710"/>
        <w:jc w:val="left"/>
        <w:rPr>
          <w:sz w:val="20"/>
        </w:rPr>
      </w:pPr>
      <w:r>
        <w:rPr>
          <w:sz w:val="20"/>
        </w:rPr>
        <w:t>Title:</w:t>
      </w:r>
      <w:r>
        <w:rPr>
          <w:sz w:val="20"/>
        </w:rPr>
        <w:tab/>
      </w:r>
      <w:r w:rsidR="002410EE" w:rsidRPr="00C77D36">
        <w:rPr>
          <w:sz w:val="20"/>
        </w:rPr>
        <w:t>[</w:t>
      </w:r>
      <w:r w:rsidR="00BC6800" w:rsidRPr="00BC6800">
        <w:rPr>
          <w:sz w:val="20"/>
        </w:rPr>
        <w:t>101-e-NR-unlic-NRU-InitAccessProc-05</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CF5959F" w:rsidR="00A50267" w:rsidRDefault="000D2462" w:rsidP="00FF598B">
      <w:pPr>
        <w:pStyle w:val="Doc-text2"/>
        <w:tabs>
          <w:tab w:val="left" w:pos="1276"/>
        </w:tabs>
        <w:ind w:left="0" w:firstLine="0"/>
        <w:rPr>
          <w:lang w:val="en-US"/>
        </w:rPr>
      </w:pPr>
      <w:bookmarkStart w:id="13" w:name="_Ref178064866"/>
      <w:r>
        <w:rPr>
          <w:lang w:val="en-US"/>
        </w:rPr>
        <w:t>T</w:t>
      </w:r>
      <w:r w:rsidR="00A50267">
        <w:rPr>
          <w:lang w:val="en-US"/>
        </w:rPr>
        <w:t>h</w:t>
      </w:r>
      <w:r>
        <w:rPr>
          <w:lang w:val="en-US"/>
        </w:rPr>
        <w:t xml:space="preserve">is document captures discussion related to the following </w:t>
      </w:r>
      <w:r w:rsidR="00A50267">
        <w:rPr>
          <w:lang w:val="en-US"/>
        </w:rPr>
        <w:t xml:space="preserve">e-mail discussion </w:t>
      </w:r>
      <w:r>
        <w:rPr>
          <w:lang w:val="en-US"/>
        </w:rPr>
        <w:t xml:space="preserve">which </w:t>
      </w:r>
      <w:r w:rsidR="00A50267">
        <w:rPr>
          <w:lang w:val="en-US"/>
        </w:rPr>
        <w:t>has been kicked-off:</w:t>
      </w:r>
    </w:p>
    <w:p w14:paraId="5959B949" w14:textId="6225FF0F" w:rsidR="00A50267" w:rsidRDefault="00A50267" w:rsidP="00FF598B">
      <w:pPr>
        <w:pStyle w:val="Doc-text2"/>
        <w:tabs>
          <w:tab w:val="left" w:pos="1276"/>
        </w:tabs>
        <w:ind w:left="0" w:firstLine="0"/>
        <w:rPr>
          <w:lang w:val="en-US"/>
        </w:rPr>
      </w:pPr>
    </w:p>
    <w:p w14:paraId="3A8A2828" w14:textId="77777777" w:rsidR="00BC6800" w:rsidRPr="00BC6800" w:rsidRDefault="00BC6800" w:rsidP="00BC6800">
      <w:pPr>
        <w:overflowPunct/>
        <w:autoSpaceDE/>
        <w:autoSpaceDN/>
        <w:adjustRightInd/>
        <w:spacing w:after="0" w:line="240" w:lineRule="auto"/>
        <w:textAlignment w:val="auto"/>
        <w:rPr>
          <w:rFonts w:ascii="Times" w:eastAsia="바탕" w:hAnsi="Times"/>
          <w:szCs w:val="24"/>
          <w:lang w:eastAsia="en-US"/>
        </w:rPr>
      </w:pPr>
      <w:r w:rsidRPr="00BC6800">
        <w:rPr>
          <w:rFonts w:ascii="Times" w:eastAsia="바탕" w:hAnsi="Times" w:cs="Times"/>
          <w:highlight w:val="cyan"/>
          <w:lang w:eastAsia="en-US"/>
        </w:rPr>
        <w:t xml:space="preserve">[101-e-NR-unlic-NRU-InitAccessProc-05] </w:t>
      </w:r>
      <w:r w:rsidRPr="00BC6800">
        <w:rPr>
          <w:rFonts w:ascii="Times" w:eastAsia="바탕" w:hAnsi="Times"/>
          <w:szCs w:val="24"/>
          <w:highlight w:val="cyan"/>
          <w:lang w:eastAsia="en-US"/>
        </w:rPr>
        <w:t xml:space="preserve">Email discussion/approval for a potential reply LS to </w:t>
      </w:r>
      <w:hyperlink r:id="rId12" w:history="1">
        <w:r w:rsidRPr="00BC6800">
          <w:rPr>
            <w:rFonts w:ascii="Times" w:eastAsia="바탕" w:hAnsi="Times"/>
            <w:color w:val="0000FF"/>
            <w:szCs w:val="24"/>
            <w:highlight w:val="cyan"/>
            <w:u w:val="single"/>
            <w:lang w:eastAsia="en-US"/>
          </w:rPr>
          <w:t>R1-2003271</w:t>
        </w:r>
      </w:hyperlink>
      <w:r w:rsidRPr="00BC6800">
        <w:rPr>
          <w:rFonts w:ascii="Times" w:eastAsia="바탕" w:hAnsi="Times"/>
          <w:szCs w:val="24"/>
          <w:highlight w:val="cyan"/>
          <w:lang w:eastAsia="en-US"/>
        </w:rPr>
        <w:t xml:space="preserve"> by 5/28. To be managed under 7.2.2.2.2 – Steve (Ericsson)</w:t>
      </w:r>
    </w:p>
    <w:p w14:paraId="30521E11" w14:textId="77777777" w:rsidR="00A50267" w:rsidRDefault="00A50267" w:rsidP="00FF598B">
      <w:pPr>
        <w:pStyle w:val="Doc-text2"/>
        <w:tabs>
          <w:tab w:val="left" w:pos="1276"/>
        </w:tabs>
        <w:ind w:left="0" w:firstLine="0"/>
        <w:rPr>
          <w:lang w:val="en-US"/>
        </w:rPr>
      </w:pPr>
    </w:p>
    <w:p w14:paraId="73D81723" w14:textId="00CDAF96" w:rsidR="00152710" w:rsidRDefault="00EF5CB9" w:rsidP="005376B2">
      <w:pPr>
        <w:pStyle w:val="1"/>
      </w:pPr>
      <w:r>
        <w:t>2</w:t>
      </w:r>
      <w:r>
        <w:tab/>
      </w:r>
      <w:r w:rsidR="00FF5F7C">
        <w:t>Discussion</w:t>
      </w:r>
    </w:p>
    <w:p w14:paraId="6DD5B0C8" w14:textId="73FFA8B8" w:rsidR="000D2462" w:rsidRDefault="000D2462" w:rsidP="000D2462">
      <w:pPr>
        <w:pStyle w:val="a6"/>
      </w:pPr>
      <w:r>
        <w:t xml:space="preserve">RAN4 has sent an LS to both RAN1 and RAN2 on the topic of the UE declaring beam failure due to LBT failures during active TCI state switching </w:t>
      </w:r>
      <w:r>
        <w:fldChar w:fldCharType="begin"/>
      </w:r>
      <w:r>
        <w:instrText xml:space="preserve"> REF _Ref41240332 \r \h  \* MERGEFORMAT </w:instrText>
      </w:r>
      <w:r>
        <w:fldChar w:fldCharType="separate"/>
      </w:r>
      <w:r>
        <w:t>[1]</w:t>
      </w:r>
      <w:r>
        <w:fldChar w:fldCharType="end"/>
      </w:r>
      <w:r>
        <w:t>.</w:t>
      </w:r>
    </w:p>
    <w:p w14:paraId="31F887B7" w14:textId="45F3AF5A" w:rsidR="000D2462" w:rsidRDefault="000D2462" w:rsidP="000D2462">
      <w:pPr>
        <w:pStyle w:val="a6"/>
        <w:spacing w:after="0"/>
      </w:pPr>
      <w:r>
        <w:rPr>
          <w:noProof/>
          <w:lang w:val="en-US" w:eastAsia="ko-KR"/>
        </w:rPr>
        <mc:AlternateContent>
          <mc:Choice Requires="wps">
            <w:drawing>
              <wp:anchor distT="45720" distB="45720" distL="114300" distR="114300" simplePos="0" relativeHeight="251659264" behindDoc="0" locked="1" layoutInCell="1" allowOverlap="1" wp14:anchorId="4FDDF4C7" wp14:editId="7BF11EA5">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DDF4C7" id="_x0000_t202" coordsize="21600,21600" o:spt="202" path="m,l,21600r21600,l21600,xe">
                <v:stroke joinstyle="miter"/>
                <v:path gradientshapeok="t" o:connecttype="rect"/>
              </v:shapetype>
              <v:shape id="Text Box 2" o:spid="_x0000_s1026" type="#_x0000_t202" style="position:absolute;left:0;text-align:left;margin-left:398.8pt;margin-top:23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">
                <v:textbox style="mso-fit-shape-to-text:t">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v:textbox>
                <w10:wrap type="topAndBottom" anchorx="margin"/>
                <w10:anchorlock/>
              </v:shape>
            </w:pict>
          </mc:Fallback>
        </mc:AlternateContent>
      </w:r>
      <w:r>
        <w:t>RAN4 provides the following background description:</w:t>
      </w:r>
    </w:p>
    <w:p w14:paraId="2578E31F" w14:textId="5A66C88F" w:rsidR="000D2462" w:rsidRDefault="00736A32" w:rsidP="00736A32">
      <w:pPr>
        <w:pStyle w:val="a6"/>
        <w:spacing w:after="0"/>
      </w:pPr>
      <w:r>
        <w:rPr>
          <w:noProof/>
          <w:lang w:val="en-US" w:eastAsia="ko-KR"/>
        </w:rPr>
        <w:lastRenderedPageBreak/>
        <mc:AlternateContent>
          <mc:Choice Requires="wps">
            <w:drawing>
              <wp:anchor distT="45720" distB="45720" distL="114300" distR="114300" simplePos="0" relativeHeight="251661312" behindDoc="0" locked="1" layoutInCell="1" allowOverlap="1" wp14:anchorId="4CD6FEB6" wp14:editId="5C32D538">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headEnd/>
                          <a:tailEnd/>
                        </a:ln>
                      </wps:spPr>
                      <wps:txb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6FEB6" id="_x0000_s1027" type="#_x0000_t202" style="position:absolute;left:0;text-align:left;margin-left:398.05pt;margin-top:23.25pt;width:449.25pt;height:7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">
                <v:textbo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anchorx="margin"/>
                <w10:anchorlock/>
              </v:shape>
            </w:pict>
          </mc:Fallback>
        </mc:AlternateContent>
      </w:r>
      <w:r>
        <w:t>RAN4 asks for the following feedback from RAN1 and RAN2:</w:t>
      </w:r>
    </w:p>
    <w:p w14:paraId="50D4E892" w14:textId="3DD8C970" w:rsidR="006C7A30" w:rsidRDefault="00736A32" w:rsidP="000D2462">
      <w:pPr>
        <w:pStyle w:val="a6"/>
      </w:pPr>
      <w:r>
        <w:t xml:space="preserve">It is important to note that the context of this LS is only for </w:t>
      </w:r>
      <w:r w:rsidRPr="00DF3594">
        <w:rPr>
          <w:highlight w:val="cyan"/>
        </w:rPr>
        <w:t>RRC-based TCI state switching</w:t>
      </w:r>
      <w:r>
        <w:t>, not MAC-CE based TCI state switching. The former is used only</w:t>
      </w:r>
      <w:r w:rsidR="00593FCB">
        <w:t xml:space="preserve"> in the special case that a single TCI state is configured, and only for PDCCH.</w:t>
      </w:r>
      <w:r w:rsidR="006C7A30">
        <w:t xml:space="preserve"> In contrast, MAC-CE based switching is used for PDCCH when there is more than one configured TCI state (38.213 Section 10.1) and for PDSCH regardless of the number of configured TCI states (38.214 Section 5.1.5).</w:t>
      </w:r>
    </w:p>
    <w:p w14:paraId="7A901960" w14:textId="77777777" w:rsidR="006C7A30" w:rsidRDefault="006C7A30" w:rsidP="000D2462">
      <w:pPr>
        <w:pStyle w:val="a6"/>
      </w:pPr>
      <w:r>
        <w:t>It is the moderator’s understanding that the scenario that RAN4 is discussing is the following:</w:t>
      </w:r>
    </w:p>
    <w:p w14:paraId="4F5915DF" w14:textId="0EB13AF6" w:rsidR="006C7A30" w:rsidRDefault="006C7A30" w:rsidP="006C7A30">
      <w:pPr>
        <w:pStyle w:val="a6"/>
        <w:numPr>
          <w:ilvl w:val="0"/>
          <w:numId w:val="37"/>
        </w:numPr>
      </w:pPr>
      <w:r>
        <w:t>A single new TCI state for PDCCH is provided to the UE by RRC re-configuration</w:t>
      </w:r>
    </w:p>
    <w:p w14:paraId="7FB0CFEE" w14:textId="1CA02608" w:rsidR="006C7A30" w:rsidRDefault="006C7A30" w:rsidP="006C7A30">
      <w:pPr>
        <w:pStyle w:val="a6"/>
        <w:numPr>
          <w:ilvl w:val="0"/>
          <w:numId w:val="37"/>
        </w:numPr>
      </w:pPr>
      <w:r>
        <w:t>The UE flushes its memory of the old TCI state</w:t>
      </w:r>
    </w:p>
    <w:p w14:paraId="46DFD041" w14:textId="402FA5D7" w:rsidR="006C7A30" w:rsidRDefault="006C7A30" w:rsidP="006C7A30">
      <w:pPr>
        <w:pStyle w:val="a6"/>
        <w:numPr>
          <w:ilvl w:val="0"/>
          <w:numId w:val="37"/>
        </w:numPr>
      </w:pPr>
      <w:r>
        <w:t>Persistent LBT failure occurs at the gNB for the DL reference signal(s) (SS/PBCH block and/or CSI-RS) configured in the new TCI state</w:t>
      </w:r>
    </w:p>
    <w:p w14:paraId="516B906E" w14:textId="2EBC864D" w:rsidR="00DF3594" w:rsidRDefault="006C7A30" w:rsidP="006C7A30">
      <w:pPr>
        <w:pStyle w:val="a6"/>
      </w:pPr>
      <w:r>
        <w:t>Since the UE does not remember the old TCI state and LBT failure prevents the UE from receiving the DL RSs in the new TCI state, the UE does not have a defined QCL reference (QCL source) for receiving PDCCH.</w:t>
      </w:r>
      <w:r w:rsidR="006D11AB">
        <w:t xml:space="preserve"> </w:t>
      </w:r>
      <w:r>
        <w:t xml:space="preserve">As can be seen by the </w:t>
      </w:r>
      <w:r w:rsidRPr="00DF3594">
        <w:rPr>
          <w:highlight w:val="yellow"/>
        </w:rPr>
        <w:t>highlighted</w:t>
      </w:r>
      <w:r w:rsidR="00DF3594">
        <w:t xml:space="preserve"> text above, RAN4 has an FFS on whether or not the UE should declare beam failure in this scenario</w:t>
      </w:r>
      <w:r w:rsidR="006D11AB">
        <w:t xml:space="preserve"> after </w:t>
      </w:r>
      <w:r w:rsidR="008A1C96">
        <w:t>the</w:t>
      </w:r>
      <w:r w:rsidR="006D11AB">
        <w:t xml:space="preserve"> number of RS occasions</w:t>
      </w:r>
      <w:r w:rsidR="008A1C96">
        <w:t xml:space="preserve"> that </w:t>
      </w:r>
      <w:r w:rsidR="006D11AB">
        <w:t>are not available due to LBT failure</w:t>
      </w:r>
      <w:r w:rsidR="008A1C96">
        <w:t xml:space="preserve"> exceeds a specified threshold.</w:t>
      </w:r>
    </w:p>
    <w:p w14:paraId="4EEE408A" w14:textId="3756AFA9" w:rsidR="006D11AB" w:rsidRDefault="00FD19C5" w:rsidP="006C7A30">
      <w:pPr>
        <w:pStyle w:val="a6"/>
      </w:pPr>
      <w:r>
        <w:t>At least three</w:t>
      </w:r>
      <w:r w:rsidR="006D11AB">
        <w:t xml:space="preserve"> companies have provided input on this issue. In </w:t>
      </w:r>
      <w:r w:rsidR="006D11AB">
        <w:fldChar w:fldCharType="begin"/>
      </w:r>
      <w:r w:rsidR="006D11AB">
        <w:instrText xml:space="preserve"> REF _Ref41317916 \r \h </w:instrText>
      </w:r>
      <w:r w:rsidR="006D11AB">
        <w:fldChar w:fldCharType="separate"/>
      </w:r>
      <w:r w:rsidR="006D11AB">
        <w:t>[2]</w:t>
      </w:r>
      <w:r w:rsidR="006D11AB">
        <w:fldChar w:fldCharType="end"/>
      </w:r>
      <w:r w:rsidR="006D11AB">
        <w:t>, a draft LS reply is proposed that suggests that RAN2 should decide whether or not the UE should declare beam failure.</w:t>
      </w:r>
      <w:r w:rsidR="008A1C96">
        <w:t xml:space="preserve"> It is suggested that if RAN2 decides on supporting BF declaration, then RAN1 can capture UE behaviour in RAN1 specifications.</w:t>
      </w:r>
      <w:r w:rsidR="007865CA">
        <w:t xml:space="preserve"> </w:t>
      </w:r>
      <w:r w:rsidR="006D11AB">
        <w:t xml:space="preserve">In </w:t>
      </w:r>
      <w:r w:rsidR="006D11AB">
        <w:fldChar w:fldCharType="begin"/>
      </w:r>
      <w:r w:rsidR="006D11AB">
        <w:instrText xml:space="preserve"> REF _Ref41317928 \r \h </w:instrText>
      </w:r>
      <w:r w:rsidR="006D11AB">
        <w:fldChar w:fldCharType="separate"/>
      </w:r>
      <w:r w:rsidR="006D11AB">
        <w:t>[3]</w:t>
      </w:r>
      <w:r w:rsidR="006D11AB">
        <w:fldChar w:fldCharType="end"/>
      </w:r>
      <w:r w:rsidR="008A1C96">
        <w:t xml:space="preserve"> it is proposed to postpone the decision to a later release until the design for BFD mechanism is clear.</w:t>
      </w:r>
      <w:r w:rsidR="007865CA">
        <w:t xml:space="preserve"> In </w:t>
      </w:r>
      <w:r w:rsidR="007865CA">
        <w:fldChar w:fldCharType="begin"/>
      </w:r>
      <w:r w:rsidR="007865CA">
        <w:instrText xml:space="preserve"> REF _Ref41319349 \r \h </w:instrText>
      </w:r>
      <w:r w:rsidR="007865CA">
        <w:fldChar w:fldCharType="separate"/>
      </w:r>
      <w:r w:rsidR="007865CA">
        <w:t>[4]</w:t>
      </w:r>
      <w:r w:rsidR="007865CA">
        <w:fldChar w:fldCharType="end"/>
      </w:r>
      <w:r w:rsidR="007865CA">
        <w:t xml:space="preserve"> it is proposed that the UE </w:t>
      </w:r>
      <w:r w:rsidR="007115B2">
        <w:t>should</w:t>
      </w:r>
      <w:r w:rsidR="007865CA">
        <w:t xml:space="preserve"> indeed declare beam failure when the</w:t>
      </w:r>
      <w:r w:rsidR="007115B2">
        <w:t xml:space="preserve"> number of RS occasions that are not available due to LBT failure exceeds the threshold. It is suggested that this existing tool in the spec is a natural fit to address the problem, and it would be undesirable to complicate the spec by introducing a new mechanism to fallback t</w:t>
      </w:r>
      <w:r>
        <w:t>o a previously configured TCI state.</w:t>
      </w:r>
    </w:p>
    <w:p w14:paraId="0FEB1F6C" w14:textId="5F811486" w:rsidR="006D11AB" w:rsidRDefault="007865CA" w:rsidP="006C7A30">
      <w:pPr>
        <w:pStyle w:val="a6"/>
      </w:pPr>
      <w:r>
        <w:t>In order to formulate a reply LS to RAN4, the moderator would like to receive company feedback on the following questions:</w:t>
      </w:r>
    </w:p>
    <w:p w14:paraId="05AA615C" w14:textId="5593AA54" w:rsidR="00FD19C5" w:rsidRDefault="007865CA" w:rsidP="00FD19C5">
      <w:pPr>
        <w:pStyle w:val="a6"/>
        <w:rPr>
          <w:rFonts w:eastAsia="DengXian" w:cs="Arial"/>
          <w:b/>
          <w:bCs/>
          <w:color w:val="000000"/>
        </w:rPr>
      </w:pPr>
      <w:r w:rsidRPr="007115B2">
        <w:rPr>
          <w:rFonts w:eastAsia="DengXian" w:cs="Arial"/>
          <w:b/>
          <w:bCs/>
          <w:color w:val="000000"/>
        </w:rPr>
        <w:t>Q</w:t>
      </w:r>
      <w:r w:rsidR="007115B2" w:rsidRPr="007115B2">
        <w:rPr>
          <w:rFonts w:eastAsia="DengXian" w:cs="Arial"/>
          <w:b/>
          <w:bCs/>
          <w:color w:val="000000"/>
        </w:rPr>
        <w:t>1</w:t>
      </w:r>
      <w:r w:rsidRPr="007115B2">
        <w:rPr>
          <w:rFonts w:eastAsia="DengXian" w:cs="Arial"/>
          <w:b/>
          <w:bCs/>
          <w:color w:val="000000"/>
        </w:rPr>
        <w:t>: Do you agree or disagree that the UE should declare beam failure</w:t>
      </w:r>
      <w:r w:rsidR="007115B2" w:rsidRPr="007115B2">
        <w:rPr>
          <w:rFonts w:eastAsia="DengXian" w:cs="Arial"/>
          <w:b/>
          <w:bCs/>
          <w:color w:val="000000"/>
        </w:rPr>
        <w:t>?</w:t>
      </w:r>
      <w:r w:rsidR="00FD19C5">
        <w:rPr>
          <w:rFonts w:eastAsia="DengXian" w:cs="Arial"/>
          <w:b/>
          <w:bCs/>
          <w:color w:val="000000"/>
        </w:rPr>
        <w:t xml:space="preserve"> </w:t>
      </w:r>
      <w:r w:rsidR="007115B2" w:rsidRPr="007115B2">
        <w:rPr>
          <w:rFonts w:eastAsia="DengXian" w:cs="Arial"/>
          <w:b/>
          <w:bCs/>
          <w:color w:val="000000"/>
        </w:rPr>
        <w:t>If you disagree, then</w:t>
      </w:r>
      <w:r w:rsidR="00FD19C5">
        <w:rPr>
          <w:rFonts w:eastAsia="DengXian" w:cs="Arial"/>
          <w:b/>
          <w:bCs/>
          <w:color w:val="000000"/>
        </w:rPr>
        <w:t xml:space="preserve"> what should be the UE behaviour instead?</w:t>
      </w:r>
    </w:p>
    <w:p w14:paraId="7C347CE3" w14:textId="2CE57F72" w:rsidR="00FD19C5" w:rsidRPr="007115B2" w:rsidRDefault="007115B2" w:rsidP="006C7A30">
      <w:pPr>
        <w:pStyle w:val="a6"/>
        <w:rPr>
          <w:rFonts w:eastAsia="DengXian" w:cs="Arial"/>
          <w:b/>
          <w:bCs/>
          <w:color w:val="000000"/>
        </w:rPr>
      </w:pPr>
      <w:r w:rsidRPr="007115B2">
        <w:rPr>
          <w:rFonts w:eastAsia="DengXian" w:cs="Arial"/>
          <w:b/>
          <w:bCs/>
          <w:color w:val="000000"/>
        </w:rPr>
        <w:t>Q2: What feedback should RAN1 provide to RAN4?</w:t>
      </w:r>
    </w:p>
    <w:tbl>
      <w:tblPr>
        <w:tblStyle w:val="af3"/>
        <w:tblW w:w="9090" w:type="dxa"/>
        <w:tblLayout w:type="fixed"/>
        <w:tblLook w:val="04A0" w:firstRow="1" w:lastRow="0" w:firstColumn="1" w:lastColumn="0" w:noHBand="0" w:noVBand="1"/>
      </w:tblPr>
      <w:tblGrid>
        <w:gridCol w:w="1526"/>
        <w:gridCol w:w="7564"/>
      </w:tblGrid>
      <w:tr w:rsidR="007115B2" w14:paraId="34C2B593" w14:textId="77777777" w:rsidTr="007115B2">
        <w:tc>
          <w:tcPr>
            <w:tcW w:w="1525" w:type="dxa"/>
            <w:tcBorders>
              <w:top w:val="single" w:sz="4" w:space="0" w:color="auto"/>
              <w:left w:val="single" w:sz="4" w:space="0" w:color="auto"/>
              <w:bottom w:val="single" w:sz="4" w:space="0" w:color="auto"/>
              <w:right w:val="single" w:sz="4" w:space="0" w:color="auto"/>
            </w:tcBorders>
            <w:hideMark/>
          </w:tcPr>
          <w:p w14:paraId="2298FAD4" w14:textId="77777777" w:rsidR="007115B2" w:rsidRDefault="007115B2">
            <w:pPr>
              <w:pStyle w:val="a6"/>
              <w:spacing w:after="0"/>
              <w:rPr>
                <w:b/>
                <w:sz w:val="20"/>
                <w:szCs w:val="20"/>
                <w:lang w:val="de-DE"/>
              </w:rPr>
            </w:pPr>
            <w:r>
              <w:rPr>
                <w:b/>
                <w:sz w:val="20"/>
                <w:szCs w:val="20"/>
                <w:lang w:val="de-DE"/>
              </w:rPr>
              <w:t>Company</w:t>
            </w:r>
          </w:p>
        </w:tc>
        <w:tc>
          <w:tcPr>
            <w:tcW w:w="7560" w:type="dxa"/>
            <w:tcBorders>
              <w:top w:val="single" w:sz="4" w:space="0" w:color="auto"/>
              <w:left w:val="single" w:sz="4" w:space="0" w:color="auto"/>
              <w:bottom w:val="single" w:sz="4" w:space="0" w:color="auto"/>
              <w:right w:val="single" w:sz="4" w:space="0" w:color="auto"/>
            </w:tcBorders>
            <w:hideMark/>
          </w:tcPr>
          <w:p w14:paraId="61DB4A6A" w14:textId="77777777" w:rsidR="007115B2" w:rsidRDefault="007115B2">
            <w:pPr>
              <w:pStyle w:val="a6"/>
              <w:spacing w:after="0"/>
              <w:rPr>
                <w:b/>
                <w:sz w:val="20"/>
                <w:szCs w:val="20"/>
                <w:lang w:val="de-DE"/>
              </w:rPr>
            </w:pPr>
            <w:r>
              <w:rPr>
                <w:b/>
                <w:sz w:val="20"/>
                <w:szCs w:val="20"/>
                <w:lang w:val="de-DE"/>
              </w:rPr>
              <w:t>View/Position</w:t>
            </w:r>
          </w:p>
        </w:tc>
      </w:tr>
      <w:tr w:rsidR="007115B2" w14:paraId="1773FA33" w14:textId="77777777" w:rsidTr="007115B2">
        <w:tc>
          <w:tcPr>
            <w:tcW w:w="1525" w:type="dxa"/>
            <w:tcBorders>
              <w:top w:val="single" w:sz="4" w:space="0" w:color="auto"/>
              <w:left w:val="single" w:sz="4" w:space="0" w:color="auto"/>
              <w:bottom w:val="single" w:sz="4" w:space="0" w:color="auto"/>
              <w:right w:val="single" w:sz="4" w:space="0" w:color="auto"/>
            </w:tcBorders>
          </w:tcPr>
          <w:p w14:paraId="2CBCA5EA" w14:textId="4F9AD5FF" w:rsidR="007115B2" w:rsidRDefault="00FD19C5">
            <w:pPr>
              <w:pStyle w:val="a6"/>
              <w:spacing w:after="0"/>
              <w:rPr>
                <w:sz w:val="20"/>
                <w:szCs w:val="20"/>
                <w:lang w:val="de-DE"/>
              </w:rPr>
            </w:pPr>
            <w:r>
              <w:rPr>
                <w:sz w:val="20"/>
                <w:szCs w:val="20"/>
                <w:lang w:val="de-DE"/>
              </w:rPr>
              <w:t>Ericsson</w:t>
            </w:r>
          </w:p>
        </w:tc>
        <w:tc>
          <w:tcPr>
            <w:tcW w:w="7560" w:type="dxa"/>
            <w:tcBorders>
              <w:top w:val="single" w:sz="4" w:space="0" w:color="auto"/>
              <w:left w:val="single" w:sz="4" w:space="0" w:color="auto"/>
              <w:bottom w:val="single" w:sz="4" w:space="0" w:color="auto"/>
              <w:right w:val="single" w:sz="4" w:space="0" w:color="auto"/>
            </w:tcBorders>
          </w:tcPr>
          <w:p w14:paraId="36A19BD5" w14:textId="222F95B2" w:rsidR="007115B2" w:rsidRDefault="00FD19C5">
            <w:pPr>
              <w:pStyle w:val="a6"/>
              <w:spacing w:after="0"/>
              <w:rPr>
                <w:sz w:val="20"/>
                <w:szCs w:val="20"/>
                <w:lang w:val="de-DE"/>
              </w:rPr>
            </w:pPr>
            <w:r>
              <w:rPr>
                <w:sz w:val="20"/>
                <w:szCs w:val="20"/>
                <w:lang w:val="de-DE"/>
              </w:rPr>
              <w:t>Q1: The UE should declare beam failure and initiate beam failure recovery</w:t>
            </w:r>
          </w:p>
          <w:p w14:paraId="5C35CFDB" w14:textId="6142055E" w:rsidR="00FD19C5" w:rsidRDefault="00FD19C5">
            <w:pPr>
              <w:pStyle w:val="a6"/>
              <w:spacing w:after="0"/>
              <w:rPr>
                <w:sz w:val="20"/>
                <w:szCs w:val="20"/>
                <w:lang w:val="de-DE"/>
              </w:rPr>
            </w:pPr>
            <w:r>
              <w:rPr>
                <w:sz w:val="20"/>
                <w:szCs w:val="20"/>
                <w:lang w:val="de-DE"/>
              </w:rPr>
              <w:t>Q2: RAN1 should reply to RAN4 that the UE should declare beam failure, and that RAN4 should inform RAN1 when further progress is made in case any update is needed to RAN1 specifications.</w:t>
            </w:r>
          </w:p>
        </w:tc>
      </w:tr>
      <w:tr w:rsidR="007115B2" w14:paraId="2EDA7ED2" w14:textId="77777777" w:rsidTr="007115B2">
        <w:tc>
          <w:tcPr>
            <w:tcW w:w="1525" w:type="dxa"/>
            <w:tcBorders>
              <w:top w:val="single" w:sz="4" w:space="0" w:color="auto"/>
              <w:left w:val="single" w:sz="4" w:space="0" w:color="auto"/>
              <w:bottom w:val="single" w:sz="4" w:space="0" w:color="auto"/>
              <w:right w:val="single" w:sz="4" w:space="0" w:color="auto"/>
            </w:tcBorders>
          </w:tcPr>
          <w:p w14:paraId="575230BF" w14:textId="06113E6E" w:rsidR="007115B2" w:rsidRPr="00A61628" w:rsidRDefault="00A61628">
            <w:pPr>
              <w:pStyle w:val="a6"/>
              <w:spacing w:after="0"/>
              <w:rPr>
                <w:rFonts w:eastAsia="맑은 고딕" w:hint="eastAsia"/>
                <w:sz w:val="20"/>
                <w:szCs w:val="20"/>
                <w:lang w:val="de-DE" w:eastAsia="ko-KR"/>
              </w:rPr>
            </w:pPr>
            <w:r>
              <w:rPr>
                <w:rFonts w:eastAsia="맑은 고딕" w:hint="eastAsia"/>
                <w:sz w:val="20"/>
                <w:szCs w:val="20"/>
                <w:lang w:val="de-DE"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0724EE66" w14:textId="2472D7F1" w:rsidR="00372B6E" w:rsidRPr="00372B6E" w:rsidRDefault="00A61628" w:rsidP="00372B6E">
            <w:pPr>
              <w:pStyle w:val="a6"/>
              <w:spacing w:after="0"/>
              <w:rPr>
                <w:rFonts w:eastAsia="맑은 고딕" w:hint="eastAsia"/>
                <w:sz w:val="20"/>
                <w:szCs w:val="20"/>
                <w:lang w:val="de-DE" w:eastAsia="ko-KR"/>
              </w:rPr>
            </w:pPr>
            <w:r>
              <w:rPr>
                <w:rFonts w:eastAsia="맑은 고딕"/>
                <w:sz w:val="20"/>
                <w:szCs w:val="20"/>
                <w:lang w:val="de-DE" w:eastAsia="ko-KR"/>
              </w:rPr>
              <w:t>Even though it seems reasonable for UE to declare beam failure</w:t>
            </w:r>
            <w:r w:rsidR="00664BA3">
              <w:rPr>
                <w:rFonts w:eastAsia="맑은 고딕"/>
                <w:sz w:val="20"/>
                <w:szCs w:val="20"/>
                <w:lang w:val="de-DE" w:eastAsia="ko-KR"/>
              </w:rPr>
              <w:t xml:space="preserve"> for this particular case</w:t>
            </w:r>
            <w:r>
              <w:rPr>
                <w:rFonts w:eastAsia="맑은 고딕"/>
                <w:sz w:val="20"/>
                <w:szCs w:val="20"/>
                <w:lang w:val="de-DE" w:eastAsia="ko-KR"/>
              </w:rPr>
              <w:t>, it is not convinced whether RAN1 could decide it</w:t>
            </w:r>
            <w:r w:rsidR="00372B6E">
              <w:rPr>
                <w:rFonts w:eastAsia="맑은 고딕"/>
                <w:sz w:val="20"/>
                <w:szCs w:val="20"/>
                <w:lang w:val="de-DE" w:eastAsia="ko-KR"/>
              </w:rPr>
              <w:t xml:space="preserve"> without the input from RAN2, or whether any update in RAN1 specifications is necessary. It could be one way to wait for RAN2’s decissi</w:t>
            </w:r>
            <w:r w:rsidR="0025395E">
              <w:rPr>
                <w:rFonts w:eastAsia="맑은 고딕"/>
                <w:sz w:val="20"/>
                <w:szCs w:val="20"/>
                <w:lang w:val="de-DE" w:eastAsia="ko-KR"/>
              </w:rPr>
              <w:t xml:space="preserve">on on this issue, and RAN1 may work for potential impact on </w:t>
            </w:r>
            <w:r w:rsidR="00664BA3">
              <w:rPr>
                <w:rFonts w:eastAsia="맑은 고딕"/>
                <w:sz w:val="20"/>
                <w:szCs w:val="20"/>
                <w:lang w:val="de-DE" w:eastAsia="ko-KR"/>
              </w:rPr>
              <w:t xml:space="preserve">RAN1 </w:t>
            </w:r>
            <w:bookmarkStart w:id="14" w:name="_GoBack"/>
            <w:bookmarkEnd w:id="14"/>
            <w:r w:rsidR="0025395E">
              <w:rPr>
                <w:rFonts w:eastAsia="맑은 고딕"/>
                <w:sz w:val="20"/>
                <w:szCs w:val="20"/>
                <w:lang w:val="de-DE" w:eastAsia="ko-KR"/>
              </w:rPr>
              <w:t>specifications after RAN2 will inform their decision.</w:t>
            </w:r>
          </w:p>
        </w:tc>
      </w:tr>
      <w:tr w:rsidR="007115B2" w14:paraId="4CE71982" w14:textId="77777777" w:rsidTr="007115B2">
        <w:tc>
          <w:tcPr>
            <w:tcW w:w="1525" w:type="dxa"/>
            <w:tcBorders>
              <w:top w:val="single" w:sz="4" w:space="0" w:color="auto"/>
              <w:left w:val="single" w:sz="4" w:space="0" w:color="auto"/>
              <w:bottom w:val="single" w:sz="4" w:space="0" w:color="auto"/>
              <w:right w:val="single" w:sz="4" w:space="0" w:color="auto"/>
            </w:tcBorders>
          </w:tcPr>
          <w:p w14:paraId="0F4007DF" w14:textId="4A4ECAD8" w:rsidR="007115B2" w:rsidRDefault="007115B2">
            <w:pPr>
              <w:pStyle w:val="a6"/>
              <w:spacing w:after="0"/>
              <w:rPr>
                <w:sz w:val="20"/>
                <w:szCs w:val="20"/>
                <w:lang w:val="de-DE"/>
              </w:rPr>
            </w:pPr>
          </w:p>
        </w:tc>
        <w:tc>
          <w:tcPr>
            <w:tcW w:w="7560" w:type="dxa"/>
            <w:tcBorders>
              <w:top w:val="single" w:sz="4" w:space="0" w:color="auto"/>
              <w:left w:val="single" w:sz="4" w:space="0" w:color="auto"/>
              <w:bottom w:val="single" w:sz="4" w:space="0" w:color="auto"/>
              <w:right w:val="single" w:sz="4" w:space="0" w:color="auto"/>
            </w:tcBorders>
          </w:tcPr>
          <w:p w14:paraId="267AB7BA" w14:textId="77777777" w:rsidR="007115B2" w:rsidRDefault="007115B2">
            <w:pPr>
              <w:pStyle w:val="a6"/>
              <w:spacing w:after="0"/>
              <w:rPr>
                <w:sz w:val="20"/>
                <w:szCs w:val="20"/>
                <w:lang w:val="de-DE"/>
              </w:rPr>
            </w:pPr>
          </w:p>
        </w:tc>
      </w:tr>
      <w:tr w:rsidR="007115B2" w14:paraId="7629D0DB" w14:textId="77777777" w:rsidTr="007115B2">
        <w:tc>
          <w:tcPr>
            <w:tcW w:w="1525" w:type="dxa"/>
            <w:tcBorders>
              <w:top w:val="single" w:sz="4" w:space="0" w:color="auto"/>
              <w:left w:val="single" w:sz="4" w:space="0" w:color="auto"/>
              <w:bottom w:val="single" w:sz="4" w:space="0" w:color="auto"/>
              <w:right w:val="single" w:sz="4" w:space="0" w:color="auto"/>
            </w:tcBorders>
          </w:tcPr>
          <w:p w14:paraId="58CA803E" w14:textId="77777777" w:rsidR="007115B2" w:rsidRDefault="007115B2">
            <w:pPr>
              <w:pStyle w:val="a6"/>
              <w:spacing w:after="0"/>
              <w:rPr>
                <w:sz w:val="20"/>
                <w:szCs w:val="20"/>
                <w:lang w:val="de-DE"/>
              </w:rPr>
            </w:pPr>
          </w:p>
        </w:tc>
        <w:tc>
          <w:tcPr>
            <w:tcW w:w="7560" w:type="dxa"/>
            <w:tcBorders>
              <w:top w:val="single" w:sz="4" w:space="0" w:color="auto"/>
              <w:left w:val="single" w:sz="4" w:space="0" w:color="auto"/>
              <w:bottom w:val="single" w:sz="4" w:space="0" w:color="auto"/>
              <w:right w:val="single" w:sz="4" w:space="0" w:color="auto"/>
            </w:tcBorders>
          </w:tcPr>
          <w:p w14:paraId="6BA6B991" w14:textId="77777777" w:rsidR="007115B2" w:rsidRDefault="007115B2">
            <w:pPr>
              <w:pStyle w:val="a6"/>
              <w:spacing w:after="0"/>
              <w:rPr>
                <w:sz w:val="20"/>
                <w:szCs w:val="20"/>
                <w:lang w:val="de-DE"/>
              </w:rPr>
            </w:pPr>
          </w:p>
        </w:tc>
      </w:tr>
    </w:tbl>
    <w:p w14:paraId="5E769EA3" w14:textId="77777777" w:rsidR="00DF3594" w:rsidRDefault="00DF3594" w:rsidP="006C7A30">
      <w:pPr>
        <w:pStyle w:val="a6"/>
      </w:pPr>
    </w:p>
    <w:bookmarkEnd w:id="13"/>
    <w:p w14:paraId="448BF4CA" w14:textId="77777777" w:rsidR="00F976AE" w:rsidRDefault="00F976AE" w:rsidP="00F976AE">
      <w:pPr>
        <w:pStyle w:val="1"/>
      </w:pPr>
      <w:r>
        <w:lastRenderedPageBreak/>
        <w:t>References</w:t>
      </w:r>
    </w:p>
    <w:p w14:paraId="483ABA28" w14:textId="0FCC31AA" w:rsidR="00F976AE" w:rsidRDefault="00F976AE" w:rsidP="00F976AE">
      <w:pPr>
        <w:pStyle w:val="afb"/>
        <w:numPr>
          <w:ilvl w:val="0"/>
          <w:numId w:val="14"/>
        </w:numPr>
        <w:ind w:left="450" w:hanging="450"/>
        <w:rPr>
          <w:rFonts w:ascii="Arial" w:hAnsi="Arial" w:cs="Arial"/>
          <w:sz w:val="20"/>
          <w:szCs w:val="20"/>
          <w:lang w:val="en-US" w:eastAsia="x-none"/>
        </w:rPr>
      </w:pPr>
      <w:bookmarkStart w:id="15" w:name="_Ref40774674"/>
      <w:bookmarkStart w:id="16" w:name="_Ref41240332"/>
      <w:r w:rsidRPr="00761D88">
        <w:rPr>
          <w:rFonts w:ascii="Arial" w:hAnsi="Arial" w:cs="Arial"/>
          <w:sz w:val="20"/>
          <w:szCs w:val="20"/>
          <w:lang w:val="en-US" w:eastAsia="x-none"/>
        </w:rPr>
        <w:t>R1-200</w:t>
      </w:r>
      <w:r w:rsidR="00BC6800">
        <w:rPr>
          <w:rFonts w:ascii="Arial" w:hAnsi="Arial" w:cs="Arial"/>
          <w:sz w:val="20"/>
          <w:szCs w:val="20"/>
          <w:lang w:val="en-US" w:eastAsia="x-none"/>
        </w:rPr>
        <w:t>3271</w:t>
      </w:r>
      <w:r w:rsidR="000D2462">
        <w:rPr>
          <w:rFonts w:ascii="Arial" w:hAnsi="Arial" w:cs="Arial"/>
          <w:sz w:val="20"/>
          <w:szCs w:val="20"/>
          <w:lang w:val="en-US" w:eastAsia="x-none"/>
        </w:rPr>
        <w:t>, “</w:t>
      </w:r>
      <w:r w:rsidR="000D2462" w:rsidRPr="000D2462">
        <w:rPr>
          <w:rFonts w:ascii="Arial" w:hAnsi="Arial" w:cs="Arial"/>
          <w:sz w:val="20"/>
          <w:szCs w:val="20"/>
          <w:lang w:val="en-US" w:eastAsia="x-none"/>
        </w:rPr>
        <w:t>LS on UE declaring beam failure due to LBT failures during active TCI switching</w:t>
      </w:r>
      <w:bookmarkEnd w:id="15"/>
      <w:r w:rsidR="000D2462">
        <w:rPr>
          <w:rFonts w:ascii="Arial" w:hAnsi="Arial" w:cs="Arial"/>
          <w:sz w:val="20"/>
          <w:szCs w:val="20"/>
          <w:lang w:val="en-US" w:eastAsia="x-none"/>
        </w:rPr>
        <w:t>,” RAN4, RAN1#101-e, May 2020.</w:t>
      </w:r>
      <w:bookmarkEnd w:id="16"/>
    </w:p>
    <w:p w14:paraId="279A0819" w14:textId="43452B55" w:rsidR="006D11AB" w:rsidRDefault="006D11AB" w:rsidP="00F976AE">
      <w:pPr>
        <w:pStyle w:val="afb"/>
        <w:numPr>
          <w:ilvl w:val="0"/>
          <w:numId w:val="14"/>
        </w:numPr>
        <w:ind w:left="450" w:hanging="450"/>
        <w:rPr>
          <w:rFonts w:ascii="Arial" w:hAnsi="Arial" w:cs="Arial"/>
          <w:sz w:val="20"/>
          <w:szCs w:val="20"/>
          <w:lang w:val="en-US" w:eastAsia="x-none"/>
        </w:rPr>
      </w:pPr>
      <w:bookmarkStart w:id="17" w:name="_Ref41317916"/>
      <w:r>
        <w:rPr>
          <w:rFonts w:ascii="Arial" w:hAnsi="Arial" w:cs="Arial"/>
          <w:sz w:val="20"/>
          <w:szCs w:val="20"/>
          <w:lang w:val="en-US" w:eastAsia="x-none"/>
        </w:rPr>
        <w:t>R1-2003838, “</w:t>
      </w:r>
      <w:r w:rsidRPr="006D11AB">
        <w:rPr>
          <w:rFonts w:ascii="Arial" w:hAnsi="Arial" w:cs="Arial"/>
          <w:sz w:val="20"/>
          <w:szCs w:val="20"/>
          <w:lang w:val="en-US" w:eastAsia="x-none"/>
        </w:rPr>
        <w:t>Draft reply LS on UE declaring beam failure due to LBT failures during active TCI switching</w:t>
      </w:r>
      <w:r>
        <w:rPr>
          <w:rFonts w:ascii="Arial" w:hAnsi="Arial" w:cs="Arial"/>
          <w:sz w:val="20"/>
          <w:szCs w:val="20"/>
          <w:lang w:val="en-US" w:eastAsia="x-none"/>
        </w:rPr>
        <w:t>,” ZTE, Sanechips, RAN1#101-e, May 2020.</w:t>
      </w:r>
      <w:bookmarkEnd w:id="17"/>
    </w:p>
    <w:p w14:paraId="4F9C398A" w14:textId="0E72D9B2" w:rsidR="006D11AB" w:rsidRDefault="006D11AB" w:rsidP="00F976AE">
      <w:pPr>
        <w:pStyle w:val="afb"/>
        <w:numPr>
          <w:ilvl w:val="0"/>
          <w:numId w:val="14"/>
        </w:numPr>
        <w:ind w:left="450" w:hanging="450"/>
        <w:rPr>
          <w:rFonts w:ascii="Arial" w:hAnsi="Arial" w:cs="Arial"/>
          <w:sz w:val="20"/>
          <w:szCs w:val="20"/>
          <w:lang w:val="en-US" w:eastAsia="x-none"/>
        </w:rPr>
      </w:pPr>
      <w:bookmarkStart w:id="18" w:name="_Ref41317928"/>
      <w:r>
        <w:rPr>
          <w:rFonts w:ascii="Arial" w:hAnsi="Arial" w:cs="Arial"/>
          <w:sz w:val="20"/>
          <w:szCs w:val="20"/>
          <w:lang w:val="en-US" w:eastAsia="x-none"/>
        </w:rPr>
        <w:t>R1-2004092, “</w:t>
      </w:r>
      <w:r w:rsidRPr="006D11AB">
        <w:rPr>
          <w:rFonts w:ascii="Arial" w:hAnsi="Arial" w:cs="Arial"/>
          <w:sz w:val="20"/>
          <w:szCs w:val="20"/>
          <w:lang w:val="en-US" w:eastAsia="x-none"/>
        </w:rPr>
        <w:t>Discussion on beam failure declaration during active TCI switching</w:t>
      </w:r>
      <w:r>
        <w:rPr>
          <w:rFonts w:ascii="Arial" w:hAnsi="Arial" w:cs="Arial"/>
          <w:sz w:val="20"/>
          <w:szCs w:val="20"/>
          <w:lang w:val="en-US" w:eastAsia="x-none"/>
        </w:rPr>
        <w:t>,” OPPO, RAN1#101-e, May 2020.</w:t>
      </w:r>
      <w:bookmarkEnd w:id="18"/>
    </w:p>
    <w:p w14:paraId="67163E34" w14:textId="1A3C822E" w:rsidR="007865CA" w:rsidRPr="00761D88" w:rsidRDefault="007865CA" w:rsidP="00F976AE">
      <w:pPr>
        <w:pStyle w:val="afb"/>
        <w:numPr>
          <w:ilvl w:val="0"/>
          <w:numId w:val="14"/>
        </w:numPr>
        <w:ind w:left="450" w:hanging="450"/>
        <w:rPr>
          <w:rFonts w:ascii="Arial" w:hAnsi="Arial" w:cs="Arial"/>
          <w:sz w:val="20"/>
          <w:szCs w:val="20"/>
          <w:lang w:val="en-US" w:eastAsia="x-none"/>
        </w:rPr>
      </w:pPr>
      <w:bookmarkStart w:id="19" w:name="_Ref41319349"/>
      <w:r>
        <w:rPr>
          <w:rFonts w:ascii="Arial" w:hAnsi="Arial" w:cs="Arial"/>
          <w:sz w:val="20"/>
          <w:szCs w:val="20"/>
          <w:lang w:val="en-US" w:eastAsia="x-none"/>
        </w:rPr>
        <w:t>R1-2003844, “Enhancements to initial access procedures,” Ericsson, RAN1#101-e, May 2020.</w:t>
      </w:r>
      <w:bookmarkEnd w:id="19"/>
    </w:p>
    <w:sectPr w:rsidR="007865CA" w:rsidRPr="00761D88" w:rsidSect="00BC6800">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6FDC" w14:textId="77777777" w:rsidR="00925FB3" w:rsidRDefault="00925FB3">
      <w:pPr>
        <w:spacing w:after="0" w:line="240" w:lineRule="auto"/>
      </w:pPr>
      <w:r>
        <w:separator/>
      </w:r>
    </w:p>
  </w:endnote>
  <w:endnote w:type="continuationSeparator" w:id="0">
    <w:p w14:paraId="37FBC040" w14:textId="77777777" w:rsidR="00925FB3" w:rsidRDefault="0092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FF63A5" w:rsidRDefault="00FF63A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64BA3">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64BA3">
      <w:rPr>
        <w:rStyle w:val="af5"/>
        <w:noProof/>
      </w:rPr>
      <w:t>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B88CB" w14:textId="77777777" w:rsidR="00925FB3" w:rsidRDefault="00925FB3">
      <w:pPr>
        <w:spacing w:after="0" w:line="240" w:lineRule="auto"/>
      </w:pPr>
      <w:r>
        <w:separator/>
      </w:r>
    </w:p>
  </w:footnote>
  <w:footnote w:type="continuationSeparator" w:id="0">
    <w:p w14:paraId="16588DC6" w14:textId="77777777" w:rsidR="00925FB3" w:rsidRDefault="00925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FF63A5" w:rsidRDefault="00FF63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52A4722"/>
    <w:multiLevelType w:val="hybridMultilevel"/>
    <w:tmpl w:val="2D5E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E15FBC"/>
    <w:multiLevelType w:val="hybridMultilevel"/>
    <w:tmpl w:val="120CCE34"/>
    <w:lvl w:ilvl="0" w:tplc="603C6C1C">
      <w:start w:val="1"/>
      <w:numFmt w:val="bullet"/>
      <w:lvlText w:val="•"/>
      <w:lvlJc w:val="left"/>
      <w:pPr>
        <w:tabs>
          <w:tab w:val="num" w:pos="720"/>
        </w:tabs>
        <w:ind w:left="720" w:hanging="360"/>
      </w:pPr>
      <w:rPr>
        <w:rFonts w:ascii="Arial" w:hAnsi="Arial" w:cs="Times New Roman" w:hint="default"/>
      </w:rPr>
    </w:lvl>
    <w:lvl w:ilvl="1" w:tplc="F642D2A0">
      <w:start w:val="213"/>
      <w:numFmt w:val="bullet"/>
      <w:lvlText w:val="•"/>
      <w:lvlJc w:val="left"/>
      <w:pPr>
        <w:tabs>
          <w:tab w:val="num" w:pos="1440"/>
        </w:tabs>
        <w:ind w:left="1440" w:hanging="360"/>
      </w:pPr>
      <w:rPr>
        <w:rFonts w:ascii="Arial" w:hAnsi="Arial" w:cs="Times New Roman" w:hint="default"/>
      </w:rPr>
    </w:lvl>
    <w:lvl w:ilvl="2" w:tplc="FF04F61C">
      <w:start w:val="213"/>
      <w:numFmt w:val="bullet"/>
      <w:lvlText w:val="•"/>
      <w:lvlJc w:val="left"/>
      <w:pPr>
        <w:tabs>
          <w:tab w:val="num" w:pos="2160"/>
        </w:tabs>
        <w:ind w:left="2160" w:hanging="360"/>
      </w:pPr>
      <w:rPr>
        <w:rFonts w:ascii="Arial" w:hAnsi="Arial" w:cs="Times New Roman" w:hint="default"/>
      </w:rPr>
    </w:lvl>
    <w:lvl w:ilvl="3" w:tplc="3286895A">
      <w:start w:val="1"/>
      <w:numFmt w:val="bullet"/>
      <w:lvlText w:val="•"/>
      <w:lvlJc w:val="left"/>
      <w:pPr>
        <w:tabs>
          <w:tab w:val="num" w:pos="2880"/>
        </w:tabs>
        <w:ind w:left="2880" w:hanging="360"/>
      </w:pPr>
      <w:rPr>
        <w:rFonts w:ascii="Arial" w:hAnsi="Arial" w:cs="Times New Roman" w:hint="default"/>
      </w:rPr>
    </w:lvl>
    <w:lvl w:ilvl="4" w:tplc="B20AC028">
      <w:start w:val="1"/>
      <w:numFmt w:val="bullet"/>
      <w:lvlText w:val="•"/>
      <w:lvlJc w:val="left"/>
      <w:pPr>
        <w:tabs>
          <w:tab w:val="num" w:pos="3600"/>
        </w:tabs>
        <w:ind w:left="3600" w:hanging="360"/>
      </w:pPr>
      <w:rPr>
        <w:rFonts w:ascii="Arial" w:hAnsi="Arial" w:cs="Times New Roman" w:hint="default"/>
      </w:rPr>
    </w:lvl>
    <w:lvl w:ilvl="5" w:tplc="5658C518">
      <w:start w:val="1"/>
      <w:numFmt w:val="bullet"/>
      <w:lvlText w:val="•"/>
      <w:lvlJc w:val="left"/>
      <w:pPr>
        <w:tabs>
          <w:tab w:val="num" w:pos="4320"/>
        </w:tabs>
        <w:ind w:left="4320" w:hanging="360"/>
      </w:pPr>
      <w:rPr>
        <w:rFonts w:ascii="Arial" w:hAnsi="Arial" w:cs="Times New Roman" w:hint="default"/>
      </w:rPr>
    </w:lvl>
    <w:lvl w:ilvl="6" w:tplc="E3E0CD28">
      <w:start w:val="1"/>
      <w:numFmt w:val="bullet"/>
      <w:lvlText w:val="•"/>
      <w:lvlJc w:val="left"/>
      <w:pPr>
        <w:tabs>
          <w:tab w:val="num" w:pos="5040"/>
        </w:tabs>
        <w:ind w:left="5040" w:hanging="360"/>
      </w:pPr>
      <w:rPr>
        <w:rFonts w:ascii="Arial" w:hAnsi="Arial" w:cs="Times New Roman" w:hint="default"/>
      </w:rPr>
    </w:lvl>
    <w:lvl w:ilvl="7" w:tplc="22F46398">
      <w:start w:val="1"/>
      <w:numFmt w:val="bullet"/>
      <w:lvlText w:val="•"/>
      <w:lvlJc w:val="left"/>
      <w:pPr>
        <w:tabs>
          <w:tab w:val="num" w:pos="5760"/>
        </w:tabs>
        <w:ind w:left="5760" w:hanging="360"/>
      </w:pPr>
      <w:rPr>
        <w:rFonts w:ascii="Arial" w:hAnsi="Arial" w:cs="Times New Roman" w:hint="default"/>
      </w:rPr>
    </w:lvl>
    <w:lvl w:ilvl="8" w:tplc="47BA421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6AC2"/>
    <w:multiLevelType w:val="hybridMultilevel"/>
    <w:tmpl w:val="C41850E8"/>
    <w:lvl w:ilvl="0" w:tplc="3ED83626">
      <w:start w:val="1"/>
      <w:numFmt w:val="bullet"/>
      <w:lvlText w:val="•"/>
      <w:lvlJc w:val="left"/>
      <w:pPr>
        <w:tabs>
          <w:tab w:val="num" w:pos="720"/>
        </w:tabs>
        <w:ind w:left="720" w:hanging="360"/>
      </w:pPr>
      <w:rPr>
        <w:rFonts w:ascii="Arial" w:hAnsi="Arial" w:cs="Times New Roman" w:hint="default"/>
      </w:rPr>
    </w:lvl>
    <w:lvl w:ilvl="1" w:tplc="C3F40D40">
      <w:start w:val="213"/>
      <w:numFmt w:val="bullet"/>
      <w:lvlText w:val="•"/>
      <w:lvlJc w:val="left"/>
      <w:pPr>
        <w:tabs>
          <w:tab w:val="num" w:pos="1440"/>
        </w:tabs>
        <w:ind w:left="1440" w:hanging="360"/>
      </w:pPr>
      <w:rPr>
        <w:rFonts w:ascii="Arial" w:hAnsi="Arial" w:cs="Times New Roman" w:hint="default"/>
      </w:rPr>
    </w:lvl>
    <w:lvl w:ilvl="2" w:tplc="C97087EE">
      <w:start w:val="213"/>
      <w:numFmt w:val="bullet"/>
      <w:lvlText w:val="•"/>
      <w:lvlJc w:val="left"/>
      <w:pPr>
        <w:tabs>
          <w:tab w:val="num" w:pos="2160"/>
        </w:tabs>
        <w:ind w:left="2160" w:hanging="360"/>
      </w:pPr>
      <w:rPr>
        <w:rFonts w:ascii="Arial" w:hAnsi="Arial" w:cs="Times New Roman" w:hint="default"/>
      </w:rPr>
    </w:lvl>
    <w:lvl w:ilvl="3" w:tplc="301ADEDE">
      <w:start w:val="1"/>
      <w:numFmt w:val="bullet"/>
      <w:lvlText w:val="•"/>
      <w:lvlJc w:val="left"/>
      <w:pPr>
        <w:tabs>
          <w:tab w:val="num" w:pos="2880"/>
        </w:tabs>
        <w:ind w:left="2880" w:hanging="360"/>
      </w:pPr>
      <w:rPr>
        <w:rFonts w:ascii="Arial" w:hAnsi="Arial" w:cs="Times New Roman" w:hint="default"/>
      </w:rPr>
    </w:lvl>
    <w:lvl w:ilvl="4" w:tplc="A3AA4136">
      <w:start w:val="1"/>
      <w:numFmt w:val="bullet"/>
      <w:lvlText w:val="•"/>
      <w:lvlJc w:val="left"/>
      <w:pPr>
        <w:tabs>
          <w:tab w:val="num" w:pos="3600"/>
        </w:tabs>
        <w:ind w:left="3600" w:hanging="360"/>
      </w:pPr>
      <w:rPr>
        <w:rFonts w:ascii="Arial" w:hAnsi="Arial" w:cs="Times New Roman" w:hint="default"/>
      </w:rPr>
    </w:lvl>
    <w:lvl w:ilvl="5" w:tplc="33BC296A">
      <w:start w:val="1"/>
      <w:numFmt w:val="bullet"/>
      <w:lvlText w:val="•"/>
      <w:lvlJc w:val="left"/>
      <w:pPr>
        <w:tabs>
          <w:tab w:val="num" w:pos="4320"/>
        </w:tabs>
        <w:ind w:left="4320" w:hanging="360"/>
      </w:pPr>
      <w:rPr>
        <w:rFonts w:ascii="Arial" w:hAnsi="Arial" w:cs="Times New Roman" w:hint="default"/>
      </w:rPr>
    </w:lvl>
    <w:lvl w:ilvl="6" w:tplc="2F228372">
      <w:start w:val="1"/>
      <w:numFmt w:val="bullet"/>
      <w:lvlText w:val="•"/>
      <w:lvlJc w:val="left"/>
      <w:pPr>
        <w:tabs>
          <w:tab w:val="num" w:pos="5040"/>
        </w:tabs>
        <w:ind w:left="5040" w:hanging="360"/>
      </w:pPr>
      <w:rPr>
        <w:rFonts w:ascii="Arial" w:hAnsi="Arial" w:cs="Times New Roman" w:hint="default"/>
      </w:rPr>
    </w:lvl>
    <w:lvl w:ilvl="7" w:tplc="39E2E36C">
      <w:start w:val="1"/>
      <w:numFmt w:val="bullet"/>
      <w:lvlText w:val="•"/>
      <w:lvlJc w:val="left"/>
      <w:pPr>
        <w:tabs>
          <w:tab w:val="num" w:pos="5760"/>
        </w:tabs>
        <w:ind w:left="5760" w:hanging="360"/>
      </w:pPr>
      <w:rPr>
        <w:rFonts w:ascii="Arial" w:hAnsi="Arial" w:cs="Times New Roman" w:hint="default"/>
      </w:rPr>
    </w:lvl>
    <w:lvl w:ilvl="8" w:tplc="4350DF0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FDD08AA"/>
    <w:multiLevelType w:val="hybridMultilevel"/>
    <w:tmpl w:val="E78EDAA8"/>
    <w:lvl w:ilvl="0" w:tplc="8666808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3"/>
  </w:num>
  <w:num w:numId="4">
    <w:abstractNumId w:val="11"/>
  </w:num>
  <w:num w:numId="5">
    <w:abstractNumId w:val="8"/>
  </w:num>
  <w:num w:numId="6">
    <w:abstractNumId w:val="25"/>
  </w:num>
  <w:num w:numId="7">
    <w:abstractNumId w:val="0"/>
  </w:num>
  <w:num w:numId="8">
    <w:abstractNumId w:val="29"/>
  </w:num>
  <w:num w:numId="9">
    <w:abstractNumId w:val="12"/>
  </w:num>
  <w:num w:numId="10">
    <w:abstractNumId w:val="18"/>
  </w:num>
  <w:num w:numId="11">
    <w:abstractNumId w:val="15"/>
  </w:num>
  <w:num w:numId="12">
    <w:abstractNumId w:val="19"/>
  </w:num>
  <w:num w:numId="13">
    <w:abstractNumId w:val="20"/>
  </w:num>
  <w:num w:numId="14">
    <w:abstractNumId w:val="32"/>
  </w:num>
  <w:num w:numId="15">
    <w:abstractNumId w:val="31"/>
  </w:num>
  <w:num w:numId="16">
    <w:abstractNumId w:val="26"/>
  </w:num>
  <w:num w:numId="17">
    <w:abstractNumId w:val="27"/>
  </w:num>
  <w:num w:numId="18">
    <w:abstractNumId w:val="17"/>
  </w:num>
  <w:num w:numId="19">
    <w:abstractNumId w:val="2"/>
  </w:num>
  <w:num w:numId="20">
    <w:abstractNumId w:val="9"/>
  </w:num>
  <w:num w:numId="21">
    <w:abstractNumId w:val="16"/>
  </w:num>
  <w:num w:numId="22">
    <w:abstractNumId w:val="23"/>
  </w:num>
  <w:num w:numId="23">
    <w:abstractNumId w:val="30"/>
  </w:num>
  <w:num w:numId="24">
    <w:abstractNumId w:val="23"/>
  </w:num>
  <w:num w:numId="25">
    <w:abstractNumId w:val="6"/>
  </w:num>
  <w:num w:numId="26">
    <w:abstractNumId w:val="30"/>
  </w:num>
  <w:num w:numId="27">
    <w:abstractNumId w:val="5"/>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 w:numId="32">
    <w:abstractNumId w:val="10"/>
  </w:num>
  <w:num w:numId="33">
    <w:abstractNumId w:val="22"/>
  </w:num>
  <w:num w:numId="34">
    <w:abstractNumId w:val="33"/>
  </w:num>
  <w:num w:numId="35">
    <w:abstractNumId w:val="7"/>
  </w:num>
  <w:num w:numId="36">
    <w:abstractNumId w:val="4"/>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395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2B6E"/>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4BA3"/>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5FB3"/>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1628"/>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4EFD"/>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列表段落,リスト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본문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243148496">
      <w:bodyDiv w:val="1"/>
      <w:marLeft w:val="0"/>
      <w:marRight w:val="0"/>
      <w:marTop w:val="0"/>
      <w:marBottom w:val="0"/>
      <w:divBdr>
        <w:top w:val="none" w:sz="0" w:space="0" w:color="auto"/>
        <w:left w:val="none" w:sz="0" w:space="0" w:color="auto"/>
        <w:bottom w:val="none" w:sz="0" w:space="0" w:color="auto"/>
        <w:right w:val="none" w:sz="0" w:space="0" w:color="auto"/>
      </w:divBdr>
    </w:div>
    <w:div w:id="285089625">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869997492">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294293402">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613972252">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2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1B09D9-9C02-4A00-BC45-2113DDAF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Pages>
  <Words>692</Words>
  <Characters>3946</Characters>
  <Application>Microsoft Office Word</Application>
  <DocSecurity>0</DocSecurity>
  <Lines>32</Lines>
  <Paragraphs>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김선욱/책임연구원/미래기술센터 C&amp;M표준(연)5G무선통신표준Task(seonwook.kim@lge.com)</cp:lastModifiedBy>
  <cp:revision>3</cp:revision>
  <cp:lastPrinted>2008-01-30T21:09:00Z</cp:lastPrinted>
  <dcterms:created xsi:type="dcterms:W3CDTF">2020-05-26T10:28:00Z</dcterms:created>
  <dcterms:modified xsi:type="dcterms:W3CDTF">2020-05-26T10:28:00Z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