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3"/>
      </w:pPr>
      <w:r>
        <w:t>NR</w:t>
      </w:r>
    </w:p>
    <w:p w14:paraId="617468C8" w14:textId="2CE44CF0" w:rsidR="00715BBB" w:rsidRDefault="00D0423D" w:rsidP="00715BBB">
      <w:pPr>
        <w:pStyle w:val="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F74770" w:rsidP="00F815D8">
      <w:pPr>
        <w:pStyle w:val="af3"/>
        <w:numPr>
          <w:ilvl w:val="0"/>
          <w:numId w:val="39"/>
        </w:numPr>
        <w:rPr>
          <w:lang w:eastAsia="x-none"/>
        </w:rPr>
      </w:pPr>
      <w:hyperlink r:id="rId11" w:history="1">
        <w:r w:rsidR="00F815D8">
          <w:rPr>
            <w:rStyle w:val="af8"/>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62619">
      <w:pPr>
        <w:pStyle w:val="af3"/>
        <w:numPr>
          <w:ilvl w:val="0"/>
          <w:numId w:val="3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62619">
      <w:pPr>
        <w:pStyle w:val="af3"/>
        <w:numPr>
          <w:ilvl w:val="0"/>
          <w:numId w:val="39"/>
        </w:numPr>
      </w:pPr>
      <w:r w:rsidRPr="00E62619">
        <w:t>R1-2004126</w:t>
      </w:r>
      <w:r w:rsidRPr="00E62619">
        <w:tab/>
        <w:t>Discussions on guard symbols in IAB</w:t>
      </w:r>
      <w:r w:rsidRPr="00E62619">
        <w:tab/>
        <w:t>LG Electronics</w:t>
      </w:r>
    </w:p>
    <w:p w14:paraId="7B3FE42B" w14:textId="77777777" w:rsidR="00604330" w:rsidRDefault="00F74770" w:rsidP="00604330">
      <w:pPr>
        <w:pStyle w:val="af3"/>
        <w:numPr>
          <w:ilvl w:val="0"/>
          <w:numId w:val="39"/>
        </w:numPr>
        <w:rPr>
          <w:lang w:eastAsia="x-none"/>
        </w:rPr>
      </w:pPr>
      <w:hyperlink r:id="rId12" w:history="1">
        <w:r w:rsidR="00604330">
          <w:rPr>
            <w:rStyle w:val="af8"/>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F74770" w:rsidP="00604330">
      <w:pPr>
        <w:pStyle w:val="af3"/>
        <w:numPr>
          <w:ilvl w:val="0"/>
          <w:numId w:val="39"/>
        </w:numPr>
        <w:rPr>
          <w:lang w:eastAsia="x-none"/>
        </w:rPr>
      </w:pPr>
      <w:hyperlink r:id="rId13" w:history="1">
        <w:r w:rsidR="00604330">
          <w:rPr>
            <w:rStyle w:val="af8"/>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af3"/>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07F79EA1"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bl>
    <w:p w14:paraId="2CD2F867" w14:textId="2F246E44" w:rsidR="002A316C" w:rsidRDefault="002A316C" w:rsidP="002A316C"/>
    <w:p w14:paraId="56DE3C69" w14:textId="5AF0004C" w:rsidR="00122940" w:rsidRDefault="00122940" w:rsidP="00122940">
      <w:pPr>
        <w:pStyle w:val="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F74770" w:rsidP="00122940">
      <w:pPr>
        <w:pStyle w:val="af3"/>
        <w:numPr>
          <w:ilvl w:val="0"/>
          <w:numId w:val="50"/>
        </w:numPr>
        <w:rPr>
          <w:lang w:eastAsia="x-none"/>
        </w:rPr>
      </w:pPr>
      <w:hyperlink r:id="rId14" w:history="1">
        <w:r w:rsidR="00122940" w:rsidRPr="008A0274">
          <w:rPr>
            <w:rStyle w:val="af8"/>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F74770" w:rsidP="00122940">
      <w:pPr>
        <w:pStyle w:val="af3"/>
        <w:numPr>
          <w:ilvl w:val="0"/>
          <w:numId w:val="50"/>
        </w:numPr>
        <w:rPr>
          <w:lang w:eastAsia="x-none"/>
        </w:rPr>
      </w:pPr>
      <w:hyperlink r:id="rId15" w:history="1">
        <w:r w:rsidR="00122940" w:rsidRPr="008A0274">
          <w:rPr>
            <w:rStyle w:val="af8"/>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F74770" w:rsidP="00122940">
      <w:pPr>
        <w:pStyle w:val="af3"/>
        <w:numPr>
          <w:ilvl w:val="0"/>
          <w:numId w:val="50"/>
        </w:numPr>
        <w:rPr>
          <w:lang w:eastAsia="x-none"/>
        </w:rPr>
      </w:pPr>
      <w:hyperlink r:id="rId16" w:history="1">
        <w:r w:rsidR="00122940" w:rsidRPr="008A0274">
          <w:rPr>
            <w:rStyle w:val="af8"/>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af3"/>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af3"/>
        <w:numPr>
          <w:ilvl w:val="0"/>
          <w:numId w:val="6"/>
        </w:numPr>
        <w:rPr>
          <w:lang w:val="en-GB"/>
        </w:rPr>
      </w:pPr>
      <w:r>
        <w:rPr>
          <w:lang w:val="en-GB"/>
        </w:rPr>
        <w:t>There are specific actions to RAN1</w:t>
      </w:r>
    </w:p>
    <w:p w14:paraId="7967E5DE" w14:textId="77777777" w:rsidR="00122940" w:rsidRDefault="00122940" w:rsidP="00122940">
      <w:pPr>
        <w:pStyle w:val="af3"/>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a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B96F76">
      <w:pPr>
        <w:pStyle w:val="af3"/>
        <w:numPr>
          <w:ilvl w:val="0"/>
          <w:numId w:val="21"/>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af3"/>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7.2.4</w:t>
      </w:r>
      <w:proofErr w:type="gramStart"/>
      <w:r w:rsidR="004E5BC6">
        <w:rPr>
          <w:lang w:val="en-GB"/>
        </w:rPr>
        <w:t>..</w:t>
      </w:r>
      <w:proofErr w:type="gramEnd"/>
    </w:p>
    <w:p w14:paraId="67B8A647" w14:textId="77777777" w:rsidR="003F36EF" w:rsidRPr="003F36EF" w:rsidRDefault="003F36EF" w:rsidP="003F36EF">
      <w:pPr>
        <w:ind w:left="360"/>
        <w:rPr>
          <w:lang w:val="en-GB"/>
        </w:rPr>
      </w:pPr>
    </w:p>
    <w:tbl>
      <w:tblPr>
        <w:tblStyle w:val="a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lastRenderedPageBreak/>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bl>
    <w:p w14:paraId="51148C0F" w14:textId="47AE9F12" w:rsidR="00583A3B" w:rsidRDefault="00583A3B" w:rsidP="002A316C">
      <w:pPr>
        <w:rPr>
          <w:lang w:val="en-GB"/>
        </w:rPr>
      </w:pPr>
    </w:p>
    <w:p w14:paraId="10D0C764" w14:textId="4577B429" w:rsidR="00796C6C" w:rsidRDefault="00BD0609" w:rsidP="00796C6C">
      <w:pPr>
        <w:pStyle w:val="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F74770" w:rsidP="00FD0E0D">
      <w:pPr>
        <w:pStyle w:val="af3"/>
        <w:numPr>
          <w:ilvl w:val="0"/>
          <w:numId w:val="21"/>
        </w:numPr>
        <w:rPr>
          <w:lang w:eastAsia="x-none"/>
        </w:rPr>
      </w:pPr>
      <w:hyperlink r:id="rId17" w:history="1">
        <w:r w:rsidR="00FD0E0D">
          <w:rPr>
            <w:rStyle w:val="af8"/>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F74770" w:rsidP="00350DDC">
      <w:pPr>
        <w:pStyle w:val="af3"/>
        <w:numPr>
          <w:ilvl w:val="0"/>
          <w:numId w:val="21"/>
        </w:numPr>
      </w:pPr>
      <w:hyperlink r:id="rId18" w:history="1">
        <w:r w:rsidR="00350DDC" w:rsidRPr="00350DDC">
          <w:rPr>
            <w:rStyle w:val="af8"/>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F74770" w:rsidP="00350DDC">
      <w:pPr>
        <w:pStyle w:val="af3"/>
        <w:numPr>
          <w:ilvl w:val="0"/>
          <w:numId w:val="21"/>
        </w:numPr>
      </w:pPr>
      <w:hyperlink r:id="rId19" w:history="1">
        <w:r w:rsidR="00350DDC" w:rsidRPr="00350DDC">
          <w:rPr>
            <w:rStyle w:val="af8"/>
          </w:rPr>
          <w:t>R1-2004067</w:t>
        </w:r>
      </w:hyperlink>
      <w:r w:rsidR="00350DDC" w:rsidRPr="00350DDC">
        <w:tab/>
        <w:t>Discussion on NR sidelink cast type indication</w:t>
      </w:r>
      <w:r w:rsidR="00350DDC" w:rsidRPr="00350DDC">
        <w:tab/>
        <w:t>OPPO</w:t>
      </w:r>
    </w:p>
    <w:p w14:paraId="5474EE8F" w14:textId="77777777" w:rsidR="00A90749" w:rsidRDefault="00F74770" w:rsidP="00A90749">
      <w:pPr>
        <w:pStyle w:val="af3"/>
        <w:numPr>
          <w:ilvl w:val="0"/>
          <w:numId w:val="21"/>
        </w:numPr>
        <w:rPr>
          <w:lang w:eastAsia="x-none"/>
        </w:rPr>
      </w:pPr>
      <w:hyperlink r:id="rId20" w:history="1">
        <w:r w:rsidR="00A90749">
          <w:rPr>
            <w:rStyle w:val="af8"/>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af3"/>
        <w:numPr>
          <w:ilvl w:val="0"/>
          <w:numId w:val="6"/>
        </w:numPr>
        <w:rPr>
          <w:lang w:val="en-GB"/>
        </w:rPr>
      </w:pPr>
      <w:r>
        <w:rPr>
          <w:lang w:val="en-GB"/>
        </w:rPr>
        <w:t>There are specific actions to RAN1</w:t>
      </w:r>
    </w:p>
    <w:p w14:paraId="5DEE035C" w14:textId="195B9553" w:rsidR="009C7020" w:rsidRDefault="009C7020" w:rsidP="009C7020">
      <w:pPr>
        <w:pStyle w:val="af3"/>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1F82B6F" w14:textId="42775CFB" w:rsidR="00F22E05" w:rsidRDefault="00F22E05" w:rsidP="00F22E05">
            <w:pPr>
              <w:rPr>
                <w:lang w:val="en-GB" w:eastAsia="zh-CN"/>
              </w:rPr>
            </w:pPr>
            <w:r>
              <w:rPr>
                <w:lang w:val="en-GB"/>
              </w:rPr>
              <w:t>Nokia</w:t>
            </w: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bl>
    <w:p w14:paraId="04002EFC" w14:textId="541947C0" w:rsidR="00695025" w:rsidRDefault="00695025" w:rsidP="00695025"/>
    <w:p w14:paraId="54D1A9FA" w14:textId="7B3AA593" w:rsidR="00053DDE" w:rsidRDefault="00053DDE" w:rsidP="00053DDE">
      <w:pPr>
        <w:pStyle w:val="4"/>
      </w:pPr>
      <w:r w:rsidRPr="00053DDE">
        <w:lastRenderedPageBreak/>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F74770" w:rsidP="00053DDE">
      <w:pPr>
        <w:pStyle w:val="af3"/>
        <w:numPr>
          <w:ilvl w:val="0"/>
          <w:numId w:val="41"/>
        </w:numPr>
        <w:rPr>
          <w:lang w:eastAsia="x-none"/>
        </w:rPr>
      </w:pPr>
      <w:hyperlink r:id="rId21" w:history="1">
        <w:r w:rsidR="00053DDE">
          <w:rPr>
            <w:rStyle w:val="af8"/>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F74770" w:rsidP="00053DDE">
      <w:pPr>
        <w:pStyle w:val="af3"/>
        <w:numPr>
          <w:ilvl w:val="0"/>
          <w:numId w:val="41"/>
        </w:numPr>
        <w:rPr>
          <w:lang w:eastAsia="x-none"/>
        </w:rPr>
      </w:pPr>
      <w:hyperlink r:id="rId22" w:history="1">
        <w:r w:rsidR="00053DDE">
          <w:rPr>
            <w:rStyle w:val="af8"/>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F74770" w:rsidP="00053DDE">
      <w:pPr>
        <w:pStyle w:val="af3"/>
        <w:numPr>
          <w:ilvl w:val="0"/>
          <w:numId w:val="41"/>
        </w:numPr>
        <w:rPr>
          <w:lang w:eastAsia="x-none"/>
        </w:rPr>
      </w:pPr>
      <w:hyperlink r:id="rId23" w:history="1">
        <w:r w:rsidR="00053DDE">
          <w:rPr>
            <w:rStyle w:val="af8"/>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F74770" w:rsidP="00053DDE">
      <w:pPr>
        <w:pStyle w:val="af3"/>
        <w:numPr>
          <w:ilvl w:val="0"/>
          <w:numId w:val="41"/>
        </w:numPr>
        <w:rPr>
          <w:lang w:eastAsia="x-none"/>
        </w:rPr>
      </w:pPr>
      <w:hyperlink r:id="rId24" w:history="1">
        <w:r w:rsidR="00053DDE">
          <w:rPr>
            <w:rStyle w:val="af8"/>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af3"/>
        <w:numPr>
          <w:ilvl w:val="0"/>
          <w:numId w:val="6"/>
        </w:numPr>
        <w:rPr>
          <w:lang w:val="en-GB"/>
        </w:rPr>
      </w:pPr>
      <w:r>
        <w:rPr>
          <w:lang w:val="en-GB"/>
        </w:rPr>
        <w:t>There are specific actions to RAN1</w:t>
      </w:r>
    </w:p>
    <w:p w14:paraId="154188E1" w14:textId="635E183F" w:rsidR="00053DDE" w:rsidRDefault="00053DDE" w:rsidP="00053DDE">
      <w:pPr>
        <w:pStyle w:val="af3"/>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af3"/>
        <w:rPr>
          <w:lang w:val="en-GB"/>
        </w:rPr>
      </w:pPr>
    </w:p>
    <w:tbl>
      <w:tblPr>
        <w:tblStyle w:val="a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eply LS is necessary</w:t>
            </w:r>
            <w:r>
              <w:rPr>
                <w:rFonts w:hint="eastAsia"/>
                <w:lang w:val="en-GB" w:eastAsia="zh-CN"/>
              </w:rPr>
              <w:t xml:space="preserve">, and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bl>
    <w:p w14:paraId="6155DC60" w14:textId="77777777" w:rsidR="00053DDE" w:rsidRPr="00EE1F8E" w:rsidRDefault="00053DDE" w:rsidP="00053DDE"/>
    <w:p w14:paraId="6F6191C5" w14:textId="67A7A8F4" w:rsidR="004E5BC6" w:rsidRDefault="004E5BC6" w:rsidP="004E5BC6">
      <w:pPr>
        <w:pStyle w:val="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F74770" w:rsidP="004E5BC6">
      <w:pPr>
        <w:pStyle w:val="af3"/>
        <w:numPr>
          <w:ilvl w:val="0"/>
          <w:numId w:val="42"/>
        </w:numPr>
        <w:rPr>
          <w:lang w:eastAsia="x-none"/>
        </w:rPr>
      </w:pPr>
      <w:hyperlink r:id="rId25" w:history="1">
        <w:r w:rsidR="004E5BC6">
          <w:rPr>
            <w:rStyle w:val="af8"/>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af3"/>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a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lastRenderedPageBreak/>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F74770" w:rsidP="00A42AC5">
      <w:pPr>
        <w:pStyle w:val="af3"/>
        <w:numPr>
          <w:ilvl w:val="0"/>
          <w:numId w:val="40"/>
        </w:numPr>
        <w:rPr>
          <w:lang w:eastAsia="x-none"/>
        </w:rPr>
      </w:pPr>
      <w:hyperlink r:id="rId26" w:history="1">
        <w:r w:rsidR="00A42AC5">
          <w:rPr>
            <w:rStyle w:val="af8"/>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F74770" w:rsidP="00A42AC5">
      <w:pPr>
        <w:pStyle w:val="af3"/>
        <w:numPr>
          <w:ilvl w:val="0"/>
          <w:numId w:val="40"/>
        </w:numPr>
        <w:rPr>
          <w:lang w:eastAsia="x-none"/>
        </w:rPr>
      </w:pPr>
      <w:hyperlink r:id="rId27" w:history="1">
        <w:r w:rsidR="00A42AC5">
          <w:rPr>
            <w:rStyle w:val="af8"/>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af3"/>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 xml:space="preserve">Huawei, </w:t>
            </w:r>
            <w:proofErr w:type="spellStart"/>
            <w:r>
              <w:rPr>
                <w:lang w:val="en-GB"/>
              </w:rPr>
              <w:t>HiSilicon</w:t>
            </w:r>
            <w:proofErr w:type="spellEnd"/>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bl>
    <w:p w14:paraId="22D34587" w14:textId="502AB58A" w:rsidR="00EE1F8E" w:rsidRDefault="00EE1F8E" w:rsidP="00EE1F8E"/>
    <w:p w14:paraId="27D1A1C3" w14:textId="24451A77" w:rsidR="00935B3C" w:rsidRDefault="00935B3C" w:rsidP="00935B3C">
      <w:pPr>
        <w:pStyle w:val="4"/>
      </w:pPr>
      <w:r w:rsidRPr="00935B3C">
        <w:lastRenderedPageBreak/>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F74770" w:rsidP="00935B3C">
      <w:pPr>
        <w:pStyle w:val="af3"/>
        <w:numPr>
          <w:ilvl w:val="0"/>
          <w:numId w:val="46"/>
        </w:numPr>
        <w:rPr>
          <w:lang w:eastAsia="x-none"/>
        </w:rPr>
      </w:pPr>
      <w:hyperlink r:id="rId28" w:history="1">
        <w:r w:rsidR="00935B3C">
          <w:rPr>
            <w:rStyle w:val="af8"/>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F74770" w:rsidP="00935B3C">
      <w:pPr>
        <w:pStyle w:val="af3"/>
        <w:numPr>
          <w:ilvl w:val="0"/>
          <w:numId w:val="46"/>
        </w:numPr>
        <w:rPr>
          <w:lang w:eastAsia="x-none"/>
        </w:rPr>
      </w:pPr>
      <w:hyperlink r:id="rId29" w:history="1">
        <w:r w:rsidR="00935B3C">
          <w:rPr>
            <w:rStyle w:val="af8"/>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F74770" w:rsidP="00935B3C">
      <w:pPr>
        <w:pStyle w:val="af3"/>
        <w:numPr>
          <w:ilvl w:val="0"/>
          <w:numId w:val="46"/>
        </w:numPr>
        <w:rPr>
          <w:lang w:eastAsia="x-none"/>
        </w:rPr>
      </w:pPr>
      <w:hyperlink r:id="rId30" w:history="1">
        <w:r w:rsidR="00935B3C">
          <w:rPr>
            <w:rStyle w:val="af8"/>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af3"/>
        <w:numPr>
          <w:ilvl w:val="0"/>
          <w:numId w:val="6"/>
        </w:numPr>
        <w:rPr>
          <w:lang w:val="en-GB"/>
        </w:rPr>
      </w:pPr>
      <w:r>
        <w:rPr>
          <w:lang w:val="en-GB"/>
        </w:rPr>
        <w:t>Noted. Email discussion/approval by 5/28. To be managed under 7.2.2.</w:t>
      </w:r>
    </w:p>
    <w:p w14:paraId="352234ED" w14:textId="77777777" w:rsidR="00935B3C" w:rsidRDefault="00935B3C" w:rsidP="00935B3C">
      <w:pPr>
        <w:pStyle w:val="af3"/>
        <w:rPr>
          <w:lang w:val="en-GB"/>
        </w:rPr>
      </w:pPr>
    </w:p>
    <w:tbl>
      <w:tblPr>
        <w:tblStyle w:val="a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rFonts w:hint="eastAsia"/>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r>
              <w:rPr>
                <w:lang w:val="en-GB"/>
              </w:rPr>
              <w:t>However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bl>
    <w:p w14:paraId="2D6B2434" w14:textId="39FEBE95" w:rsidR="00935B3C" w:rsidRDefault="00935B3C" w:rsidP="00935B3C"/>
    <w:p w14:paraId="097B2A9A" w14:textId="3BF3DAE8" w:rsidR="00E5792C" w:rsidRDefault="00E5792C" w:rsidP="00E5792C">
      <w:pPr>
        <w:pStyle w:val="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F74770" w:rsidP="00E5792C">
      <w:pPr>
        <w:pStyle w:val="af3"/>
        <w:numPr>
          <w:ilvl w:val="0"/>
          <w:numId w:val="47"/>
        </w:numPr>
        <w:rPr>
          <w:lang w:eastAsia="x-none"/>
        </w:rPr>
      </w:pPr>
      <w:hyperlink r:id="rId31" w:history="1">
        <w:r w:rsidR="00E5792C">
          <w:rPr>
            <w:rStyle w:val="af8"/>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F74770" w:rsidP="00E5792C">
      <w:pPr>
        <w:pStyle w:val="af3"/>
        <w:numPr>
          <w:ilvl w:val="0"/>
          <w:numId w:val="47"/>
        </w:numPr>
        <w:rPr>
          <w:lang w:eastAsia="x-none"/>
        </w:rPr>
      </w:pPr>
      <w:hyperlink r:id="rId32" w:history="1">
        <w:r w:rsidR="00E5792C">
          <w:rPr>
            <w:rStyle w:val="af8"/>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F74770" w:rsidP="00E5792C">
      <w:pPr>
        <w:pStyle w:val="af3"/>
        <w:numPr>
          <w:ilvl w:val="0"/>
          <w:numId w:val="47"/>
        </w:numPr>
        <w:rPr>
          <w:lang w:eastAsia="x-none"/>
        </w:rPr>
      </w:pPr>
      <w:hyperlink r:id="rId33" w:history="1">
        <w:r w:rsidR="00E5792C">
          <w:rPr>
            <w:rStyle w:val="af8"/>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F74770" w:rsidP="00E5792C">
      <w:pPr>
        <w:pStyle w:val="af3"/>
        <w:numPr>
          <w:ilvl w:val="0"/>
          <w:numId w:val="47"/>
        </w:numPr>
        <w:rPr>
          <w:lang w:eastAsia="x-none"/>
        </w:rPr>
      </w:pPr>
      <w:hyperlink r:id="rId34" w:history="1">
        <w:r w:rsidR="00E5792C">
          <w:rPr>
            <w:rStyle w:val="af8"/>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F74770" w:rsidP="00E5792C">
      <w:pPr>
        <w:pStyle w:val="af3"/>
        <w:numPr>
          <w:ilvl w:val="0"/>
          <w:numId w:val="47"/>
        </w:numPr>
        <w:rPr>
          <w:lang w:eastAsia="x-none"/>
        </w:rPr>
      </w:pPr>
      <w:hyperlink r:id="rId35" w:history="1">
        <w:r w:rsidR="00E5792C">
          <w:rPr>
            <w:rStyle w:val="af8"/>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F74770" w:rsidP="00E5792C">
      <w:pPr>
        <w:pStyle w:val="af3"/>
        <w:numPr>
          <w:ilvl w:val="0"/>
          <w:numId w:val="47"/>
        </w:numPr>
        <w:rPr>
          <w:lang w:eastAsia="x-none"/>
        </w:rPr>
      </w:pPr>
      <w:hyperlink r:id="rId36" w:history="1">
        <w:r w:rsidR="00E5792C">
          <w:rPr>
            <w:rStyle w:val="af8"/>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af3"/>
        <w:numPr>
          <w:ilvl w:val="0"/>
          <w:numId w:val="6"/>
        </w:numPr>
        <w:rPr>
          <w:lang w:val="en-GB"/>
        </w:rPr>
      </w:pPr>
      <w:r>
        <w:rPr>
          <w:lang w:val="en-GB"/>
        </w:rPr>
        <w:t>Noted. Email discussion/approval by 5/28. To be managed under 7.2.2.</w:t>
      </w:r>
    </w:p>
    <w:p w14:paraId="5D63238F" w14:textId="77777777" w:rsidR="00E5792C" w:rsidRDefault="00E5792C" w:rsidP="00E5792C">
      <w:pPr>
        <w:pStyle w:val="af3"/>
        <w:rPr>
          <w:lang w:val="en-GB"/>
        </w:rPr>
      </w:pPr>
    </w:p>
    <w:tbl>
      <w:tblPr>
        <w:tblStyle w:val="a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rFonts w:hint="eastAsia"/>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bl>
    <w:p w14:paraId="5FB2ABBC" w14:textId="77777777" w:rsidR="00E5792C" w:rsidRDefault="00E5792C" w:rsidP="00E5792C"/>
    <w:p w14:paraId="1F47E105" w14:textId="3B72B5DE" w:rsidR="009742A5" w:rsidRDefault="009742A5" w:rsidP="009742A5">
      <w:pPr>
        <w:pStyle w:val="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F74770" w:rsidP="009742A5">
      <w:pPr>
        <w:pStyle w:val="af3"/>
        <w:numPr>
          <w:ilvl w:val="0"/>
          <w:numId w:val="44"/>
        </w:numPr>
        <w:rPr>
          <w:lang w:eastAsia="x-none"/>
        </w:rPr>
      </w:pPr>
      <w:hyperlink r:id="rId37" w:history="1">
        <w:r w:rsidR="009742A5">
          <w:rPr>
            <w:rStyle w:val="af8"/>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F74770" w:rsidP="009742A5">
      <w:pPr>
        <w:pStyle w:val="af3"/>
        <w:numPr>
          <w:ilvl w:val="0"/>
          <w:numId w:val="44"/>
        </w:numPr>
        <w:rPr>
          <w:lang w:eastAsia="x-none"/>
        </w:rPr>
      </w:pPr>
      <w:hyperlink r:id="rId38" w:history="1">
        <w:r w:rsidR="009742A5">
          <w:rPr>
            <w:rStyle w:val="af8"/>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F74770" w:rsidP="009742A5">
      <w:pPr>
        <w:pStyle w:val="af3"/>
        <w:numPr>
          <w:ilvl w:val="0"/>
          <w:numId w:val="44"/>
        </w:numPr>
        <w:rPr>
          <w:lang w:eastAsia="x-none"/>
        </w:rPr>
      </w:pPr>
      <w:hyperlink r:id="rId39" w:history="1">
        <w:r w:rsidR="009742A5">
          <w:rPr>
            <w:rStyle w:val="af8"/>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F74770" w:rsidP="009742A5">
      <w:pPr>
        <w:pStyle w:val="af3"/>
        <w:numPr>
          <w:ilvl w:val="0"/>
          <w:numId w:val="44"/>
        </w:numPr>
        <w:rPr>
          <w:lang w:eastAsia="x-none"/>
        </w:rPr>
      </w:pPr>
      <w:hyperlink r:id="rId40" w:history="1">
        <w:r w:rsidR="009742A5">
          <w:rPr>
            <w:rStyle w:val="af8"/>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F74770" w:rsidP="009742A5">
      <w:pPr>
        <w:pStyle w:val="af3"/>
        <w:numPr>
          <w:ilvl w:val="0"/>
          <w:numId w:val="44"/>
        </w:numPr>
        <w:rPr>
          <w:lang w:eastAsia="x-none"/>
        </w:rPr>
      </w:pPr>
      <w:hyperlink r:id="rId41" w:history="1">
        <w:r w:rsidR="009742A5">
          <w:rPr>
            <w:rStyle w:val="af8"/>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F74770" w:rsidP="009742A5">
      <w:pPr>
        <w:pStyle w:val="af3"/>
        <w:numPr>
          <w:ilvl w:val="0"/>
          <w:numId w:val="44"/>
        </w:numPr>
        <w:rPr>
          <w:lang w:eastAsia="x-none"/>
        </w:rPr>
      </w:pPr>
      <w:hyperlink r:id="rId42" w:history="1">
        <w:r w:rsidR="009742A5">
          <w:rPr>
            <w:rStyle w:val="af8"/>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F74770" w:rsidP="009742A5">
      <w:pPr>
        <w:pStyle w:val="af3"/>
        <w:numPr>
          <w:ilvl w:val="0"/>
          <w:numId w:val="44"/>
        </w:numPr>
        <w:rPr>
          <w:lang w:eastAsia="x-none"/>
        </w:rPr>
      </w:pPr>
      <w:hyperlink r:id="rId43" w:history="1">
        <w:r w:rsidR="009742A5">
          <w:rPr>
            <w:rStyle w:val="af8"/>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F74770" w:rsidP="009742A5">
      <w:pPr>
        <w:pStyle w:val="af3"/>
        <w:numPr>
          <w:ilvl w:val="0"/>
          <w:numId w:val="44"/>
        </w:numPr>
        <w:rPr>
          <w:lang w:eastAsia="x-none"/>
        </w:rPr>
      </w:pPr>
      <w:hyperlink r:id="rId44" w:history="1">
        <w:r w:rsidR="009742A5">
          <w:rPr>
            <w:rStyle w:val="af8"/>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F74770" w:rsidP="009742A5">
      <w:pPr>
        <w:pStyle w:val="af3"/>
        <w:numPr>
          <w:ilvl w:val="0"/>
          <w:numId w:val="44"/>
        </w:numPr>
        <w:rPr>
          <w:lang w:eastAsia="x-none"/>
        </w:rPr>
      </w:pPr>
      <w:hyperlink r:id="rId45" w:history="1">
        <w:r w:rsidR="009742A5">
          <w:rPr>
            <w:rStyle w:val="af8"/>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af3"/>
        <w:numPr>
          <w:ilvl w:val="0"/>
          <w:numId w:val="6"/>
        </w:numPr>
        <w:rPr>
          <w:lang w:val="en-GB"/>
        </w:rPr>
      </w:pPr>
      <w:r>
        <w:rPr>
          <w:lang w:val="en-GB"/>
        </w:rPr>
        <w:t>There are specific actions to RAN1</w:t>
      </w:r>
    </w:p>
    <w:p w14:paraId="6BB6283A" w14:textId="334C6A04" w:rsidR="009742A5" w:rsidRDefault="009742A5" w:rsidP="009742A5">
      <w:pPr>
        <w:pStyle w:val="af3"/>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af3"/>
        <w:rPr>
          <w:lang w:val="en-GB"/>
        </w:rPr>
      </w:pPr>
    </w:p>
    <w:tbl>
      <w:tblPr>
        <w:tblStyle w:val="a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bl>
    <w:p w14:paraId="536797D7" w14:textId="77777777" w:rsidR="009742A5" w:rsidRPr="00EE1F8E" w:rsidRDefault="009742A5" w:rsidP="009742A5"/>
    <w:p w14:paraId="2BEDEA21" w14:textId="0B601FB0" w:rsidR="006404B5" w:rsidRDefault="006404B5" w:rsidP="006404B5">
      <w:pPr>
        <w:pStyle w:val="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F74770" w:rsidP="006404B5">
      <w:pPr>
        <w:pStyle w:val="af3"/>
        <w:numPr>
          <w:ilvl w:val="0"/>
          <w:numId w:val="45"/>
        </w:numPr>
        <w:rPr>
          <w:lang w:eastAsia="x-none"/>
        </w:rPr>
      </w:pPr>
      <w:hyperlink r:id="rId46" w:history="1">
        <w:r w:rsidR="006404B5">
          <w:rPr>
            <w:rStyle w:val="af8"/>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F74770" w:rsidP="006404B5">
      <w:pPr>
        <w:pStyle w:val="af3"/>
        <w:numPr>
          <w:ilvl w:val="0"/>
          <w:numId w:val="45"/>
        </w:numPr>
        <w:rPr>
          <w:lang w:eastAsia="x-none"/>
        </w:rPr>
      </w:pPr>
      <w:hyperlink r:id="rId47" w:history="1">
        <w:r w:rsidR="006404B5">
          <w:rPr>
            <w:rStyle w:val="af8"/>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F74770" w:rsidP="006404B5">
      <w:pPr>
        <w:pStyle w:val="af3"/>
        <w:numPr>
          <w:ilvl w:val="0"/>
          <w:numId w:val="45"/>
        </w:numPr>
        <w:rPr>
          <w:lang w:eastAsia="x-none"/>
        </w:rPr>
      </w:pPr>
      <w:hyperlink r:id="rId48" w:history="1">
        <w:r w:rsidR="006404B5">
          <w:rPr>
            <w:rStyle w:val="af8"/>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F74770" w:rsidP="006404B5">
      <w:pPr>
        <w:pStyle w:val="af3"/>
        <w:numPr>
          <w:ilvl w:val="0"/>
          <w:numId w:val="45"/>
        </w:numPr>
        <w:rPr>
          <w:lang w:eastAsia="x-none"/>
        </w:rPr>
      </w:pPr>
      <w:hyperlink r:id="rId49" w:history="1">
        <w:r w:rsidR="006404B5">
          <w:rPr>
            <w:rStyle w:val="af8"/>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F74770" w:rsidP="006404B5">
      <w:pPr>
        <w:pStyle w:val="af3"/>
        <w:numPr>
          <w:ilvl w:val="0"/>
          <w:numId w:val="45"/>
        </w:numPr>
        <w:rPr>
          <w:lang w:eastAsia="x-none"/>
        </w:rPr>
      </w:pPr>
      <w:hyperlink r:id="rId50" w:history="1">
        <w:r w:rsidR="006404B5">
          <w:rPr>
            <w:rStyle w:val="af8"/>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F74770" w:rsidP="006404B5">
      <w:pPr>
        <w:pStyle w:val="af3"/>
        <w:numPr>
          <w:ilvl w:val="0"/>
          <w:numId w:val="45"/>
        </w:numPr>
        <w:rPr>
          <w:lang w:eastAsia="x-none"/>
        </w:rPr>
      </w:pPr>
      <w:hyperlink r:id="rId51" w:history="1">
        <w:r w:rsidR="006404B5">
          <w:rPr>
            <w:rStyle w:val="af8"/>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F74770" w:rsidP="006404B5">
      <w:pPr>
        <w:pStyle w:val="af3"/>
        <w:numPr>
          <w:ilvl w:val="0"/>
          <w:numId w:val="45"/>
        </w:numPr>
        <w:rPr>
          <w:lang w:eastAsia="x-none"/>
        </w:rPr>
      </w:pPr>
      <w:hyperlink r:id="rId52" w:history="1">
        <w:r w:rsidR="006404B5">
          <w:rPr>
            <w:rStyle w:val="af8"/>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F74770" w:rsidP="006404B5">
      <w:pPr>
        <w:pStyle w:val="af3"/>
        <w:numPr>
          <w:ilvl w:val="0"/>
          <w:numId w:val="45"/>
        </w:numPr>
        <w:rPr>
          <w:lang w:eastAsia="x-none"/>
        </w:rPr>
      </w:pPr>
      <w:hyperlink r:id="rId53" w:history="1">
        <w:r w:rsidR="006404B5">
          <w:rPr>
            <w:rStyle w:val="af8"/>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af3"/>
        <w:numPr>
          <w:ilvl w:val="0"/>
          <w:numId w:val="6"/>
        </w:numPr>
        <w:rPr>
          <w:lang w:val="en-GB"/>
        </w:rPr>
      </w:pPr>
      <w:r>
        <w:rPr>
          <w:lang w:val="en-GB"/>
        </w:rPr>
        <w:t>There are specific actions to RAN1</w:t>
      </w:r>
    </w:p>
    <w:p w14:paraId="37C6ECB3" w14:textId="15F6FEAC" w:rsidR="006404B5" w:rsidRDefault="006404B5" w:rsidP="006404B5">
      <w:pPr>
        <w:pStyle w:val="af3"/>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af3"/>
        <w:rPr>
          <w:lang w:val="en-GB"/>
        </w:rPr>
      </w:pPr>
    </w:p>
    <w:tbl>
      <w:tblPr>
        <w:tblStyle w:val="a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lastRenderedPageBreak/>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proofErr w:type="spellStart"/>
            <w:r w:rsidRPr="00190C27">
              <w:rPr>
                <w:rFonts w:eastAsia="MS Mincho"/>
                <w:i/>
                <w:szCs w:val="24"/>
              </w:rPr>
              <w:t>ra-SearchSpace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rFonts w:hint="eastAsia"/>
                <w:szCs w:val="24"/>
                <w:lang w:eastAsia="zh-CN"/>
              </w:rPr>
            </w:pPr>
            <w:r>
              <w:rPr>
                <w:rFonts w:hint="eastAsia"/>
                <w:lang w:eastAsia="zh-CN"/>
              </w:rPr>
              <w:t>Agree with the initial assessment.</w:t>
            </w:r>
          </w:p>
        </w:tc>
      </w:tr>
    </w:tbl>
    <w:p w14:paraId="00A22A09" w14:textId="37B25723" w:rsidR="009742A5" w:rsidRDefault="009742A5" w:rsidP="00EE1F8E"/>
    <w:p w14:paraId="2E6B1C92" w14:textId="09E66432" w:rsidR="001F5A18" w:rsidRDefault="001F5A18" w:rsidP="001F5A18">
      <w:pPr>
        <w:pStyle w:val="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1F5A18">
      <w:pPr>
        <w:pStyle w:val="af3"/>
        <w:numPr>
          <w:ilvl w:val="0"/>
          <w:numId w:val="4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af3"/>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af3"/>
        <w:rPr>
          <w:lang w:val="en-GB"/>
        </w:rPr>
      </w:pPr>
    </w:p>
    <w:tbl>
      <w:tblPr>
        <w:tblStyle w:val="a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bookmarkStart w:id="2" w:name="_GoBack"/>
            <w:bookmarkEnd w:id="2"/>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bl>
    <w:p w14:paraId="53698072" w14:textId="77777777" w:rsidR="001D53ED" w:rsidRPr="001D53ED" w:rsidRDefault="001D53ED" w:rsidP="001D53ED"/>
    <w:p w14:paraId="4782F8D3" w14:textId="4B8BF602" w:rsidR="003D1295" w:rsidRDefault="003D1295" w:rsidP="003D1295">
      <w:pPr>
        <w:pStyle w:val="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3D1295">
      <w:pPr>
        <w:pStyle w:val="af3"/>
        <w:numPr>
          <w:ilvl w:val="0"/>
          <w:numId w:val="4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af3"/>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af3"/>
        <w:rPr>
          <w:lang w:val="en-GB"/>
        </w:rPr>
      </w:pPr>
    </w:p>
    <w:tbl>
      <w:tblPr>
        <w:tblStyle w:val="a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lastRenderedPageBreak/>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bl>
    <w:p w14:paraId="6E0E1AC4" w14:textId="77777777" w:rsidR="003D1295" w:rsidRDefault="003D1295" w:rsidP="003D1295"/>
    <w:p w14:paraId="10D9CD75" w14:textId="06B89699" w:rsidR="00EA3ED4" w:rsidRDefault="00EA3ED4" w:rsidP="00EA3ED4">
      <w:pPr>
        <w:pStyle w:val="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F74770" w:rsidP="00414886">
      <w:pPr>
        <w:pStyle w:val="af3"/>
        <w:numPr>
          <w:ilvl w:val="0"/>
          <w:numId w:val="43"/>
        </w:numPr>
        <w:rPr>
          <w:lang w:eastAsia="x-none"/>
        </w:rPr>
      </w:pPr>
      <w:hyperlink r:id="rId54" w:history="1">
        <w:r w:rsidR="00414886">
          <w:rPr>
            <w:rStyle w:val="af8"/>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af3"/>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af3"/>
        <w:rPr>
          <w:lang w:val="en-GB"/>
        </w:rPr>
      </w:pPr>
    </w:p>
    <w:tbl>
      <w:tblPr>
        <w:tblStyle w:val="a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F74770" w:rsidP="00180CE6">
      <w:pPr>
        <w:pStyle w:val="af3"/>
        <w:numPr>
          <w:ilvl w:val="0"/>
          <w:numId w:val="43"/>
        </w:numPr>
        <w:rPr>
          <w:lang w:eastAsia="x-none"/>
        </w:rPr>
      </w:pPr>
      <w:hyperlink r:id="rId55" w:history="1">
        <w:r w:rsidR="00180CE6">
          <w:rPr>
            <w:rStyle w:val="af8"/>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F74770" w:rsidP="00604330">
      <w:pPr>
        <w:pStyle w:val="af3"/>
        <w:numPr>
          <w:ilvl w:val="0"/>
          <w:numId w:val="43"/>
        </w:numPr>
        <w:rPr>
          <w:lang w:eastAsia="x-none"/>
        </w:rPr>
      </w:pPr>
      <w:hyperlink r:id="rId56" w:history="1">
        <w:r w:rsidR="00604330">
          <w:rPr>
            <w:rStyle w:val="af8"/>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af3"/>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So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7.2.11.4, and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bl>
    <w:p w14:paraId="23BFCCD5" w14:textId="32A6625C" w:rsidR="00EE1F8E" w:rsidRDefault="00EE1F8E" w:rsidP="00EE1F8E"/>
    <w:p w14:paraId="0AA89394" w14:textId="49F52EB0" w:rsidR="005E74C3" w:rsidRDefault="005E74C3" w:rsidP="005E74C3">
      <w:pPr>
        <w:pStyle w:val="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af3"/>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af3"/>
        <w:rPr>
          <w:lang w:val="en-GB"/>
        </w:rPr>
      </w:pPr>
    </w:p>
    <w:tbl>
      <w:tblPr>
        <w:tblStyle w:val="a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hint="eastAsia"/>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hint="eastAsia"/>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bl>
    <w:p w14:paraId="29031CF6" w14:textId="227B5E88" w:rsidR="005E74C3" w:rsidRDefault="005E74C3" w:rsidP="005E74C3"/>
    <w:p w14:paraId="293138FB" w14:textId="33BCE8CE" w:rsidR="00BF7390" w:rsidRDefault="00BF7390" w:rsidP="00BF7390">
      <w:pPr>
        <w:pStyle w:val="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F74770" w:rsidP="00BF7390">
      <w:pPr>
        <w:pStyle w:val="af3"/>
        <w:numPr>
          <w:ilvl w:val="0"/>
          <w:numId w:val="43"/>
        </w:numPr>
        <w:rPr>
          <w:lang w:eastAsia="x-none"/>
        </w:rPr>
      </w:pPr>
      <w:hyperlink r:id="rId57" w:history="1">
        <w:r w:rsidR="00BF7390">
          <w:rPr>
            <w:rStyle w:val="af8"/>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F74770" w:rsidP="00BF7390">
      <w:pPr>
        <w:pStyle w:val="af3"/>
        <w:numPr>
          <w:ilvl w:val="0"/>
          <w:numId w:val="43"/>
        </w:numPr>
        <w:rPr>
          <w:lang w:eastAsia="x-none"/>
        </w:rPr>
      </w:pPr>
      <w:hyperlink r:id="rId58" w:history="1">
        <w:r w:rsidR="00BF7390">
          <w:rPr>
            <w:rStyle w:val="af8"/>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F74770" w:rsidP="00BF7390">
      <w:pPr>
        <w:pStyle w:val="af3"/>
        <w:numPr>
          <w:ilvl w:val="0"/>
          <w:numId w:val="43"/>
        </w:numPr>
        <w:rPr>
          <w:lang w:eastAsia="x-none"/>
        </w:rPr>
      </w:pPr>
      <w:hyperlink r:id="rId59" w:history="1">
        <w:r w:rsidR="00BF7390">
          <w:rPr>
            <w:rStyle w:val="af8"/>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F74770" w:rsidP="00BF7390">
      <w:pPr>
        <w:pStyle w:val="af3"/>
        <w:numPr>
          <w:ilvl w:val="0"/>
          <w:numId w:val="43"/>
        </w:numPr>
        <w:rPr>
          <w:lang w:eastAsia="x-none"/>
        </w:rPr>
      </w:pPr>
      <w:hyperlink r:id="rId60" w:history="1">
        <w:r w:rsidR="00BF7390">
          <w:rPr>
            <w:rStyle w:val="af8"/>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F74770" w:rsidP="00BF7390">
      <w:pPr>
        <w:pStyle w:val="af3"/>
        <w:numPr>
          <w:ilvl w:val="0"/>
          <w:numId w:val="43"/>
        </w:numPr>
        <w:rPr>
          <w:lang w:eastAsia="x-none"/>
        </w:rPr>
      </w:pPr>
      <w:hyperlink r:id="rId61" w:history="1">
        <w:r w:rsidR="00BF7390">
          <w:rPr>
            <w:rStyle w:val="af8"/>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F74770" w:rsidP="00BF7390">
      <w:pPr>
        <w:pStyle w:val="af3"/>
        <w:numPr>
          <w:ilvl w:val="0"/>
          <w:numId w:val="43"/>
        </w:numPr>
        <w:rPr>
          <w:lang w:eastAsia="x-none"/>
        </w:rPr>
      </w:pPr>
      <w:hyperlink r:id="rId62" w:history="1">
        <w:r w:rsidR="00BF7390">
          <w:rPr>
            <w:rStyle w:val="af8"/>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af3"/>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af3"/>
        <w:rPr>
          <w:lang w:val="en-GB"/>
        </w:rPr>
      </w:pPr>
    </w:p>
    <w:tbl>
      <w:tblPr>
        <w:tblStyle w:val="a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r>
              <w:rPr>
                <w:lang w:val="en-GB"/>
              </w:rPr>
              <w:t>Also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rFonts w:hint="eastAsia"/>
                <w:lang w:val="en-GB" w:eastAsia="zh-CN"/>
              </w:rPr>
            </w:pPr>
            <w:r>
              <w:rPr>
                <w:rFonts w:hint="eastAsia"/>
                <w:lang w:eastAsia="zh-CN"/>
              </w:rPr>
              <w:t>Agree with the initial assessment.</w:t>
            </w:r>
            <w:r>
              <w:rPr>
                <w:lang w:eastAsia="zh-CN"/>
              </w:rPr>
              <w:t xml:space="preserve"> OK to handle it either under 7.2.2 or under 7.2.11.2.</w:t>
            </w:r>
          </w:p>
        </w:tc>
      </w:tr>
    </w:tbl>
    <w:p w14:paraId="55DB6023" w14:textId="77777777" w:rsidR="00BF7390" w:rsidRDefault="00BF7390" w:rsidP="00BF7390"/>
    <w:p w14:paraId="2F3FD727" w14:textId="77777777" w:rsidR="00A64F31" w:rsidRDefault="00A64F31" w:rsidP="00A64F31">
      <w:pPr>
        <w:pStyle w:val="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F74770" w:rsidP="000F780B">
      <w:pPr>
        <w:pStyle w:val="af3"/>
        <w:numPr>
          <w:ilvl w:val="0"/>
          <w:numId w:val="48"/>
        </w:numPr>
        <w:rPr>
          <w:lang w:eastAsia="x-none"/>
        </w:rPr>
      </w:pPr>
      <w:hyperlink r:id="rId63" w:history="1">
        <w:r w:rsidR="000F780B">
          <w:rPr>
            <w:rStyle w:val="af8"/>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af3"/>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a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lastRenderedPageBreak/>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bl>
    <w:p w14:paraId="6E4C580F" w14:textId="77777777" w:rsidR="00A64F31" w:rsidRDefault="00A64F31" w:rsidP="00A64F31"/>
    <w:p w14:paraId="55369B70" w14:textId="38F50BF1" w:rsidR="00F43ADA" w:rsidRDefault="00F43ADA" w:rsidP="00F43ADA">
      <w:pPr>
        <w:pStyle w:val="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F74770" w:rsidP="00F43ADA">
      <w:pPr>
        <w:pStyle w:val="af3"/>
        <w:numPr>
          <w:ilvl w:val="0"/>
          <w:numId w:val="48"/>
        </w:numPr>
        <w:rPr>
          <w:lang w:eastAsia="x-none"/>
        </w:rPr>
      </w:pPr>
      <w:hyperlink r:id="rId64" w:history="1">
        <w:r w:rsidR="00F43ADA">
          <w:rPr>
            <w:rStyle w:val="af8"/>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F74770" w:rsidP="00F43ADA">
      <w:pPr>
        <w:pStyle w:val="af3"/>
        <w:numPr>
          <w:ilvl w:val="0"/>
          <w:numId w:val="48"/>
        </w:numPr>
        <w:rPr>
          <w:lang w:eastAsia="x-none"/>
        </w:rPr>
      </w:pPr>
      <w:hyperlink r:id="rId65" w:history="1">
        <w:r w:rsidR="00F43ADA">
          <w:rPr>
            <w:rStyle w:val="af8"/>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af3"/>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a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Agree that a reply LS is needed, This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rFonts w:hint="eastAsia"/>
                <w:lang w:val="en-GB" w:eastAsia="zh-CN"/>
              </w:rPr>
            </w:pPr>
            <w:r>
              <w:rPr>
                <w:rFonts w:hint="eastAsia"/>
                <w:lang w:eastAsia="zh-CN"/>
              </w:rPr>
              <w:t>ZTE</w:t>
            </w:r>
          </w:p>
        </w:tc>
        <w:tc>
          <w:tcPr>
            <w:tcW w:w="6390" w:type="dxa"/>
          </w:tcPr>
          <w:p w14:paraId="3CBF8530" w14:textId="32D4AAA6" w:rsidR="00961ACE" w:rsidRPr="008314C0" w:rsidRDefault="00961ACE" w:rsidP="00961ACE">
            <w:pPr>
              <w:rPr>
                <w:rFonts w:hint="eastAsia"/>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5E74C3">
      <w:pPr>
        <w:pStyle w:val="af3"/>
        <w:numPr>
          <w:ilvl w:val="0"/>
          <w:numId w:val="4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af3"/>
        <w:numPr>
          <w:ilvl w:val="0"/>
          <w:numId w:val="6"/>
        </w:numPr>
        <w:rPr>
          <w:lang w:val="en-GB"/>
        </w:rPr>
      </w:pPr>
      <w:r>
        <w:rPr>
          <w:lang w:val="en-GB"/>
        </w:rPr>
        <w:lastRenderedPageBreak/>
        <w:t>Noted. No subsequent email discussion.</w:t>
      </w:r>
    </w:p>
    <w:p w14:paraId="2FCCD964" w14:textId="77777777" w:rsidR="005E74C3" w:rsidRPr="00180CE6" w:rsidRDefault="005E74C3" w:rsidP="005E74C3">
      <w:pPr>
        <w:pStyle w:val="af3"/>
        <w:rPr>
          <w:lang w:val="en-GB"/>
        </w:rPr>
      </w:pPr>
    </w:p>
    <w:tbl>
      <w:tblPr>
        <w:tblStyle w:val="a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bl>
    <w:p w14:paraId="2F76B9B5" w14:textId="71A4DB8D" w:rsidR="005E74C3" w:rsidRDefault="005E74C3" w:rsidP="00EE1F8E"/>
    <w:p w14:paraId="391538FE" w14:textId="364D495A" w:rsidR="005C7E33" w:rsidRDefault="005C7E33" w:rsidP="005C7E33">
      <w:pPr>
        <w:pStyle w:val="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5C7E33">
      <w:pPr>
        <w:pStyle w:val="af3"/>
        <w:numPr>
          <w:ilvl w:val="0"/>
          <w:numId w:val="4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af3"/>
        <w:numPr>
          <w:ilvl w:val="0"/>
          <w:numId w:val="6"/>
        </w:numPr>
        <w:rPr>
          <w:lang w:val="en-GB"/>
        </w:rPr>
      </w:pPr>
      <w:r>
        <w:rPr>
          <w:lang w:val="en-GB"/>
        </w:rPr>
        <w:t>Noted. No subsequent email discussion.</w:t>
      </w:r>
    </w:p>
    <w:p w14:paraId="3CFC50DB" w14:textId="77777777" w:rsidR="005C7E33" w:rsidRPr="00180CE6" w:rsidRDefault="005C7E33" w:rsidP="005C7E33">
      <w:pPr>
        <w:pStyle w:val="af3"/>
        <w:rPr>
          <w:lang w:val="en-GB"/>
        </w:rPr>
      </w:pPr>
    </w:p>
    <w:tbl>
      <w:tblPr>
        <w:tblStyle w:val="a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hint="eastAsia"/>
                <w:lang w:val="en-GB" w:eastAsia="ko-KR"/>
              </w:rPr>
            </w:pPr>
            <w:r>
              <w:rPr>
                <w:lang w:val="en-GB"/>
              </w:rPr>
              <w:t>ZTE</w:t>
            </w:r>
          </w:p>
        </w:tc>
        <w:tc>
          <w:tcPr>
            <w:tcW w:w="6390" w:type="dxa"/>
          </w:tcPr>
          <w:p w14:paraId="4E2E6D83" w14:textId="545D2233" w:rsidR="00961ACE" w:rsidRDefault="00961ACE" w:rsidP="00961ACE">
            <w:pPr>
              <w:rPr>
                <w:rFonts w:eastAsia="Malgun Gothic" w:hint="eastAsia"/>
                <w:lang w:val="en-GB" w:eastAsia="ko-KR"/>
              </w:rPr>
            </w:pPr>
            <w:r>
              <w:rPr>
                <w:lang w:val="en-GB"/>
              </w:rPr>
              <w:t>Agree with the initial assessment.</w:t>
            </w:r>
          </w:p>
        </w:tc>
      </w:tr>
    </w:tbl>
    <w:p w14:paraId="324F0466" w14:textId="4D912F49" w:rsidR="005C7E33" w:rsidRDefault="005C7E33" w:rsidP="005C7E33"/>
    <w:p w14:paraId="03575218" w14:textId="4193D147" w:rsidR="005C7E33" w:rsidRDefault="005C7E33" w:rsidP="005C7E33">
      <w:pPr>
        <w:pStyle w:val="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F74770" w:rsidP="005C7E33">
      <w:pPr>
        <w:pStyle w:val="af3"/>
        <w:numPr>
          <w:ilvl w:val="0"/>
          <w:numId w:val="43"/>
        </w:numPr>
        <w:rPr>
          <w:lang w:eastAsia="x-none"/>
        </w:rPr>
      </w:pPr>
      <w:hyperlink r:id="rId66" w:history="1">
        <w:r w:rsidR="005C7E33">
          <w:rPr>
            <w:rStyle w:val="af8"/>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F74770" w:rsidP="005C7E33">
      <w:pPr>
        <w:pStyle w:val="af3"/>
        <w:numPr>
          <w:ilvl w:val="0"/>
          <w:numId w:val="43"/>
        </w:numPr>
        <w:rPr>
          <w:lang w:eastAsia="x-none"/>
        </w:rPr>
      </w:pPr>
      <w:hyperlink r:id="rId67" w:history="1">
        <w:r w:rsidR="005C7E33">
          <w:rPr>
            <w:rStyle w:val="af8"/>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F74770" w:rsidP="005C7E33">
      <w:pPr>
        <w:pStyle w:val="af3"/>
        <w:numPr>
          <w:ilvl w:val="0"/>
          <w:numId w:val="43"/>
        </w:numPr>
        <w:rPr>
          <w:lang w:eastAsia="x-none"/>
        </w:rPr>
      </w:pPr>
      <w:hyperlink r:id="rId68" w:history="1">
        <w:r w:rsidR="005C7E33">
          <w:rPr>
            <w:rStyle w:val="af8"/>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F74770" w:rsidP="005C7E33">
      <w:pPr>
        <w:pStyle w:val="af3"/>
        <w:numPr>
          <w:ilvl w:val="0"/>
          <w:numId w:val="43"/>
        </w:numPr>
        <w:rPr>
          <w:lang w:eastAsia="x-none"/>
        </w:rPr>
      </w:pPr>
      <w:hyperlink r:id="rId69" w:history="1">
        <w:r w:rsidR="005C7E33">
          <w:rPr>
            <w:rStyle w:val="af8"/>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F74770" w:rsidP="005C7E33">
      <w:pPr>
        <w:pStyle w:val="af3"/>
        <w:numPr>
          <w:ilvl w:val="0"/>
          <w:numId w:val="43"/>
        </w:numPr>
        <w:rPr>
          <w:lang w:eastAsia="x-none"/>
        </w:rPr>
      </w:pPr>
      <w:hyperlink r:id="rId70" w:history="1">
        <w:r w:rsidR="005C7E33">
          <w:rPr>
            <w:rStyle w:val="af8"/>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af3"/>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af3"/>
        <w:rPr>
          <w:lang w:val="en-GB"/>
        </w:rPr>
      </w:pPr>
    </w:p>
    <w:tbl>
      <w:tblPr>
        <w:tblStyle w:val="a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lastRenderedPageBreak/>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bl>
    <w:p w14:paraId="02549E52" w14:textId="77777777" w:rsidR="005C7E33" w:rsidRPr="00CD10E2" w:rsidRDefault="005C7E33" w:rsidP="005C7E33"/>
    <w:p w14:paraId="0F3BA212" w14:textId="77777777" w:rsidR="00916118" w:rsidRDefault="00916118" w:rsidP="00916118">
      <w:pPr>
        <w:pStyle w:val="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916118">
      <w:pPr>
        <w:pStyle w:val="af3"/>
        <w:numPr>
          <w:ilvl w:val="0"/>
          <w:numId w:val="4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af3"/>
        <w:numPr>
          <w:ilvl w:val="0"/>
          <w:numId w:val="6"/>
        </w:numPr>
        <w:rPr>
          <w:lang w:val="en-GB"/>
        </w:rPr>
      </w:pPr>
      <w:r>
        <w:rPr>
          <w:lang w:val="en-GB"/>
        </w:rPr>
        <w:t>Noted. No subsequent email discussion.</w:t>
      </w:r>
    </w:p>
    <w:p w14:paraId="4CC035D8" w14:textId="77777777" w:rsidR="00916118" w:rsidRPr="00180CE6" w:rsidRDefault="00916118" w:rsidP="00916118">
      <w:pPr>
        <w:pStyle w:val="af3"/>
        <w:rPr>
          <w:lang w:val="en-GB"/>
        </w:rPr>
      </w:pPr>
    </w:p>
    <w:tbl>
      <w:tblPr>
        <w:tblStyle w:val="ad"/>
        <w:tblW w:w="0" w:type="auto"/>
        <w:tblLook w:val="04A0" w:firstRow="1" w:lastRow="0" w:firstColumn="1" w:lastColumn="0" w:noHBand="0" w:noVBand="1"/>
      </w:tblPr>
      <w:tblGrid>
        <w:gridCol w:w="2605"/>
        <w:gridCol w:w="6390"/>
      </w:tblGrid>
      <w:tr w:rsidR="00916118" w:rsidRPr="00384EE9" w14:paraId="78728FB5" w14:textId="77777777" w:rsidTr="00A9370E">
        <w:tc>
          <w:tcPr>
            <w:tcW w:w="2605" w:type="dxa"/>
          </w:tcPr>
          <w:p w14:paraId="04DE8D51" w14:textId="77777777" w:rsidR="00916118" w:rsidRPr="00384EE9" w:rsidRDefault="00916118" w:rsidP="00A9370E">
            <w:pPr>
              <w:rPr>
                <w:b/>
                <w:bCs/>
                <w:lang w:val="en-GB"/>
              </w:rPr>
            </w:pPr>
            <w:r w:rsidRPr="00384EE9">
              <w:rPr>
                <w:b/>
                <w:bCs/>
                <w:lang w:val="en-GB"/>
              </w:rPr>
              <w:t>Company</w:t>
            </w:r>
          </w:p>
        </w:tc>
        <w:tc>
          <w:tcPr>
            <w:tcW w:w="6390" w:type="dxa"/>
          </w:tcPr>
          <w:p w14:paraId="68E01AD7" w14:textId="77777777" w:rsidR="00916118" w:rsidRPr="00384EE9" w:rsidRDefault="00916118" w:rsidP="00A9370E">
            <w:pPr>
              <w:rPr>
                <w:b/>
                <w:bCs/>
                <w:lang w:val="en-GB"/>
              </w:rPr>
            </w:pPr>
            <w:r w:rsidRPr="00384EE9">
              <w:rPr>
                <w:b/>
                <w:bCs/>
                <w:lang w:val="en-GB"/>
              </w:rPr>
              <w:t>Views</w:t>
            </w:r>
          </w:p>
        </w:tc>
      </w:tr>
      <w:tr w:rsidR="00961ACE" w14:paraId="45C4EF08" w14:textId="77777777" w:rsidTr="00A9370E">
        <w:tc>
          <w:tcPr>
            <w:tcW w:w="2605" w:type="dxa"/>
          </w:tcPr>
          <w:p w14:paraId="5DFFF848" w14:textId="6596723D" w:rsidR="00961ACE" w:rsidRDefault="00961ACE" w:rsidP="00961ACE">
            <w:pPr>
              <w:rPr>
                <w:lang w:val="en-GB"/>
              </w:rPr>
            </w:pPr>
          </w:p>
        </w:tc>
        <w:tc>
          <w:tcPr>
            <w:tcW w:w="6390" w:type="dxa"/>
          </w:tcPr>
          <w:p w14:paraId="3FE4C0CA" w14:textId="14B10195" w:rsidR="00961ACE" w:rsidRDefault="00961ACE" w:rsidP="00961ACE">
            <w:pPr>
              <w:rPr>
                <w:lang w:val="en-GB"/>
              </w:rPr>
            </w:pP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F74770" w:rsidP="00D80D8E">
      <w:pPr>
        <w:pStyle w:val="af3"/>
        <w:numPr>
          <w:ilvl w:val="0"/>
          <w:numId w:val="43"/>
        </w:numPr>
        <w:rPr>
          <w:lang w:eastAsia="x-none"/>
        </w:rPr>
      </w:pPr>
      <w:hyperlink r:id="rId71" w:history="1">
        <w:r w:rsidR="00D80D8E">
          <w:rPr>
            <w:rStyle w:val="af8"/>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F74770" w:rsidP="003F7328">
      <w:pPr>
        <w:pStyle w:val="af3"/>
        <w:numPr>
          <w:ilvl w:val="0"/>
          <w:numId w:val="43"/>
        </w:numPr>
        <w:rPr>
          <w:lang w:eastAsia="x-none"/>
        </w:rPr>
      </w:pPr>
      <w:hyperlink r:id="rId72" w:history="1">
        <w:r w:rsidR="003F7328">
          <w:rPr>
            <w:rStyle w:val="af8"/>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F74770" w:rsidP="00A97A36">
      <w:pPr>
        <w:pStyle w:val="af3"/>
        <w:numPr>
          <w:ilvl w:val="0"/>
          <w:numId w:val="43"/>
        </w:numPr>
        <w:rPr>
          <w:lang w:eastAsia="x-none"/>
        </w:rPr>
      </w:pPr>
      <w:hyperlink r:id="rId73" w:history="1">
        <w:r w:rsidR="00A97A36">
          <w:rPr>
            <w:rStyle w:val="af8"/>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F74770" w:rsidP="0070543F">
      <w:pPr>
        <w:pStyle w:val="af3"/>
        <w:numPr>
          <w:ilvl w:val="0"/>
          <w:numId w:val="43"/>
        </w:numPr>
        <w:rPr>
          <w:lang w:eastAsia="x-none"/>
        </w:rPr>
      </w:pPr>
      <w:hyperlink r:id="rId74" w:history="1">
        <w:r w:rsidR="0070543F">
          <w:rPr>
            <w:rStyle w:val="af8"/>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F74770" w:rsidP="001436AD">
      <w:pPr>
        <w:pStyle w:val="af3"/>
        <w:numPr>
          <w:ilvl w:val="0"/>
          <w:numId w:val="43"/>
        </w:numPr>
        <w:rPr>
          <w:lang w:eastAsia="x-none"/>
        </w:rPr>
      </w:pPr>
      <w:hyperlink r:id="rId75" w:history="1">
        <w:r w:rsidR="001436AD">
          <w:rPr>
            <w:rStyle w:val="af8"/>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F74770" w:rsidP="00FF6AE3">
      <w:pPr>
        <w:pStyle w:val="af3"/>
        <w:numPr>
          <w:ilvl w:val="0"/>
          <w:numId w:val="43"/>
        </w:numPr>
        <w:rPr>
          <w:lang w:eastAsia="x-none"/>
        </w:rPr>
      </w:pPr>
      <w:hyperlink r:id="rId76" w:history="1">
        <w:r w:rsidR="00FF6AE3">
          <w:rPr>
            <w:rStyle w:val="af8"/>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F74770" w:rsidP="001D4678">
      <w:pPr>
        <w:pStyle w:val="af3"/>
        <w:numPr>
          <w:ilvl w:val="0"/>
          <w:numId w:val="43"/>
        </w:numPr>
        <w:rPr>
          <w:lang w:eastAsia="x-none"/>
        </w:rPr>
      </w:pPr>
      <w:hyperlink r:id="rId77" w:history="1">
        <w:r w:rsidR="001D4678">
          <w:rPr>
            <w:rStyle w:val="af8"/>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F74770" w:rsidP="00E920D8">
      <w:pPr>
        <w:pStyle w:val="af3"/>
        <w:numPr>
          <w:ilvl w:val="0"/>
          <w:numId w:val="43"/>
        </w:numPr>
        <w:rPr>
          <w:lang w:eastAsia="x-none"/>
        </w:rPr>
      </w:pPr>
      <w:hyperlink r:id="rId78" w:history="1">
        <w:r w:rsidR="00E920D8">
          <w:rPr>
            <w:rStyle w:val="af8"/>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F74770" w:rsidP="00575FB1">
      <w:pPr>
        <w:pStyle w:val="af3"/>
        <w:numPr>
          <w:ilvl w:val="0"/>
          <w:numId w:val="43"/>
        </w:numPr>
        <w:rPr>
          <w:lang w:eastAsia="x-none"/>
        </w:rPr>
      </w:pPr>
      <w:hyperlink r:id="rId79" w:history="1">
        <w:r w:rsidR="00575FB1">
          <w:rPr>
            <w:rStyle w:val="af8"/>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lastRenderedPageBreak/>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lastRenderedPageBreak/>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lastRenderedPageBreak/>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D6D67" w14:textId="77777777" w:rsidR="00F74770" w:rsidRDefault="00F74770">
      <w:r>
        <w:separator/>
      </w:r>
    </w:p>
  </w:endnote>
  <w:endnote w:type="continuationSeparator" w:id="0">
    <w:p w14:paraId="33603842" w14:textId="77777777" w:rsidR="00F74770" w:rsidRDefault="00F74770">
      <w:r>
        <w:continuationSeparator/>
      </w:r>
    </w:p>
  </w:endnote>
  <w:endnote w:type="continuationNotice" w:id="1">
    <w:p w14:paraId="78C2D738" w14:textId="77777777" w:rsidR="00F74770" w:rsidRDefault="00F74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¹ÙÅÁ"/>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ED4559" w:rsidRDefault="00ED4559"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ED4559" w:rsidRDefault="00ED4559"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4B0BB07" w:rsidR="00ED4559" w:rsidRDefault="00ED4559" w:rsidP="00450D3B">
    <w:pPr>
      <w:pStyle w:val="a9"/>
      <w:ind w:right="360"/>
    </w:pPr>
    <w:r>
      <w:rPr>
        <w:rStyle w:val="ae"/>
      </w:rPr>
      <w:fldChar w:fldCharType="begin"/>
    </w:r>
    <w:r>
      <w:rPr>
        <w:rStyle w:val="ae"/>
      </w:rPr>
      <w:instrText xml:space="preserve"> PAGE </w:instrText>
    </w:r>
    <w:r>
      <w:rPr>
        <w:rStyle w:val="ae"/>
      </w:rPr>
      <w:fldChar w:fldCharType="separate"/>
    </w:r>
    <w:r w:rsidR="00A81DE4">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81DE4">
      <w:rPr>
        <w:rStyle w:val="ae"/>
      </w:rPr>
      <w:t>19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5DAE2" w14:textId="77777777" w:rsidR="00F74770" w:rsidRDefault="00F74770">
      <w:r>
        <w:separator/>
      </w:r>
    </w:p>
  </w:footnote>
  <w:footnote w:type="continuationSeparator" w:id="0">
    <w:p w14:paraId="2CB07E7F" w14:textId="77777777" w:rsidR="00F74770" w:rsidRDefault="00F74770">
      <w:r>
        <w:continuationSeparator/>
      </w:r>
    </w:p>
  </w:footnote>
  <w:footnote w:type="continuationNotice" w:id="1">
    <w:p w14:paraId="166FB760" w14:textId="77777777" w:rsidR="00F74770" w:rsidRDefault="00F747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226B2"/>
    <w:multiLevelType w:val="hybridMultilevel"/>
    <w:tmpl w:val="593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B43FC"/>
    <w:multiLevelType w:val="hybridMultilevel"/>
    <w:tmpl w:val="C9ECDA4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964DB"/>
    <w:multiLevelType w:val="hybridMultilevel"/>
    <w:tmpl w:val="E25EBA48"/>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FD2D33"/>
    <w:multiLevelType w:val="hybridMultilevel"/>
    <w:tmpl w:val="5D9A702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lvlOverride w:ilvl="0">
      <w:startOverride w:val="1"/>
    </w:lvlOverride>
  </w:num>
  <w:num w:numId="4">
    <w:abstractNumId w:val="48"/>
  </w:num>
  <w:num w:numId="5">
    <w:abstractNumId w:val="38"/>
  </w:num>
  <w:num w:numId="6">
    <w:abstractNumId w:val="11"/>
  </w:num>
  <w:num w:numId="7">
    <w:abstractNumId w:val="8"/>
  </w:num>
  <w:num w:numId="8">
    <w:abstractNumId w:val="9"/>
  </w:num>
  <w:num w:numId="9">
    <w:abstractNumId w:val="42"/>
  </w:num>
  <w:num w:numId="10">
    <w:abstractNumId w:val="19"/>
  </w:num>
  <w:num w:numId="11">
    <w:abstractNumId w:val="30"/>
  </w:num>
  <w:num w:numId="12">
    <w:abstractNumId w:val="12"/>
  </w:num>
  <w:num w:numId="13">
    <w:abstractNumId w:val="32"/>
  </w:num>
  <w:num w:numId="14">
    <w:abstractNumId w:val="10"/>
  </w:num>
  <w:num w:numId="15">
    <w:abstractNumId w:val="46"/>
  </w:num>
  <w:num w:numId="16">
    <w:abstractNumId w:val="49"/>
  </w:num>
  <w:num w:numId="17">
    <w:abstractNumId w:val="18"/>
  </w:num>
  <w:num w:numId="18">
    <w:abstractNumId w:val="37"/>
  </w:num>
  <w:num w:numId="19">
    <w:abstractNumId w:val="43"/>
  </w:num>
  <w:num w:numId="20">
    <w:abstractNumId w:val="35"/>
  </w:num>
  <w:num w:numId="21">
    <w:abstractNumId w:val="4"/>
  </w:num>
  <w:num w:numId="22">
    <w:abstractNumId w:val="36"/>
  </w:num>
  <w:num w:numId="23">
    <w:abstractNumId w:val="20"/>
  </w:num>
  <w:num w:numId="24">
    <w:abstractNumId w:val="44"/>
  </w:num>
  <w:num w:numId="25">
    <w:abstractNumId w:val="33"/>
  </w:num>
  <w:num w:numId="26">
    <w:abstractNumId w:val="5"/>
  </w:num>
  <w:num w:numId="27">
    <w:abstractNumId w:val="40"/>
  </w:num>
  <w:num w:numId="28">
    <w:abstractNumId w:val="24"/>
  </w:num>
  <w:num w:numId="29">
    <w:abstractNumId w:val="39"/>
  </w:num>
  <w:num w:numId="30">
    <w:abstractNumId w:val="23"/>
  </w:num>
  <w:num w:numId="31">
    <w:abstractNumId w:val="47"/>
  </w:num>
  <w:num w:numId="32">
    <w:abstractNumId w:val="27"/>
  </w:num>
  <w:num w:numId="33">
    <w:abstractNumId w:val="14"/>
  </w:num>
  <w:num w:numId="34">
    <w:abstractNumId w:val="50"/>
  </w:num>
  <w:num w:numId="35">
    <w:abstractNumId w:val="16"/>
  </w:num>
  <w:num w:numId="36">
    <w:abstractNumId w:val="1"/>
  </w:num>
  <w:num w:numId="37">
    <w:abstractNumId w:val="13"/>
  </w:num>
  <w:num w:numId="38">
    <w:abstractNumId w:val="45"/>
  </w:num>
  <w:num w:numId="39">
    <w:abstractNumId w:val="7"/>
  </w:num>
  <w:num w:numId="40">
    <w:abstractNumId w:val="3"/>
  </w:num>
  <w:num w:numId="41">
    <w:abstractNumId w:val="34"/>
  </w:num>
  <w:num w:numId="42">
    <w:abstractNumId w:val="15"/>
  </w:num>
  <w:num w:numId="43">
    <w:abstractNumId w:val="41"/>
  </w:num>
  <w:num w:numId="44">
    <w:abstractNumId w:val="28"/>
  </w:num>
  <w:num w:numId="45">
    <w:abstractNumId w:val="17"/>
  </w:num>
  <w:num w:numId="46">
    <w:abstractNumId w:val="25"/>
  </w:num>
  <w:num w:numId="47">
    <w:abstractNumId w:val="31"/>
  </w:num>
  <w:num w:numId="48">
    <w:abstractNumId w:val="26"/>
  </w:num>
  <w:num w:numId="49">
    <w:abstractNumId w:val="6"/>
  </w:num>
  <w:num w:numId="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1\Docs\R1-2004067.zip" TargetMode="Externa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A14E1-33BA-4279-9870-3112CD71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19</Pages>
  <Words>5941</Words>
  <Characters>33869</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ZTE</cp:lastModifiedBy>
  <cp:revision>2</cp:revision>
  <cp:lastPrinted>2014-11-07T05:38:00Z</cp:lastPrinted>
  <dcterms:created xsi:type="dcterms:W3CDTF">2020-05-21T02:33:00Z</dcterms:created>
  <dcterms:modified xsi:type="dcterms:W3CDTF">2020-05-21T02:33:00Z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