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E63F1B" w14:textId="14EACBFF" w:rsidR="00AC2583" w:rsidRDefault="00AC2583" w:rsidP="00AC2583">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240" behindDoc="0" locked="1" layoutInCell="1" allowOverlap="1" wp14:anchorId="08964F04" wp14:editId="096201E1">
                <wp:simplePos x="0" y="0"/>
                <wp:positionH relativeFrom="column">
                  <wp:posOffset>0</wp:posOffset>
                </wp:positionH>
                <wp:positionV relativeFrom="paragraph">
                  <wp:posOffset>0</wp:posOffset>
                </wp:positionV>
                <wp:extent cx="635" cy="635"/>
                <wp:effectExtent l="0" t="0" r="0" b="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2EAE6"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M1GGw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lEM1GGwUAAGc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w:t>
      </w:r>
      <w:r w:rsidR="0055573B">
        <w:rPr>
          <w:rFonts w:ascii="Arial" w:hAnsi="Arial" w:cs="Arial"/>
          <w:b/>
          <w:kern w:val="2"/>
          <w:lang w:eastAsia="zh-CN"/>
        </w:rPr>
        <w:t>1</w:t>
      </w:r>
      <w:r w:rsidR="00215F4B">
        <w:rPr>
          <w:rFonts w:ascii="Arial" w:hAnsi="Arial" w:cs="Arial"/>
          <w:b/>
          <w:kern w:val="2"/>
          <w:lang w:eastAsia="zh-CN"/>
        </w:rPr>
        <w:t>-e</w:t>
      </w:r>
      <w:r>
        <w:rPr>
          <w:rFonts w:ascii="Arial" w:hAnsi="Arial" w:cs="Arial"/>
          <w:b/>
          <w:kern w:val="2"/>
          <w:lang w:eastAsia="zh-CN"/>
        </w:rPr>
        <w:tab/>
        <w:t>R1-</w:t>
      </w:r>
      <w:r w:rsidR="00F41B7F">
        <w:rPr>
          <w:rFonts w:ascii="Arial" w:hAnsi="Arial" w:cs="Arial"/>
          <w:b/>
          <w:kern w:val="2"/>
          <w:lang w:eastAsia="zh-CN"/>
        </w:rPr>
        <w:t>20</w:t>
      </w:r>
      <w:r w:rsidR="004072A9">
        <w:rPr>
          <w:rFonts w:ascii="Arial" w:hAnsi="Arial" w:cs="Arial"/>
          <w:b/>
          <w:kern w:val="2"/>
          <w:lang w:eastAsia="zh-CN"/>
        </w:rPr>
        <w:t>0</w:t>
      </w:r>
      <w:r w:rsidR="0055573B">
        <w:rPr>
          <w:rFonts w:ascii="Arial" w:hAnsi="Arial" w:cs="Arial"/>
          <w:b/>
          <w:kern w:val="2"/>
          <w:lang w:eastAsia="zh-CN"/>
        </w:rPr>
        <w:t>3722</w:t>
      </w:r>
    </w:p>
    <w:p w14:paraId="660FE3B2" w14:textId="2C747CF6" w:rsidR="00AC2583" w:rsidRDefault="00AC2583" w:rsidP="00AC2583">
      <w:pPr>
        <w:jc w:val="left"/>
        <w:rPr>
          <w:rFonts w:ascii="Arial" w:hAnsi="Arial" w:cs="Arial"/>
          <w:b/>
          <w:kern w:val="2"/>
          <w:lang w:eastAsia="zh-CN"/>
        </w:rPr>
      </w:pPr>
      <w:r>
        <w:rPr>
          <w:rFonts w:ascii="Arial" w:hAnsi="Arial" w:cs="Arial"/>
          <w:b/>
          <w:kern w:val="2"/>
          <w:lang w:eastAsia="zh-CN"/>
        </w:rPr>
        <w:t xml:space="preserve">e-Meeting, </w:t>
      </w:r>
      <w:r w:rsidR="0055573B">
        <w:rPr>
          <w:rFonts w:ascii="Arial" w:hAnsi="Arial" w:cs="Arial"/>
          <w:b/>
          <w:kern w:val="2"/>
          <w:lang w:eastAsia="zh-CN"/>
        </w:rPr>
        <w:t>May 25 – June 5</w:t>
      </w:r>
      <w:r>
        <w:rPr>
          <w:rFonts w:ascii="Arial" w:hAnsi="Arial" w:cs="Arial"/>
          <w:b/>
          <w:kern w:val="2"/>
          <w:lang w:eastAsia="zh-CN"/>
        </w:rPr>
        <w:t>, 20</w:t>
      </w:r>
      <w:r w:rsidR="001C6A6C">
        <w:rPr>
          <w:rFonts w:ascii="Arial" w:hAnsi="Arial" w:cs="Arial"/>
          <w:b/>
          <w:kern w:val="2"/>
          <w:lang w:eastAsia="zh-CN"/>
        </w:rPr>
        <w:t>20</w:t>
      </w:r>
    </w:p>
    <w:p w14:paraId="0A9F0B4B" w14:textId="322AB2B5" w:rsidR="00AC2583" w:rsidRDefault="00AC2583" w:rsidP="00AC2583">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7.2.5.1</w:t>
      </w:r>
    </w:p>
    <w:p w14:paraId="1280F7BE" w14:textId="77777777" w:rsidR="00AC2583" w:rsidRDefault="00AC2583" w:rsidP="00AC2583">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r>
      <w:r>
        <w:rPr>
          <w:rFonts w:ascii="Arial" w:hAnsi="Arial" w:cs="Arial"/>
          <w:b/>
          <w:bCs/>
          <w:smallCaps/>
          <w:szCs w:val="24"/>
          <w:shd w:val="clear" w:color="auto" w:fill="FFFFFF"/>
        </w:rPr>
        <w:t>FUTUREWEI</w:t>
      </w:r>
    </w:p>
    <w:p w14:paraId="78ACF00A" w14:textId="4C941EFE" w:rsidR="00AC2583" w:rsidRDefault="00AC2583" w:rsidP="00AC2583">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DCI Size Alignment</w:t>
      </w:r>
    </w:p>
    <w:p w14:paraId="1D819C6E" w14:textId="77777777" w:rsidR="00AC2583" w:rsidRDefault="00AC2583" w:rsidP="00AC258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05AF7EA" w14:textId="77777777" w:rsidR="00AC2583" w:rsidRDefault="00AC2583" w:rsidP="00AC2583"/>
    <w:p w14:paraId="0CE57838" w14:textId="77777777" w:rsidR="00AC2583" w:rsidRDefault="00AC2583" w:rsidP="00AC2583">
      <w:pPr>
        <w:pStyle w:val="Heading1"/>
        <w:rPr>
          <w:rFonts w:eastAsia="SimSun" w:cs="Arial"/>
        </w:rPr>
      </w:pPr>
      <w:bookmarkStart w:id="0" w:name="_Ref129681862"/>
      <w:bookmarkStart w:id="1" w:name="_Ref124589705"/>
      <w:r>
        <w:rPr>
          <w:rFonts w:eastAsia="SimSun" w:cs="Arial"/>
        </w:rPr>
        <w:t>Introduction</w:t>
      </w:r>
      <w:bookmarkEnd w:id="0"/>
      <w:bookmarkEnd w:id="1"/>
    </w:p>
    <w:p w14:paraId="57CA6866" w14:textId="1A34D6C4" w:rsidR="00A97629" w:rsidRDefault="00D219B5" w:rsidP="00321212">
      <w:r>
        <w:t xml:space="preserve">A RAN1#100-e </w:t>
      </w:r>
      <w:r w:rsidR="000165CD">
        <w:t xml:space="preserve">email discussion </w:t>
      </w:r>
      <w:r w:rsidR="00112192">
        <w:t xml:space="preserve">[1] </w:t>
      </w:r>
      <w:r w:rsidR="0003298B">
        <w:t xml:space="preserve">was set to </w:t>
      </w:r>
      <w:r w:rsidR="000165CD">
        <w:t>discuss remaining issues on DCI format.</w:t>
      </w:r>
      <w:r w:rsidR="001C7A2C">
        <w:t xml:space="preserve"> In particular</w:t>
      </w:r>
      <w:r w:rsidR="00AF6480">
        <w:t>,</w:t>
      </w:r>
      <w:r w:rsidR="001C7A2C">
        <w:t xml:space="preserve"> </w:t>
      </w:r>
      <w:r w:rsidR="00A97629">
        <w:t xml:space="preserve">one issue discussed is </w:t>
      </w:r>
      <w:r w:rsidR="001C7A2C">
        <w:t xml:space="preserve">the problem that arises when two DCIs </w:t>
      </w:r>
      <w:r w:rsidR="00A97629">
        <w:t xml:space="preserve">(DCI format 0_2/1_2 monitored in a UE-specific search space USS equals that of DCI format 0_0/1_0 monitored in another USS) </w:t>
      </w:r>
      <w:r w:rsidR="001C7A2C">
        <w:t xml:space="preserve">use the same RNTI and </w:t>
      </w:r>
      <w:r w:rsidR="0029147F">
        <w:t xml:space="preserve">are </w:t>
      </w:r>
      <w:r w:rsidR="001C7A2C">
        <w:t xml:space="preserve">of the same size </w:t>
      </w:r>
      <w:r w:rsidR="00AF6480">
        <w:t>thus not being able to differentiate them</w:t>
      </w:r>
      <w:r w:rsidR="001C7A2C">
        <w:t xml:space="preserve">. Two solutions were proposed </w:t>
      </w:r>
    </w:p>
    <w:p w14:paraId="17D091BA" w14:textId="2D37476A" w:rsidR="00A97629" w:rsidRPr="00CA2B22" w:rsidRDefault="00321212" w:rsidP="00A97629">
      <w:pPr>
        <w:pStyle w:val="ListParagraph"/>
        <w:numPr>
          <w:ilvl w:val="0"/>
          <w:numId w:val="6"/>
        </w:numPr>
        <w:rPr>
          <w:rFonts w:ascii="Times New Roman" w:eastAsia="SimSun" w:hAnsi="Times New Roman" w:cs="Times New Roman"/>
          <w:lang w:val="en-US"/>
        </w:rPr>
      </w:pPr>
      <w:r w:rsidRPr="00CA2B22">
        <w:rPr>
          <w:rFonts w:ascii="Times New Roman" w:eastAsia="SimSun" w:hAnsi="Times New Roman" w:cs="Times New Roman"/>
          <w:lang w:val="en-US"/>
        </w:rPr>
        <w:t>appending one bit of zero padding</w:t>
      </w:r>
      <w:r w:rsidR="000165CD" w:rsidRPr="00CA2B22">
        <w:rPr>
          <w:rFonts w:ascii="Times New Roman" w:eastAsia="SimSun" w:hAnsi="Times New Roman" w:cs="Times New Roman"/>
          <w:lang w:val="en-US"/>
        </w:rPr>
        <w:t xml:space="preserve"> </w:t>
      </w:r>
      <w:r w:rsidR="00A97629" w:rsidRPr="00CA2B22">
        <w:rPr>
          <w:rFonts w:ascii="Times New Roman" w:eastAsia="SimSun" w:hAnsi="Times New Roman" w:cs="Times New Roman"/>
          <w:lang w:val="en-US"/>
        </w:rPr>
        <w:t xml:space="preserve">when necessary </w:t>
      </w:r>
      <w:r w:rsidRPr="00CA2B22">
        <w:rPr>
          <w:rFonts w:ascii="Times New Roman" w:eastAsia="SimSun" w:hAnsi="Times New Roman" w:cs="Times New Roman"/>
          <w:lang w:val="en-US"/>
        </w:rPr>
        <w:t>to DCI format</w:t>
      </w:r>
      <w:r w:rsidR="002D339C" w:rsidRPr="00CA2B22">
        <w:rPr>
          <w:rFonts w:ascii="Times New Roman" w:eastAsia="SimSun" w:hAnsi="Times New Roman" w:cs="Times New Roman"/>
          <w:lang w:val="en-US"/>
        </w:rPr>
        <w:t xml:space="preserve"> </w:t>
      </w:r>
      <w:r w:rsidRPr="00CA2B22">
        <w:rPr>
          <w:rFonts w:ascii="Times New Roman" w:eastAsia="SimSun" w:hAnsi="Times New Roman" w:cs="Times New Roman"/>
          <w:lang w:val="en-US"/>
        </w:rPr>
        <w:t>0_2</w:t>
      </w:r>
      <w:r w:rsidR="00DA10E4" w:rsidRPr="00CA2B22">
        <w:rPr>
          <w:rFonts w:ascii="Times New Roman" w:eastAsia="SimSun" w:hAnsi="Times New Roman" w:cs="Times New Roman"/>
          <w:lang w:val="en-US"/>
        </w:rPr>
        <w:t>/1_2</w:t>
      </w:r>
    </w:p>
    <w:p w14:paraId="4721226C" w14:textId="1D837133" w:rsidR="00A97629" w:rsidRPr="00CA2B22" w:rsidRDefault="00A97629" w:rsidP="00A97629">
      <w:pPr>
        <w:pStyle w:val="ListParagraph"/>
        <w:numPr>
          <w:ilvl w:val="0"/>
          <w:numId w:val="6"/>
        </w:numPr>
        <w:rPr>
          <w:rFonts w:ascii="Times New Roman" w:eastAsia="SimSun" w:hAnsi="Times New Roman" w:cs="Times New Roman"/>
          <w:lang w:val="en-US"/>
        </w:rPr>
      </w:pPr>
      <w:r w:rsidRPr="00CA2B22">
        <w:rPr>
          <w:rFonts w:ascii="Times New Roman" w:eastAsia="SimSun" w:hAnsi="Times New Roman" w:cs="Times New Roman"/>
          <w:lang w:val="en-US"/>
        </w:rPr>
        <w:t>having the UE assume that no case will be configured that cannot be distinguished</w:t>
      </w:r>
    </w:p>
    <w:p w14:paraId="45D8E112" w14:textId="10F286AF" w:rsidR="001C7A2C" w:rsidRDefault="00A97629" w:rsidP="00321212">
      <w:r>
        <w:t xml:space="preserve">The first proposal is what has been done for LTE and NR (so far), the second proposal is motivated by the additional of several more configurable fields to the DCI so that </w:t>
      </w:r>
      <w:r w:rsidR="00AF6480">
        <w:t xml:space="preserve">the number of bits of the configurable fields of DCI format 0_2/1_2 </w:t>
      </w:r>
      <w:r>
        <w:t xml:space="preserve">is adjusted </w:t>
      </w:r>
      <w:r w:rsidR="00AF6480">
        <w:t xml:space="preserve">such that the two DCIs can be differentiated. </w:t>
      </w:r>
      <w:r w:rsidR="00741C5E">
        <w:t xml:space="preserve"> </w:t>
      </w:r>
    </w:p>
    <w:p w14:paraId="3F969334" w14:textId="506BF125" w:rsidR="009D6374" w:rsidRDefault="003B34BE" w:rsidP="00AC2583">
      <w:r>
        <w:t>In RAN1#100</w:t>
      </w:r>
      <w:r w:rsidR="0055573B">
        <w:t>-</w:t>
      </w:r>
      <w:r>
        <w:t>e</w:t>
      </w:r>
      <w:r w:rsidR="005F2B06">
        <w:t xml:space="preserve"> two </w:t>
      </w:r>
      <w:r w:rsidR="009D6374">
        <w:t xml:space="preserve">companies objected </w:t>
      </w:r>
      <w:r>
        <w:t xml:space="preserve">to </w:t>
      </w:r>
      <w:r w:rsidR="009D6374">
        <w:t>the one</w:t>
      </w:r>
      <w:r w:rsidR="00321212">
        <w:t xml:space="preserve"> </w:t>
      </w:r>
      <w:r w:rsidR="009D6374">
        <w:t>bit</w:t>
      </w:r>
      <w:r w:rsidR="00321212">
        <w:t xml:space="preserve"> of </w:t>
      </w:r>
      <w:r w:rsidR="00A97629">
        <w:t xml:space="preserve">zero </w:t>
      </w:r>
      <w:r w:rsidR="00321212">
        <w:t>padding</w:t>
      </w:r>
      <w:r w:rsidR="009D6374">
        <w:t xml:space="preserve"> </w:t>
      </w:r>
      <w:r w:rsidR="00EB0884">
        <w:t>solution</w:t>
      </w:r>
      <w:r>
        <w:t>, and one company objected to concluding on the second proposal</w:t>
      </w:r>
      <w:r w:rsidR="00886CBC">
        <w:t>.</w:t>
      </w:r>
      <w:r w:rsidR="0055573B">
        <w:t xml:space="preserve"> In RAN1#100bis-e, the issue was recommended by the feature lead to be postponed to RAN1#101-e, with a suggestion for companies to check if there are any configuration issues (see R1-2002742, section 3, issue A-1).</w:t>
      </w:r>
    </w:p>
    <w:p w14:paraId="5EFBAA93" w14:textId="792F823F" w:rsidR="00741C5E" w:rsidRDefault="00741C5E" w:rsidP="00AC2583">
      <w:r>
        <w:t>In this contribution,</w:t>
      </w:r>
      <w:r w:rsidR="001C7A2C">
        <w:t xml:space="preserve"> we </w:t>
      </w:r>
      <w:r w:rsidR="00C62161">
        <w:t>discuss the proposals, and explain</w:t>
      </w:r>
      <w:r w:rsidR="001C7A2C">
        <w:t xml:space="preserve"> our preference to support the one bit of </w:t>
      </w:r>
      <w:r w:rsidR="00C62161">
        <w:t xml:space="preserve">zero </w:t>
      </w:r>
      <w:r w:rsidR="001C7A2C">
        <w:t>padding.</w:t>
      </w:r>
      <w:r w:rsidR="00C62161">
        <w:t xml:space="preserve"> However, it is also clear that this should not be considered an objectionable issue from anyone, so can hopefully be resolved quickly in RAN1#10</w:t>
      </w:r>
      <w:r w:rsidR="0055573B">
        <w:t>1-e.</w:t>
      </w:r>
    </w:p>
    <w:p w14:paraId="488AAC24" w14:textId="0762C7FF" w:rsidR="00AC2583" w:rsidRDefault="00F861B8" w:rsidP="00AC2583">
      <w:pPr>
        <w:pStyle w:val="Heading1"/>
        <w:rPr>
          <w:rFonts w:eastAsia="SimSun"/>
        </w:rPr>
      </w:pPr>
      <w:r>
        <w:rPr>
          <w:rFonts w:eastAsia="SimSun"/>
        </w:rPr>
        <w:t xml:space="preserve">Discussion </w:t>
      </w:r>
    </w:p>
    <w:p w14:paraId="26B072C5" w14:textId="79E2BA5E" w:rsidR="00D96F56" w:rsidRDefault="009508D3" w:rsidP="00073486">
      <w:r>
        <w:t>W</w:t>
      </w:r>
      <w:r w:rsidR="004F02EC">
        <w:t>ith LTE and</w:t>
      </w:r>
      <w:r w:rsidR="00EB0884">
        <w:t xml:space="preserve"> NR there are cases where the same RNTI is used for two DCIs</w:t>
      </w:r>
      <w:r w:rsidR="00622148">
        <w:t xml:space="preserve">, </w:t>
      </w:r>
      <w:r w:rsidR="00632C17">
        <w:t>including cases where there are configurable fields such as CSI Request and CBG fields [</w:t>
      </w:r>
      <w:r w:rsidR="00D219B5">
        <w:t>2</w:t>
      </w:r>
      <w:r w:rsidR="00632C17">
        <w:t xml:space="preserve">]. The adopted </w:t>
      </w:r>
      <w:r w:rsidR="00622148">
        <w:t>solution</w:t>
      </w:r>
      <w:r w:rsidR="00632C17">
        <w:t>, which as a shorthand we will call a “safety check”, is</w:t>
      </w:r>
      <w:r w:rsidR="00622148">
        <w:t xml:space="preserve"> to differentiate the two DCIs</w:t>
      </w:r>
      <w:r w:rsidR="00EB0884">
        <w:t xml:space="preserve"> </w:t>
      </w:r>
      <w:r w:rsidR="00632C17">
        <w:t>by adding a</w:t>
      </w:r>
      <w:r w:rsidR="00CA2B22">
        <w:t xml:space="preserve"> </w:t>
      </w:r>
      <w:r w:rsidR="000C357F">
        <w:t>zero</w:t>
      </w:r>
      <w:r w:rsidR="00EB0884">
        <w:t xml:space="preserve"> bit to ensure they can be differentiated</w:t>
      </w:r>
      <w:r w:rsidR="00A801B5">
        <w:t xml:space="preserve"> [</w:t>
      </w:r>
      <w:r w:rsidR="00D219B5">
        <w:t>3</w:t>
      </w:r>
      <w:r w:rsidR="00A801B5">
        <w:t>]</w:t>
      </w:r>
      <w:r w:rsidR="00EB0884">
        <w:t xml:space="preserve">. </w:t>
      </w:r>
      <w:r w:rsidR="001A3F4B">
        <w:t xml:space="preserve">With such an approach, the UE does not need to make any assumption on </w:t>
      </w:r>
      <w:proofErr w:type="spellStart"/>
      <w:r w:rsidR="001A3F4B">
        <w:t>gNB</w:t>
      </w:r>
      <w:proofErr w:type="spellEnd"/>
      <w:r w:rsidR="001A3F4B">
        <w:t xml:space="preserve"> operation and disambiguation is enforced.</w:t>
      </w:r>
      <w:r w:rsidR="00E643A9">
        <w:t xml:space="preserve"> With the second solution, th</w:t>
      </w:r>
      <w:r w:rsidR="003E4B58">
        <w:t xml:space="preserve">is final </w:t>
      </w:r>
      <w:r w:rsidR="00E643A9">
        <w:t xml:space="preserve">“safety check” is removed and the UE relies upon the </w:t>
      </w:r>
      <w:proofErr w:type="spellStart"/>
      <w:r w:rsidR="00E643A9">
        <w:t>gNB</w:t>
      </w:r>
      <w:proofErr w:type="spellEnd"/>
      <w:r w:rsidR="00E643A9">
        <w:t xml:space="preserve"> to configure fields such that the DCIs can always be distinguished. </w:t>
      </w:r>
    </w:p>
    <w:p w14:paraId="31B2DDC5" w14:textId="765979AA" w:rsidR="001A3F4B" w:rsidRDefault="003E4B58" w:rsidP="001A3F4B">
      <w:r>
        <w:t xml:space="preserve">Here we discuss briefly the two approaches, and how the change in procedure with the second approach may impact implementation and restrict a desired </w:t>
      </w:r>
      <w:proofErr w:type="spellStart"/>
      <w:r>
        <w:t>gNB</w:t>
      </w:r>
      <w:proofErr w:type="spellEnd"/>
      <w:r>
        <w:t xml:space="preserve"> configuration. </w:t>
      </w:r>
    </w:p>
    <w:p w14:paraId="03445637" w14:textId="6D41215C" w:rsidR="00D96F56" w:rsidRPr="002A3F22" w:rsidRDefault="003E4B58" w:rsidP="00EB0884">
      <w:pPr>
        <w:rPr>
          <w:b/>
          <w:bCs/>
          <w:i/>
          <w:iCs/>
          <w:u w:val="single"/>
        </w:rPr>
      </w:pPr>
      <w:r>
        <w:rPr>
          <w:b/>
          <w:bCs/>
          <w:i/>
          <w:iCs/>
          <w:u w:val="single"/>
        </w:rPr>
        <w:t>Implementation</w:t>
      </w:r>
    </w:p>
    <w:p w14:paraId="01CB1647" w14:textId="3DF28EAE" w:rsidR="00D96F56" w:rsidRDefault="003E4B58" w:rsidP="00EB0884">
      <w:r>
        <w:t>At first glance, it seems the implementation (</w:t>
      </w:r>
      <w:r w:rsidR="007724D8">
        <w:t>including (re)</w:t>
      </w:r>
      <w:r>
        <w:t xml:space="preserve">design work) will be at the UE with the “safety check” and at the </w:t>
      </w:r>
      <w:proofErr w:type="spellStart"/>
      <w:r>
        <w:t>gNB</w:t>
      </w:r>
      <w:proofErr w:type="spellEnd"/>
      <w:r>
        <w:t xml:space="preserve"> by removing the “safety check” and configuring to avoid issues. However, c</w:t>
      </w:r>
      <w:r w:rsidR="004C010D">
        <w:t xml:space="preserve">hanging legacy operation can impact both the UE and </w:t>
      </w:r>
      <w:proofErr w:type="spellStart"/>
      <w:r w:rsidR="004C010D">
        <w:t>gNB</w:t>
      </w:r>
      <w:proofErr w:type="spellEnd"/>
      <w:r w:rsidR="004C010D">
        <w:t xml:space="preserve"> implementations. </w:t>
      </w:r>
      <w:r w:rsidR="00426D4A">
        <w:t>Having the UE s</w:t>
      </w:r>
      <w:r w:rsidR="00844A85">
        <w:t xml:space="preserve">upporting </w:t>
      </w:r>
      <w:r w:rsidR="00A4176E">
        <w:t>the legacy DCIs and the new DCIs</w:t>
      </w:r>
      <w:r w:rsidR="00426D4A">
        <w:t xml:space="preserve"> </w:t>
      </w:r>
      <w:r w:rsidR="00D038EC">
        <w:t xml:space="preserve">with </w:t>
      </w:r>
      <w:r w:rsidR="00426D4A">
        <w:t xml:space="preserve">different mechanisms </w:t>
      </w:r>
      <w:r w:rsidR="00554C3D">
        <w:t xml:space="preserve">causes an implementation burden at the UE where you remove or bypass software checks which are </w:t>
      </w:r>
      <w:r w:rsidR="002066F0">
        <w:t xml:space="preserve">already implemented </w:t>
      </w:r>
      <w:r w:rsidR="00554C3D">
        <w:t xml:space="preserve">for LTE and NR DCI. It may also cause a burden at the </w:t>
      </w:r>
      <w:proofErr w:type="spellStart"/>
      <w:r w:rsidR="00554C3D">
        <w:t>gNB</w:t>
      </w:r>
      <w:proofErr w:type="spellEnd"/>
      <w:r w:rsidR="00554C3D">
        <w:t xml:space="preserve"> side </w:t>
      </w:r>
      <w:r w:rsidR="002D1333">
        <w:t>by consolidating</w:t>
      </w:r>
      <w:r w:rsidR="00554C3D">
        <w:t xml:space="preserve"> the safety check into the software that sets the desired fields</w:t>
      </w:r>
      <w:r w:rsidR="002D1333">
        <w:t xml:space="preserve">, but just for these </w:t>
      </w:r>
      <w:r>
        <w:t xml:space="preserve">new </w:t>
      </w:r>
      <w:r w:rsidR="002D1333">
        <w:t>DCI</w:t>
      </w:r>
      <w:r w:rsidR="00073486">
        <w:t>. It is unclear whether the removal of the check at the UE for these DCI is worth the design efforts. In any case, there does not seem to be a show-stopping implementation issue with either approach.</w:t>
      </w:r>
    </w:p>
    <w:p w14:paraId="67C6B6FB" w14:textId="16BEA240" w:rsidR="007724D8" w:rsidRDefault="007724D8" w:rsidP="00EB0884"/>
    <w:p w14:paraId="79242324" w14:textId="02B9DE95" w:rsidR="00426D4A" w:rsidRPr="002A3F22" w:rsidRDefault="00EA5DEA" w:rsidP="00426D4A">
      <w:pPr>
        <w:rPr>
          <w:b/>
          <w:bCs/>
          <w:i/>
          <w:iCs/>
          <w:u w:val="single"/>
        </w:rPr>
      </w:pPr>
      <w:r>
        <w:rPr>
          <w:b/>
          <w:bCs/>
          <w:i/>
          <w:iCs/>
          <w:u w:val="single"/>
        </w:rPr>
        <w:t>Restrictions on configured functionality</w:t>
      </w:r>
    </w:p>
    <w:p w14:paraId="69AD46EC" w14:textId="6C6CD08C" w:rsidR="00A52C6C" w:rsidRPr="00B56CA7" w:rsidRDefault="00EA5DEA" w:rsidP="00A52C6C">
      <w:r>
        <w:t xml:space="preserve">The new formats have to support a very large variety of known and </w:t>
      </w:r>
      <w:r w:rsidR="002D3C5B">
        <w:t xml:space="preserve">future </w:t>
      </w:r>
      <w:r>
        <w:t xml:space="preserve">URLLC services. In this sense, it is not guaranteed that there will be many fields which can be easily adjusted without impacting desired functionality. For some </w:t>
      </w:r>
      <w:r w:rsidR="00426D4A" w:rsidRPr="002A3F22">
        <w:t xml:space="preserve">URLLC applications there might </w:t>
      </w:r>
      <w:r w:rsidR="002D3C5B">
        <w:t>be traffic where the</w:t>
      </w:r>
      <w:r w:rsidR="00426D4A" w:rsidRPr="002A3F22">
        <w:t xml:space="preserve"> configured DCI format </w:t>
      </w:r>
      <w:r w:rsidR="002D3C5B">
        <w:t>has</w:t>
      </w:r>
      <w:r w:rsidR="002D3C5B" w:rsidRPr="002A3F22">
        <w:t xml:space="preserve"> </w:t>
      </w:r>
      <w:r w:rsidR="00726200">
        <w:t xml:space="preserve">most </w:t>
      </w:r>
      <w:r w:rsidR="00426D4A" w:rsidRPr="002A3F22">
        <w:t xml:space="preserve">fields </w:t>
      </w:r>
      <w:r w:rsidR="00726200">
        <w:t>using</w:t>
      </w:r>
      <w:r w:rsidR="00426D4A" w:rsidRPr="002A3F22">
        <w:t xml:space="preserve"> the maximum</w:t>
      </w:r>
      <w:r w:rsidR="008979CC">
        <w:t xml:space="preserve"> field size</w:t>
      </w:r>
      <w:r w:rsidR="00726200">
        <w:t xml:space="preserve"> by design</w:t>
      </w:r>
      <w:r w:rsidR="00426D4A" w:rsidRPr="002A3F22">
        <w:t>.</w:t>
      </w:r>
      <w:r w:rsidR="00ED67CF">
        <w:t xml:space="preserve"> As an example, assume there is a URLLC application using </w:t>
      </w:r>
      <w:r>
        <w:t xml:space="preserve">the </w:t>
      </w:r>
      <w:r w:rsidR="00ED67CF">
        <w:t xml:space="preserve">new DCI format </w:t>
      </w:r>
      <w:r>
        <w:t xml:space="preserve">for the 6 bit TDRA field. If that size aligns wrong, there is not </w:t>
      </w:r>
      <w:r w:rsidR="002D3C5B">
        <w:t xml:space="preserve">a </w:t>
      </w:r>
      <w:r>
        <w:t>way to provide the desired 6 bit TDRA functionality. There may be other examples considering all possible configurations</w:t>
      </w:r>
      <w:r w:rsidR="002D3C5B">
        <w:t xml:space="preserve"> (now and in the future)</w:t>
      </w:r>
      <w:r>
        <w:t xml:space="preserve">.   </w:t>
      </w:r>
    </w:p>
    <w:p w14:paraId="14292F81" w14:textId="10E5A329" w:rsidR="009F6A28" w:rsidRDefault="009F6A28" w:rsidP="004F5750">
      <w:pPr>
        <w:rPr>
          <w:bCs/>
        </w:rPr>
      </w:pPr>
      <w:r w:rsidRPr="00CA2B22">
        <w:t>As another example,</w:t>
      </w:r>
      <w:r w:rsidR="00FC6DD0" w:rsidRPr="009F6A28">
        <w:t xml:space="preserve"> </w:t>
      </w:r>
      <w:r w:rsidR="002D3C5B">
        <w:t xml:space="preserve">it was argued that rather than configure a desired smaller size </w:t>
      </w:r>
      <w:r w:rsidR="00FC6DD0">
        <w:t xml:space="preserve">HARQ processes </w:t>
      </w:r>
      <w:r w:rsidR="002D3C5B">
        <w:t>field (</w:t>
      </w:r>
      <w:r w:rsidR="00FC6DD0">
        <w:t xml:space="preserve">which </w:t>
      </w:r>
      <w:r w:rsidR="002D3C5B">
        <w:t xml:space="preserve">can </w:t>
      </w:r>
      <w:r w:rsidR="00FC6DD0">
        <w:t xml:space="preserve">be of length </w:t>
      </w:r>
      <w:r w:rsidR="00F1248C">
        <w:t xml:space="preserve">0, 1, 2, 3 or </w:t>
      </w:r>
      <w:r w:rsidR="00F1248C" w:rsidRPr="002625EB">
        <w:rPr>
          <w:rFonts w:hint="eastAsia"/>
          <w:lang w:eastAsia="zh-CN"/>
        </w:rPr>
        <w:t>4</w:t>
      </w:r>
      <w:r w:rsidR="00F1248C" w:rsidRPr="002625EB">
        <w:t xml:space="preserve"> bits</w:t>
      </w:r>
      <w:r w:rsidR="00F1248C">
        <w:t xml:space="preserve"> </w:t>
      </w:r>
      <w:r w:rsidR="002D3C5B">
        <w:t xml:space="preserve">as configured </w:t>
      </w:r>
      <w:r w:rsidR="00F1248C">
        <w:t>by higher layer parameter</w:t>
      </w:r>
      <w:r w:rsidR="002D3C5B">
        <w:t>)</w:t>
      </w:r>
      <w:r w:rsidR="00CA2B22">
        <w:rPr>
          <w:iCs/>
        </w:rPr>
        <w:t>,</w:t>
      </w:r>
      <w:r>
        <w:rPr>
          <w:iCs/>
        </w:rPr>
        <w:t xml:space="preserve"> the field could be kept </w:t>
      </w:r>
      <w:r w:rsidR="002D3C5B">
        <w:rPr>
          <w:iCs/>
        </w:rPr>
        <w:t>at the larger size</w:t>
      </w:r>
      <w:r>
        <w:rPr>
          <w:iCs/>
        </w:rPr>
        <w:t xml:space="preserve"> and </w:t>
      </w:r>
      <w:r w:rsidR="002D3C5B">
        <w:rPr>
          <w:iCs/>
        </w:rPr>
        <w:t xml:space="preserve">only use a subset of the total </w:t>
      </w:r>
      <w:r>
        <w:rPr>
          <w:iCs/>
        </w:rPr>
        <w:t>processes</w:t>
      </w:r>
      <w:r w:rsidR="00FC6DD0">
        <w:t>.</w:t>
      </w:r>
      <w:r w:rsidR="00F1248C">
        <w:t xml:space="preserve"> </w:t>
      </w:r>
      <w:r>
        <w:t>As a</w:t>
      </w:r>
      <w:r w:rsidR="002D12CB" w:rsidRPr="002A3F22">
        <w:t xml:space="preserve"> UE may implement its soft buffer management according to the maximum number of HARQ processe</w:t>
      </w:r>
      <w:r>
        <w:t>s, w</w:t>
      </w:r>
      <w:r w:rsidR="002D12CB" w:rsidRPr="002A3F22">
        <w:t xml:space="preserve">hen </w:t>
      </w:r>
      <w:r w:rsidR="00422321">
        <w:t>a smaller number of</w:t>
      </w:r>
      <w:r w:rsidR="00422321" w:rsidRPr="002A3F22">
        <w:t xml:space="preserve"> </w:t>
      </w:r>
      <w:r w:rsidR="002D12CB" w:rsidRPr="002A3F22">
        <w:t xml:space="preserve">HARQ processes are configured, </w:t>
      </w:r>
      <w:r>
        <w:t xml:space="preserve">it can be expected that </w:t>
      </w:r>
      <w:r w:rsidR="002D12CB" w:rsidRPr="002A3F22">
        <w:t xml:space="preserve">the average memory per process can increase. However, </w:t>
      </w:r>
      <w:r>
        <w:t xml:space="preserve">if </w:t>
      </w:r>
      <w:r w:rsidR="00422321">
        <w:t xml:space="preserve">a large number of </w:t>
      </w:r>
      <w:r>
        <w:t>processes are configured the UE will not know that only a few processes that could possibly be used, thus potentially degrading performance.</w:t>
      </w:r>
    </w:p>
    <w:p w14:paraId="260DCB81" w14:textId="09AE6734" w:rsidR="004F5750" w:rsidRDefault="004F5750" w:rsidP="004F5750">
      <w:pPr>
        <w:rPr>
          <w:bCs/>
        </w:rPr>
      </w:pPr>
      <w:r w:rsidRPr="00152427">
        <w:rPr>
          <w:bCs/>
        </w:rPr>
        <w:t xml:space="preserve">Based on the above discussion, given the </w:t>
      </w:r>
      <w:r w:rsidR="00F023B5">
        <w:rPr>
          <w:bCs/>
        </w:rPr>
        <w:t>possible configuration restrictions and implementation tradeoffs, we prefer</w:t>
      </w:r>
      <w:r w:rsidRPr="00152427">
        <w:rPr>
          <w:bCs/>
        </w:rPr>
        <w:t xml:space="preserve"> to continue to use the current “safety check” for the new DCI. The related proposals are</w:t>
      </w:r>
      <w:r>
        <w:rPr>
          <w:bCs/>
        </w:rPr>
        <w:t xml:space="preserve"> given below (copied from the final summary [4]), with the related text proposal removing the “[“ in the DCI formats.</w:t>
      </w:r>
    </w:p>
    <w:p w14:paraId="3DADCA39" w14:textId="6C20D832" w:rsidR="00EB0884" w:rsidRDefault="00EB0884" w:rsidP="00EB0884"/>
    <w:p w14:paraId="77A0BBE2" w14:textId="77777777" w:rsidR="004F5750" w:rsidRPr="006F671E" w:rsidRDefault="004F5750" w:rsidP="004F5750">
      <w:pPr>
        <w:rPr>
          <w:bCs/>
          <w:i/>
          <w:iCs/>
        </w:rPr>
      </w:pPr>
      <w:r w:rsidRPr="00152427">
        <w:rPr>
          <w:b/>
          <w:i/>
          <w:iCs/>
        </w:rPr>
        <w:t>Proposal #1:</w:t>
      </w:r>
      <w:r w:rsidRPr="00152427">
        <w:rPr>
          <w:bCs/>
          <w:i/>
          <w:iCs/>
        </w:rPr>
        <w:t xml:space="preserve"> One zero-padding bit is added to DCI format 0_2/1_2 to differentiate DCI format 0_2/1_2 monitored in USS and DCI format 0_0/1_0 monitored in another USS.</w:t>
      </w:r>
    </w:p>
    <w:p w14:paraId="6C54C56F" w14:textId="77777777" w:rsidR="004F5750" w:rsidRPr="006F671E" w:rsidRDefault="004F5750" w:rsidP="004F5750">
      <w:pPr>
        <w:rPr>
          <w:bCs/>
          <w:i/>
          <w:iCs/>
        </w:rPr>
      </w:pPr>
      <w:r w:rsidRPr="006F671E">
        <w:rPr>
          <w:b/>
          <w:i/>
          <w:iCs/>
        </w:rPr>
        <w:t>Proposal #</w:t>
      </w:r>
      <w:r>
        <w:rPr>
          <w:b/>
          <w:i/>
          <w:iCs/>
        </w:rPr>
        <w:t>2</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573AE799" w14:textId="38B2A134" w:rsidR="00F036D1" w:rsidRDefault="004F5750" w:rsidP="00AC2583">
      <w:pPr>
        <w:rPr>
          <w:bCs/>
          <w:i/>
          <w:iCs/>
        </w:rPr>
      </w:pPr>
      <w:r w:rsidRPr="006F671E">
        <w:rPr>
          <w:b/>
          <w:i/>
          <w:iCs/>
        </w:rPr>
        <w:t>Proposal #</w:t>
      </w:r>
      <w:r>
        <w:rPr>
          <w:b/>
          <w:i/>
          <w:iCs/>
        </w:rPr>
        <w:t>3</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2A2E5B17" w14:textId="4F694B29" w:rsidR="009C5244" w:rsidRDefault="009C5244" w:rsidP="00AC2583"/>
    <w:p w14:paraId="7DD4D78D" w14:textId="02D57B89" w:rsidR="009C5244" w:rsidRDefault="009C5244" w:rsidP="009C5244">
      <w:r>
        <w:t xml:space="preserve">As a side not to the DCI alignment issue, but related to the configurable size number of HARQ channels, the performance </w:t>
      </w:r>
      <w:r>
        <w:t xml:space="preserve">will increase if the </w:t>
      </w:r>
      <w:proofErr w:type="spellStart"/>
      <w:r>
        <w:t>gNB</w:t>
      </w:r>
      <w:proofErr w:type="spellEnd"/>
      <w:r>
        <w:t xml:space="preserve"> use</w:t>
      </w:r>
      <w:r>
        <w:t>s</w:t>
      </w:r>
      <w:r>
        <w:t xml:space="preserve"> FBRM instead of LBRM along with the reduced processes, with the UE using the extra memory for FBRM to improve performance of that ultra-reliable application.</w:t>
      </w:r>
      <w:r>
        <w:t xml:space="preserve"> </w:t>
      </w:r>
      <w:r>
        <w:t>In Rel-15 the number of HARQ processes is not configurable, and LBRM is always used on the downlink. In Rel-16 LBRM</w:t>
      </w:r>
      <w:r>
        <w:t xml:space="preserve"> or </w:t>
      </w:r>
      <w:r>
        <w:t>FBRM may</w:t>
      </w:r>
      <w:r>
        <w:t xml:space="preserve"> not have been discussed. When the number of bits is smaller than the maximum, FBRM should be possible.</w:t>
      </w:r>
    </w:p>
    <w:p w14:paraId="7C71A5EC" w14:textId="7DC2FFBD" w:rsidR="009C5244" w:rsidRDefault="009C5244" w:rsidP="009C5244">
      <w:pPr>
        <w:rPr>
          <w:bCs/>
          <w:i/>
          <w:iCs/>
        </w:rPr>
      </w:pPr>
      <w:r w:rsidRPr="006F671E">
        <w:rPr>
          <w:b/>
          <w:i/>
          <w:iCs/>
        </w:rPr>
        <w:t>Proposal #</w:t>
      </w:r>
      <w:r>
        <w:rPr>
          <w:b/>
          <w:i/>
          <w:iCs/>
        </w:rPr>
        <w:t>4</w:t>
      </w:r>
      <w:r w:rsidRPr="006F671E">
        <w:rPr>
          <w:b/>
          <w:i/>
          <w:iCs/>
        </w:rPr>
        <w:t>:</w:t>
      </w:r>
      <w:r w:rsidRPr="006F671E">
        <w:rPr>
          <w:bCs/>
          <w:i/>
          <w:iCs/>
        </w:rPr>
        <w:t xml:space="preserve"> </w:t>
      </w:r>
      <w:r>
        <w:rPr>
          <w:bCs/>
          <w:i/>
          <w:iCs/>
        </w:rPr>
        <w:t>FBRM is used on the downlink to improve</w:t>
      </w:r>
      <w:r w:rsidR="00240113">
        <w:rPr>
          <w:bCs/>
          <w:i/>
          <w:iCs/>
        </w:rPr>
        <w:t xml:space="preserve"> the reliability of URLLC.</w:t>
      </w:r>
    </w:p>
    <w:p w14:paraId="15753A84" w14:textId="77777777" w:rsidR="009C5244" w:rsidRDefault="009C5244" w:rsidP="00AC2583"/>
    <w:p w14:paraId="02C01FD0" w14:textId="77777777" w:rsidR="00AC2583" w:rsidRDefault="00AC2583" w:rsidP="00AC2583">
      <w:pPr>
        <w:pStyle w:val="Heading1"/>
        <w:rPr>
          <w:rFonts w:eastAsia="SimSun"/>
        </w:rPr>
      </w:pPr>
      <w:bookmarkStart w:id="2" w:name="_Ref129681832"/>
      <w:r>
        <w:rPr>
          <w:rFonts w:eastAsia="SimSun"/>
        </w:rPr>
        <w:t>Conclusions</w:t>
      </w:r>
    </w:p>
    <w:p w14:paraId="1F912437" w14:textId="5FA7F68F" w:rsidR="00AC2583" w:rsidRDefault="00AC2583" w:rsidP="00AC2583">
      <w:r>
        <w:t xml:space="preserve">This paper discussed </w:t>
      </w:r>
      <w:r w:rsidR="00EB0884">
        <w:t xml:space="preserve">the possibility of </w:t>
      </w:r>
      <w:r w:rsidR="00F861B8">
        <w:t>supporting</w:t>
      </w:r>
      <w:r w:rsidR="00EB0884">
        <w:t xml:space="preserve"> </w:t>
      </w:r>
      <w:r w:rsidR="00027E21">
        <w:t xml:space="preserve">the one </w:t>
      </w:r>
      <w:r w:rsidR="001C6A6C">
        <w:t xml:space="preserve">zero </w:t>
      </w:r>
      <w:r w:rsidR="00027E21">
        <w:t xml:space="preserve">bit padding </w:t>
      </w:r>
      <w:r w:rsidR="001C6A6C">
        <w:t>to differentiate DCI formats monitored in the USSs</w:t>
      </w:r>
      <w:r w:rsidR="00D91909">
        <w:t>.</w:t>
      </w:r>
    </w:p>
    <w:p w14:paraId="5B002B48" w14:textId="77777777" w:rsidR="004F5750" w:rsidRPr="006F671E" w:rsidRDefault="004F5750" w:rsidP="004F5750">
      <w:pPr>
        <w:rPr>
          <w:bCs/>
          <w:i/>
          <w:iCs/>
        </w:rPr>
      </w:pPr>
      <w:r w:rsidRPr="00152427">
        <w:rPr>
          <w:b/>
          <w:i/>
          <w:iCs/>
        </w:rPr>
        <w:t>Proposal #1:</w:t>
      </w:r>
      <w:r w:rsidRPr="00152427">
        <w:rPr>
          <w:bCs/>
          <w:i/>
          <w:iCs/>
        </w:rPr>
        <w:t xml:space="preserve"> One zero-padding bit is added to DCI format 0_2/1_2 to differentiate DCI format 0_2/1_2 monitored in USS and DCI format 0_0/1_0 monitored in another USS.</w:t>
      </w:r>
    </w:p>
    <w:p w14:paraId="30893EE0" w14:textId="77777777" w:rsidR="004F5750" w:rsidRPr="006F671E" w:rsidRDefault="004F5750" w:rsidP="004F5750">
      <w:pPr>
        <w:rPr>
          <w:bCs/>
          <w:i/>
          <w:iCs/>
        </w:rPr>
      </w:pPr>
      <w:r w:rsidRPr="006F671E">
        <w:rPr>
          <w:b/>
          <w:i/>
          <w:iCs/>
        </w:rPr>
        <w:t>Proposal #</w:t>
      </w:r>
      <w:r>
        <w:rPr>
          <w:b/>
          <w:i/>
          <w:iCs/>
        </w:rPr>
        <w:t>2</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F08BE7E" w14:textId="5AFC6800" w:rsidR="00240113" w:rsidRDefault="004F5750" w:rsidP="004F5750">
      <w:pPr>
        <w:rPr>
          <w:bCs/>
          <w:i/>
          <w:iCs/>
        </w:rPr>
      </w:pPr>
      <w:r w:rsidRPr="006F671E">
        <w:rPr>
          <w:b/>
          <w:i/>
          <w:iCs/>
        </w:rPr>
        <w:lastRenderedPageBreak/>
        <w:t>Proposal #</w:t>
      </w:r>
      <w:r>
        <w:rPr>
          <w:b/>
          <w:i/>
          <w:iCs/>
        </w:rPr>
        <w:t>3</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28C843D2" w14:textId="694D7132" w:rsidR="00240113" w:rsidRPr="006F671E" w:rsidRDefault="00240113" w:rsidP="004F5750">
      <w:pPr>
        <w:rPr>
          <w:bCs/>
          <w:i/>
          <w:iCs/>
        </w:rPr>
      </w:pPr>
      <w:r w:rsidRPr="006F671E">
        <w:rPr>
          <w:b/>
          <w:i/>
          <w:iCs/>
        </w:rPr>
        <w:t>Proposal #</w:t>
      </w:r>
      <w:r>
        <w:rPr>
          <w:b/>
          <w:i/>
          <w:iCs/>
        </w:rPr>
        <w:t>4</w:t>
      </w:r>
      <w:r w:rsidRPr="006F671E">
        <w:rPr>
          <w:b/>
          <w:i/>
          <w:iCs/>
        </w:rPr>
        <w:t>:</w:t>
      </w:r>
      <w:r w:rsidRPr="006F671E">
        <w:rPr>
          <w:bCs/>
          <w:i/>
          <w:iCs/>
        </w:rPr>
        <w:t xml:space="preserve"> </w:t>
      </w:r>
      <w:r>
        <w:rPr>
          <w:bCs/>
          <w:i/>
          <w:iCs/>
        </w:rPr>
        <w:t>FBRM is used on the downlink to improve the reliability of URLLC.</w:t>
      </w:r>
    </w:p>
    <w:p w14:paraId="009D92CD" w14:textId="77777777" w:rsidR="00AC2583" w:rsidRDefault="00AC2583" w:rsidP="00AC2583">
      <w:pPr>
        <w:rPr>
          <w:lang w:eastAsia="zh-CN"/>
        </w:rPr>
      </w:pPr>
    </w:p>
    <w:p w14:paraId="38158622" w14:textId="77777777" w:rsidR="00AC2583" w:rsidRDefault="00AC2583" w:rsidP="00AC2583">
      <w:pPr>
        <w:pStyle w:val="Heading1"/>
        <w:rPr>
          <w:rFonts w:eastAsia="SimSun"/>
        </w:rPr>
      </w:pPr>
      <w:bookmarkStart w:id="3" w:name="_Ref124671424"/>
      <w:bookmarkStart w:id="4" w:name="_Ref71620620"/>
      <w:bookmarkStart w:id="5" w:name="_Ref124589665"/>
      <w:r>
        <w:rPr>
          <w:rFonts w:eastAsia="SimSun"/>
        </w:rPr>
        <w:t>References</w:t>
      </w:r>
    </w:p>
    <w:bookmarkEnd w:id="2"/>
    <w:bookmarkEnd w:id="3"/>
    <w:bookmarkEnd w:id="4"/>
    <w:bookmarkEnd w:id="5"/>
    <w:p w14:paraId="22356E5C" w14:textId="77777777" w:rsidR="004F5750" w:rsidRDefault="004F5750" w:rsidP="004F5750">
      <w:r>
        <w:t>[1] Email discussion/approval on remaining issues on DCI format [100e-NR-L1enh_URLLC_PDCCH-01]</w:t>
      </w:r>
    </w:p>
    <w:p w14:paraId="76D7858D" w14:textId="4B3E5C79" w:rsidR="004F5750" w:rsidRDefault="004F5750" w:rsidP="004F5750">
      <w:r>
        <w:t>[2] TS 38.212, “Multiplexing and Channel Coding”</w:t>
      </w:r>
      <w:r w:rsidR="00D219B5">
        <w:t>,</w:t>
      </w:r>
      <w:r>
        <w:t xml:space="preserve"> </w:t>
      </w:r>
      <w:r w:rsidR="00D219B5">
        <w:t>v16</w:t>
      </w:r>
      <w:r>
        <w:t xml:space="preserve">.0.0 </w:t>
      </w:r>
    </w:p>
    <w:p w14:paraId="452B7306" w14:textId="326E63C0" w:rsidR="004F5750" w:rsidRDefault="004F5750" w:rsidP="004F5750">
      <w:r>
        <w:t>[3] TS 38.214, “Physical Layer Procedures for Data”</w:t>
      </w:r>
      <w:r w:rsidR="00D219B5">
        <w:t>,</w:t>
      </w:r>
      <w:r>
        <w:t xml:space="preserve"> </w:t>
      </w:r>
      <w:r w:rsidR="00D219B5">
        <w:t>v16</w:t>
      </w:r>
      <w:r>
        <w:t xml:space="preserve">.0.0 </w:t>
      </w:r>
    </w:p>
    <w:p w14:paraId="2EE89050" w14:textId="442B761F" w:rsidR="004F5750" w:rsidRDefault="004F5750" w:rsidP="004F5750">
      <w:pPr>
        <w:spacing w:after="60"/>
        <w:ind w:left="1555" w:hanging="1555"/>
        <w:jc w:val="left"/>
        <w:rPr>
          <w:b/>
          <w:kern w:val="2"/>
          <w:lang w:eastAsia="zh-CN"/>
        </w:rPr>
      </w:pPr>
      <w:r>
        <w:t>[4] R1-2001404</w:t>
      </w:r>
      <w:r w:rsidR="00D219B5">
        <w:t>,</w:t>
      </w:r>
      <w:r>
        <w:t xml:space="preserve"> “</w:t>
      </w:r>
      <w:r w:rsidRPr="00235543">
        <w:rPr>
          <w:bCs/>
          <w:kern w:val="2"/>
          <w:lang w:eastAsia="zh-CN"/>
        </w:rPr>
        <w:t>Summary of email discussion [100e-NR-L1enh_URLLC_PDCCH-01] on remaining issues on DCI format</w:t>
      </w:r>
      <w:r>
        <w:rPr>
          <w:b/>
          <w:kern w:val="2"/>
          <w:lang w:eastAsia="zh-CN"/>
        </w:rPr>
        <w:t xml:space="preserve">" </w:t>
      </w:r>
    </w:p>
    <w:p w14:paraId="70B527D8" w14:textId="77777777" w:rsidR="00BB2F29" w:rsidRDefault="00BB2F29"/>
    <w:sectPr w:rsidR="00BB2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64B0E37"/>
    <w:multiLevelType w:val="hybridMultilevel"/>
    <w:tmpl w:val="AB7EA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E702B68"/>
    <w:multiLevelType w:val="hybridMultilevel"/>
    <w:tmpl w:val="768C5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E341A"/>
    <w:multiLevelType w:val="hybridMultilevel"/>
    <w:tmpl w:val="26CE3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F5B5D"/>
    <w:multiLevelType w:val="hybridMultilevel"/>
    <w:tmpl w:val="B7664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1"/>
  </w:num>
  <w:num w:numId="4">
    <w:abstractNumId w:val="0"/>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583"/>
    <w:rsid w:val="000165CD"/>
    <w:rsid w:val="00020468"/>
    <w:rsid w:val="00027E21"/>
    <w:rsid w:val="0003298B"/>
    <w:rsid w:val="0003423C"/>
    <w:rsid w:val="00054394"/>
    <w:rsid w:val="000568D5"/>
    <w:rsid w:val="00071612"/>
    <w:rsid w:val="00073486"/>
    <w:rsid w:val="000820C1"/>
    <w:rsid w:val="000B176D"/>
    <w:rsid w:val="000C357F"/>
    <w:rsid w:val="000F19F6"/>
    <w:rsid w:val="00112192"/>
    <w:rsid w:val="00120905"/>
    <w:rsid w:val="00123DA7"/>
    <w:rsid w:val="001A1103"/>
    <w:rsid w:val="001A3F4B"/>
    <w:rsid w:val="001C321A"/>
    <w:rsid w:val="001C6A6C"/>
    <w:rsid w:val="001C7A2C"/>
    <w:rsid w:val="002066F0"/>
    <w:rsid w:val="00215F4B"/>
    <w:rsid w:val="00240113"/>
    <w:rsid w:val="00241720"/>
    <w:rsid w:val="0029147F"/>
    <w:rsid w:val="002A3F22"/>
    <w:rsid w:val="002B0FD0"/>
    <w:rsid w:val="002B629D"/>
    <w:rsid w:val="002D12CB"/>
    <w:rsid w:val="002D1333"/>
    <w:rsid w:val="002D339C"/>
    <w:rsid w:val="002D3C5B"/>
    <w:rsid w:val="00321212"/>
    <w:rsid w:val="00327B43"/>
    <w:rsid w:val="003469E0"/>
    <w:rsid w:val="00377B9D"/>
    <w:rsid w:val="003A6F76"/>
    <w:rsid w:val="003A7640"/>
    <w:rsid w:val="003B34BE"/>
    <w:rsid w:val="003B3F52"/>
    <w:rsid w:val="003D0044"/>
    <w:rsid w:val="003E0739"/>
    <w:rsid w:val="003E4B58"/>
    <w:rsid w:val="003E6004"/>
    <w:rsid w:val="003F7727"/>
    <w:rsid w:val="00403F5F"/>
    <w:rsid w:val="004072A9"/>
    <w:rsid w:val="00422321"/>
    <w:rsid w:val="00426D4A"/>
    <w:rsid w:val="00452329"/>
    <w:rsid w:val="00497FC8"/>
    <w:rsid w:val="004B27A5"/>
    <w:rsid w:val="004B34D0"/>
    <w:rsid w:val="004C010D"/>
    <w:rsid w:val="004F02EC"/>
    <w:rsid w:val="004F11CD"/>
    <w:rsid w:val="004F5750"/>
    <w:rsid w:val="005075F0"/>
    <w:rsid w:val="00544BF5"/>
    <w:rsid w:val="0055418D"/>
    <w:rsid w:val="00554C3D"/>
    <w:rsid w:val="0055573B"/>
    <w:rsid w:val="005665C2"/>
    <w:rsid w:val="00574893"/>
    <w:rsid w:val="005B3279"/>
    <w:rsid w:val="005F2B06"/>
    <w:rsid w:val="00622148"/>
    <w:rsid w:val="0062245B"/>
    <w:rsid w:val="0062549D"/>
    <w:rsid w:val="00632C17"/>
    <w:rsid w:val="00634900"/>
    <w:rsid w:val="00655733"/>
    <w:rsid w:val="006B2335"/>
    <w:rsid w:val="006B44BF"/>
    <w:rsid w:val="006B69DF"/>
    <w:rsid w:val="006C683B"/>
    <w:rsid w:val="006D658E"/>
    <w:rsid w:val="006E2DB1"/>
    <w:rsid w:val="006F25F6"/>
    <w:rsid w:val="00726200"/>
    <w:rsid w:val="00736A3E"/>
    <w:rsid w:val="00741C5E"/>
    <w:rsid w:val="00753851"/>
    <w:rsid w:val="007724D8"/>
    <w:rsid w:val="007B1185"/>
    <w:rsid w:val="007C0408"/>
    <w:rsid w:val="00837A46"/>
    <w:rsid w:val="00844A85"/>
    <w:rsid w:val="00860563"/>
    <w:rsid w:val="00886CBC"/>
    <w:rsid w:val="008979CC"/>
    <w:rsid w:val="008E0AD6"/>
    <w:rsid w:val="00924D16"/>
    <w:rsid w:val="00931469"/>
    <w:rsid w:val="0093778E"/>
    <w:rsid w:val="009508D3"/>
    <w:rsid w:val="0096185A"/>
    <w:rsid w:val="00965547"/>
    <w:rsid w:val="00970148"/>
    <w:rsid w:val="00970C96"/>
    <w:rsid w:val="0099090D"/>
    <w:rsid w:val="009C0325"/>
    <w:rsid w:val="009C5244"/>
    <w:rsid w:val="009D6374"/>
    <w:rsid w:val="009F6A28"/>
    <w:rsid w:val="00A4176E"/>
    <w:rsid w:val="00A52C6C"/>
    <w:rsid w:val="00A801B5"/>
    <w:rsid w:val="00A93E91"/>
    <w:rsid w:val="00A96CCE"/>
    <w:rsid w:val="00A97629"/>
    <w:rsid w:val="00AA58AF"/>
    <w:rsid w:val="00AB2C53"/>
    <w:rsid w:val="00AC2583"/>
    <w:rsid w:val="00AE599F"/>
    <w:rsid w:val="00AF484D"/>
    <w:rsid w:val="00AF6480"/>
    <w:rsid w:val="00B12110"/>
    <w:rsid w:val="00B2118F"/>
    <w:rsid w:val="00B36266"/>
    <w:rsid w:val="00B56CA7"/>
    <w:rsid w:val="00B964CC"/>
    <w:rsid w:val="00BB2F29"/>
    <w:rsid w:val="00BF71A9"/>
    <w:rsid w:val="00C0475A"/>
    <w:rsid w:val="00C17B57"/>
    <w:rsid w:val="00C3512A"/>
    <w:rsid w:val="00C56BD9"/>
    <w:rsid w:val="00C62161"/>
    <w:rsid w:val="00C62474"/>
    <w:rsid w:val="00CA2B22"/>
    <w:rsid w:val="00CE200F"/>
    <w:rsid w:val="00CE7B5C"/>
    <w:rsid w:val="00D038EC"/>
    <w:rsid w:val="00D219B5"/>
    <w:rsid w:val="00D3487B"/>
    <w:rsid w:val="00D57003"/>
    <w:rsid w:val="00D91909"/>
    <w:rsid w:val="00D96F56"/>
    <w:rsid w:val="00DA10E4"/>
    <w:rsid w:val="00DA38F9"/>
    <w:rsid w:val="00DA7701"/>
    <w:rsid w:val="00E13B30"/>
    <w:rsid w:val="00E14A3D"/>
    <w:rsid w:val="00E26037"/>
    <w:rsid w:val="00E31B73"/>
    <w:rsid w:val="00E60DC4"/>
    <w:rsid w:val="00E643A9"/>
    <w:rsid w:val="00E645CA"/>
    <w:rsid w:val="00E67B43"/>
    <w:rsid w:val="00E7559D"/>
    <w:rsid w:val="00EA5DEA"/>
    <w:rsid w:val="00EB0884"/>
    <w:rsid w:val="00ED67CF"/>
    <w:rsid w:val="00F023B5"/>
    <w:rsid w:val="00F036D1"/>
    <w:rsid w:val="00F1248C"/>
    <w:rsid w:val="00F4051A"/>
    <w:rsid w:val="00F41B7F"/>
    <w:rsid w:val="00F62D29"/>
    <w:rsid w:val="00F85630"/>
    <w:rsid w:val="00F861B8"/>
    <w:rsid w:val="00FA4D12"/>
    <w:rsid w:val="00FB4684"/>
    <w:rsid w:val="00FC38BE"/>
    <w:rsid w:val="00FC3A57"/>
    <w:rsid w:val="00FC6DD0"/>
    <w:rsid w:val="00FD57F5"/>
    <w:rsid w:val="00FE4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4F101"/>
  <w15:chartTrackingRefBased/>
  <w15:docId w15:val="{43C94E7E-755E-45E2-BDBB-CCDAEB8A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583"/>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AC2583"/>
    <w:pPr>
      <w:keepNext/>
      <w:numPr>
        <w:numId w:val="1"/>
      </w:numPr>
      <w:pBdr>
        <w:top w:val="single" w:sz="12" w:space="1" w:color="auto"/>
      </w:pBdr>
      <w:spacing w:before="120"/>
      <w:outlineLvl w:val="0"/>
    </w:pPr>
    <w:rPr>
      <w:rFonts w:ascii="Arial" w:eastAsia="Times New Roman" w:hAnsi="Arial"/>
      <w:b/>
      <w:bCs/>
      <w:sz w:val="28"/>
      <w:szCs w:val="28"/>
    </w:rPr>
  </w:style>
  <w:style w:type="paragraph" w:styleId="Heading2">
    <w:name w:val="heading 2"/>
    <w:basedOn w:val="Normal"/>
    <w:next w:val="Normal"/>
    <w:link w:val="Heading2Char"/>
    <w:semiHidden/>
    <w:unhideWhenUsed/>
    <w:qFormat/>
    <w:rsid w:val="00AC2583"/>
    <w:pPr>
      <w:keepNext/>
      <w:numPr>
        <w:ilvl w:val="1"/>
        <w:numId w:val="1"/>
      </w:numPr>
      <w:spacing w:before="120"/>
      <w:outlineLvl w:val="1"/>
    </w:pPr>
    <w:rPr>
      <w:rFonts w:ascii="Arial" w:eastAsia="Times New Roman" w:hAnsi="Arial"/>
      <w:b/>
      <w:bCs/>
      <w:sz w:val="24"/>
    </w:rPr>
  </w:style>
  <w:style w:type="paragraph" w:styleId="Heading3">
    <w:name w:val="heading 3"/>
    <w:basedOn w:val="Normal"/>
    <w:next w:val="Normal"/>
    <w:link w:val="Heading3Char"/>
    <w:semiHidden/>
    <w:unhideWhenUsed/>
    <w:qFormat/>
    <w:rsid w:val="00AC2583"/>
    <w:pPr>
      <w:keepNext/>
      <w:numPr>
        <w:ilvl w:val="2"/>
        <w:numId w:val="1"/>
      </w:numPr>
      <w:spacing w:before="120"/>
      <w:outlineLvl w:val="2"/>
    </w:pPr>
    <w:rPr>
      <w:rFonts w:ascii="Arial" w:eastAsia="Times New Roman" w:hAnsi="Arial"/>
      <w:b/>
    </w:rPr>
  </w:style>
  <w:style w:type="paragraph" w:styleId="Heading4">
    <w:name w:val="heading 4"/>
    <w:basedOn w:val="Normal"/>
    <w:next w:val="Normal"/>
    <w:link w:val="Heading4Char"/>
    <w:semiHidden/>
    <w:unhideWhenUsed/>
    <w:qFormat/>
    <w:rsid w:val="00AC2583"/>
    <w:pPr>
      <w:keepNext/>
      <w:numPr>
        <w:ilvl w:val="3"/>
        <w:numId w:val="1"/>
      </w:numPr>
      <w:spacing w:before="120"/>
      <w:ind w:left="720" w:hanging="720"/>
      <w:outlineLvl w:val="3"/>
    </w:pPr>
    <w:rPr>
      <w:rFonts w:eastAsia="Times New Roman"/>
      <w:b/>
      <w:bCs/>
      <w:szCs w:val="28"/>
    </w:rPr>
  </w:style>
  <w:style w:type="paragraph" w:styleId="Heading5">
    <w:name w:val="heading 5"/>
    <w:basedOn w:val="Normal"/>
    <w:next w:val="Normal"/>
    <w:link w:val="Heading5Char"/>
    <w:semiHidden/>
    <w:unhideWhenUsed/>
    <w:qFormat/>
    <w:rsid w:val="00AC2583"/>
    <w:pPr>
      <w:keepNext/>
      <w:numPr>
        <w:ilvl w:val="4"/>
        <w:numId w:val="1"/>
      </w:numPr>
      <w:spacing w:before="120"/>
      <w:ind w:left="720" w:hanging="720"/>
      <w:outlineLvl w:val="4"/>
    </w:pPr>
    <w:rPr>
      <w:rFonts w:eastAsia="Times New Roman"/>
      <w:b/>
      <w:bCs/>
      <w:i/>
      <w:iCs/>
      <w:szCs w:val="26"/>
    </w:rPr>
  </w:style>
  <w:style w:type="paragraph" w:styleId="Heading6">
    <w:name w:val="heading 6"/>
    <w:basedOn w:val="Normal"/>
    <w:next w:val="Normal"/>
    <w:link w:val="Heading6Char"/>
    <w:semiHidden/>
    <w:unhideWhenUsed/>
    <w:qFormat/>
    <w:rsid w:val="00AC2583"/>
    <w:pPr>
      <w:numPr>
        <w:ilvl w:val="5"/>
        <w:numId w:val="1"/>
      </w:numPr>
      <w:spacing w:before="240" w:after="60"/>
      <w:outlineLvl w:val="5"/>
    </w:pPr>
    <w:rPr>
      <w:rFonts w:eastAsia="Times New Roman"/>
      <w:b/>
      <w:bCs/>
    </w:rPr>
  </w:style>
  <w:style w:type="paragraph" w:styleId="Heading7">
    <w:name w:val="heading 7"/>
    <w:basedOn w:val="Normal"/>
    <w:next w:val="Normal"/>
    <w:link w:val="Heading7Char"/>
    <w:semiHidden/>
    <w:unhideWhenUsed/>
    <w:qFormat/>
    <w:rsid w:val="00AC2583"/>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AC2583"/>
    <w:pPr>
      <w:numPr>
        <w:ilvl w:val="7"/>
        <w:numId w:val="1"/>
      </w:numPr>
      <w:spacing w:before="240" w:after="60"/>
      <w:outlineLvl w:val="7"/>
    </w:pPr>
    <w:rPr>
      <w:i/>
      <w:iCs/>
      <w:sz w:val="24"/>
      <w:szCs w:val="24"/>
    </w:rPr>
  </w:style>
  <w:style w:type="paragraph" w:styleId="Heading9">
    <w:name w:val="heading 9"/>
    <w:basedOn w:val="Normal"/>
    <w:next w:val="Normal"/>
    <w:link w:val="Heading9Char"/>
    <w:semiHidden/>
    <w:unhideWhenUsed/>
    <w:qFormat/>
    <w:rsid w:val="00AC258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2583"/>
    <w:rPr>
      <w:rFonts w:ascii="Arial" w:eastAsia="Times New Roman" w:hAnsi="Arial" w:cs="Times New Roman"/>
      <w:b/>
      <w:bCs/>
      <w:sz w:val="28"/>
      <w:szCs w:val="28"/>
    </w:rPr>
  </w:style>
  <w:style w:type="character" w:customStyle="1" w:styleId="Heading2Char">
    <w:name w:val="Heading 2 Char"/>
    <w:basedOn w:val="DefaultParagraphFont"/>
    <w:link w:val="Heading2"/>
    <w:semiHidden/>
    <w:rsid w:val="00AC2583"/>
    <w:rPr>
      <w:rFonts w:ascii="Arial" w:eastAsia="Times New Roman" w:hAnsi="Arial" w:cs="Times New Roman"/>
      <w:b/>
      <w:bCs/>
      <w:sz w:val="24"/>
    </w:rPr>
  </w:style>
  <w:style w:type="character" w:customStyle="1" w:styleId="Heading3Char">
    <w:name w:val="Heading 3 Char"/>
    <w:basedOn w:val="DefaultParagraphFont"/>
    <w:link w:val="Heading3"/>
    <w:semiHidden/>
    <w:rsid w:val="00AC2583"/>
    <w:rPr>
      <w:rFonts w:ascii="Arial" w:eastAsia="Times New Roman" w:hAnsi="Arial" w:cs="Times New Roman"/>
      <w:b/>
    </w:rPr>
  </w:style>
  <w:style w:type="character" w:customStyle="1" w:styleId="Heading4Char">
    <w:name w:val="Heading 4 Char"/>
    <w:basedOn w:val="DefaultParagraphFont"/>
    <w:link w:val="Heading4"/>
    <w:semiHidden/>
    <w:rsid w:val="00AC2583"/>
    <w:rPr>
      <w:rFonts w:ascii="Times New Roman" w:eastAsia="Times New Roman" w:hAnsi="Times New Roman" w:cs="Times New Roman"/>
      <w:b/>
      <w:bCs/>
      <w:szCs w:val="28"/>
    </w:rPr>
  </w:style>
  <w:style w:type="character" w:customStyle="1" w:styleId="Heading5Char">
    <w:name w:val="Heading 5 Char"/>
    <w:basedOn w:val="DefaultParagraphFont"/>
    <w:link w:val="Heading5"/>
    <w:semiHidden/>
    <w:rsid w:val="00AC2583"/>
    <w:rPr>
      <w:rFonts w:ascii="Times New Roman" w:eastAsia="Times New Roman" w:hAnsi="Times New Roman" w:cs="Times New Roman"/>
      <w:b/>
      <w:bCs/>
      <w:i/>
      <w:iCs/>
      <w:szCs w:val="26"/>
    </w:rPr>
  </w:style>
  <w:style w:type="character" w:customStyle="1" w:styleId="Heading6Char">
    <w:name w:val="Heading 6 Char"/>
    <w:basedOn w:val="DefaultParagraphFont"/>
    <w:link w:val="Heading6"/>
    <w:semiHidden/>
    <w:rsid w:val="00AC2583"/>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AC2583"/>
    <w:rPr>
      <w:rFonts w:ascii="Times New Roman" w:eastAsia="SimSun" w:hAnsi="Times New Roman" w:cs="Times New Roman"/>
      <w:sz w:val="24"/>
      <w:szCs w:val="24"/>
    </w:rPr>
  </w:style>
  <w:style w:type="character" w:customStyle="1" w:styleId="Heading8Char">
    <w:name w:val="Heading 8 Char"/>
    <w:basedOn w:val="DefaultParagraphFont"/>
    <w:link w:val="Heading8"/>
    <w:semiHidden/>
    <w:rsid w:val="00AC2583"/>
    <w:rPr>
      <w:rFonts w:ascii="Times New Roman" w:eastAsia="SimSun" w:hAnsi="Times New Roman" w:cs="Times New Roman"/>
      <w:i/>
      <w:iCs/>
      <w:sz w:val="24"/>
      <w:szCs w:val="24"/>
    </w:rPr>
  </w:style>
  <w:style w:type="character" w:customStyle="1" w:styleId="Heading9Char">
    <w:name w:val="Heading 9 Char"/>
    <w:basedOn w:val="DefaultParagraphFont"/>
    <w:link w:val="Heading9"/>
    <w:semiHidden/>
    <w:rsid w:val="00AC2583"/>
    <w:rPr>
      <w:rFonts w:ascii="Arial" w:eastAsia="SimSun" w:hAnsi="Arial" w:cs="Arial"/>
    </w:rPr>
  </w:style>
  <w:style w:type="paragraph" w:styleId="CommentText">
    <w:name w:val="annotation text"/>
    <w:basedOn w:val="Normal"/>
    <w:link w:val="CommentTextChar"/>
    <w:unhideWhenUsed/>
    <w:rsid w:val="00AC2583"/>
    <w:rPr>
      <w:sz w:val="20"/>
      <w:szCs w:val="20"/>
    </w:rPr>
  </w:style>
  <w:style w:type="character" w:customStyle="1" w:styleId="CommentTextChar">
    <w:name w:val="Comment Text Char"/>
    <w:basedOn w:val="DefaultParagraphFont"/>
    <w:link w:val="CommentText"/>
    <w:rsid w:val="00AC2583"/>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locked/>
    <w:rsid w:val="00AC2583"/>
    <w:rPr>
      <w:rFonts w:ascii="Calibri" w:eastAsia="DengXian" w:hAnsi="Calibri" w:cs="Calibri"/>
      <w:lang w:val="en-G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AC2583"/>
    <w:pPr>
      <w:autoSpaceDE/>
      <w:autoSpaceDN/>
      <w:adjustRightInd/>
      <w:snapToGrid/>
      <w:spacing w:after="160" w:line="256" w:lineRule="auto"/>
      <w:ind w:left="720"/>
      <w:contextualSpacing/>
      <w:jc w:val="left"/>
    </w:pPr>
    <w:rPr>
      <w:rFonts w:ascii="Calibri" w:eastAsia="DengXian" w:hAnsi="Calibri" w:cs="Calibri"/>
      <w:lang w:val="en-GB"/>
    </w:rPr>
  </w:style>
  <w:style w:type="paragraph" w:customStyle="1" w:styleId="References">
    <w:name w:val="References"/>
    <w:basedOn w:val="Normal"/>
    <w:rsid w:val="00AC2583"/>
    <w:pPr>
      <w:numPr>
        <w:numId w:val="2"/>
      </w:numPr>
      <w:adjustRightInd/>
      <w:spacing w:after="60"/>
    </w:pPr>
    <w:rPr>
      <w:sz w:val="20"/>
      <w:szCs w:val="16"/>
    </w:rPr>
  </w:style>
  <w:style w:type="paragraph" w:customStyle="1" w:styleId="tablecell">
    <w:name w:val="tablecell"/>
    <w:basedOn w:val="Normal"/>
    <w:qFormat/>
    <w:rsid w:val="00AC2583"/>
    <w:pPr>
      <w:spacing w:before="20" w:after="20"/>
      <w:jc w:val="left"/>
    </w:pPr>
    <w:rPr>
      <w:sz w:val="20"/>
    </w:rPr>
  </w:style>
  <w:style w:type="character" w:styleId="CommentReference">
    <w:name w:val="annotation reference"/>
    <w:basedOn w:val="DefaultParagraphFont"/>
    <w:semiHidden/>
    <w:unhideWhenUsed/>
    <w:rsid w:val="00AC2583"/>
    <w:rPr>
      <w:sz w:val="16"/>
      <w:szCs w:val="16"/>
    </w:rPr>
  </w:style>
  <w:style w:type="table" w:styleId="TableGrid">
    <w:name w:val="Table Grid"/>
    <w:basedOn w:val="TableNormal"/>
    <w:rsid w:val="00AC2583"/>
    <w:pPr>
      <w:widowControl w:val="0"/>
      <w:autoSpaceDE w:val="0"/>
      <w:autoSpaceDN w:val="0"/>
      <w:adjustRightInd w:val="0"/>
      <w:spacing w:after="120" w:line="240" w:lineRule="auto"/>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2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583"/>
    <w:rPr>
      <w:rFonts w:ascii="Segoe UI" w:eastAsia="SimSun" w:hAnsi="Segoe UI" w:cs="Segoe UI"/>
      <w:sz w:val="18"/>
      <w:szCs w:val="18"/>
    </w:rPr>
  </w:style>
  <w:style w:type="character" w:customStyle="1" w:styleId="B1">
    <w:name w:val="B1 (文字)"/>
    <w:link w:val="B10"/>
    <w:qFormat/>
    <w:locked/>
    <w:rsid w:val="009D6374"/>
    <w:rPr>
      <w:rFonts w:ascii="Times New Roman" w:hAnsi="Times New Roman" w:cs="Times New Roman"/>
      <w:lang w:val="en-GB"/>
    </w:rPr>
  </w:style>
  <w:style w:type="paragraph" w:customStyle="1" w:styleId="B10">
    <w:name w:val="B1"/>
    <w:basedOn w:val="List"/>
    <w:link w:val="B1"/>
    <w:qFormat/>
    <w:rsid w:val="009D6374"/>
    <w:pPr>
      <w:autoSpaceDE/>
      <w:autoSpaceDN/>
      <w:adjustRightInd/>
      <w:snapToGrid/>
      <w:spacing w:after="180"/>
      <w:ind w:left="568" w:hanging="284"/>
      <w:contextualSpacing w:val="0"/>
      <w:jc w:val="left"/>
    </w:pPr>
    <w:rPr>
      <w:rFonts w:eastAsiaTheme="minorHAnsi"/>
      <w:lang w:val="en-GB"/>
    </w:rPr>
  </w:style>
  <w:style w:type="paragraph" w:styleId="List">
    <w:name w:val="List"/>
    <w:basedOn w:val="Normal"/>
    <w:uiPriority w:val="99"/>
    <w:semiHidden/>
    <w:unhideWhenUsed/>
    <w:rsid w:val="009D6374"/>
    <w:pPr>
      <w:ind w:left="360" w:hanging="360"/>
      <w:contextualSpacing/>
    </w:pPr>
  </w:style>
  <w:style w:type="character" w:customStyle="1" w:styleId="apple-converted-space">
    <w:name w:val="apple-converted-space"/>
    <w:basedOn w:val="DefaultParagraphFont"/>
    <w:rsid w:val="00F861B8"/>
  </w:style>
  <w:style w:type="paragraph" w:styleId="CommentSubject">
    <w:name w:val="annotation subject"/>
    <w:basedOn w:val="CommentText"/>
    <w:next w:val="CommentText"/>
    <w:link w:val="CommentSubjectChar"/>
    <w:uiPriority w:val="99"/>
    <w:semiHidden/>
    <w:unhideWhenUsed/>
    <w:rsid w:val="00123DA7"/>
    <w:rPr>
      <w:b/>
      <w:bCs/>
    </w:rPr>
  </w:style>
  <w:style w:type="character" w:customStyle="1" w:styleId="CommentSubjectChar">
    <w:name w:val="Comment Subject Char"/>
    <w:basedOn w:val="CommentTextChar"/>
    <w:link w:val="CommentSubject"/>
    <w:uiPriority w:val="99"/>
    <w:semiHidden/>
    <w:rsid w:val="00123DA7"/>
    <w:rPr>
      <w:rFonts w:ascii="Times New Roman" w:eastAsia="SimSun" w:hAnsi="Times New Roman" w:cs="Times New Roman"/>
      <w:b/>
      <w:bCs/>
      <w:sz w:val="20"/>
      <w:szCs w:val="20"/>
    </w:rPr>
  </w:style>
  <w:style w:type="paragraph" w:styleId="Revision">
    <w:name w:val="Revision"/>
    <w:hidden/>
    <w:uiPriority w:val="99"/>
    <w:semiHidden/>
    <w:rsid w:val="004F11CD"/>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154223">
      <w:bodyDiv w:val="1"/>
      <w:marLeft w:val="0"/>
      <w:marRight w:val="0"/>
      <w:marTop w:val="0"/>
      <w:marBottom w:val="0"/>
      <w:divBdr>
        <w:top w:val="none" w:sz="0" w:space="0" w:color="auto"/>
        <w:left w:val="none" w:sz="0" w:space="0" w:color="auto"/>
        <w:bottom w:val="none" w:sz="0" w:space="0" w:color="auto"/>
        <w:right w:val="none" w:sz="0" w:space="0" w:color="auto"/>
      </w:divBdr>
    </w:div>
    <w:div w:id="557670587">
      <w:bodyDiv w:val="1"/>
      <w:marLeft w:val="0"/>
      <w:marRight w:val="0"/>
      <w:marTop w:val="0"/>
      <w:marBottom w:val="0"/>
      <w:divBdr>
        <w:top w:val="none" w:sz="0" w:space="0" w:color="auto"/>
        <w:left w:val="none" w:sz="0" w:space="0" w:color="auto"/>
        <w:bottom w:val="none" w:sz="0" w:space="0" w:color="auto"/>
        <w:right w:val="none" w:sz="0" w:space="0" w:color="auto"/>
      </w:divBdr>
    </w:div>
    <w:div w:id="726607489">
      <w:bodyDiv w:val="1"/>
      <w:marLeft w:val="0"/>
      <w:marRight w:val="0"/>
      <w:marTop w:val="0"/>
      <w:marBottom w:val="0"/>
      <w:divBdr>
        <w:top w:val="none" w:sz="0" w:space="0" w:color="auto"/>
        <w:left w:val="none" w:sz="0" w:space="0" w:color="auto"/>
        <w:bottom w:val="none" w:sz="0" w:space="0" w:color="auto"/>
        <w:right w:val="none" w:sz="0" w:space="0" w:color="auto"/>
      </w:divBdr>
    </w:div>
    <w:div w:id="1611622007">
      <w:bodyDiv w:val="1"/>
      <w:marLeft w:val="0"/>
      <w:marRight w:val="0"/>
      <w:marTop w:val="0"/>
      <w:marBottom w:val="0"/>
      <w:divBdr>
        <w:top w:val="none" w:sz="0" w:space="0" w:color="auto"/>
        <w:left w:val="none" w:sz="0" w:space="0" w:color="auto"/>
        <w:bottom w:val="none" w:sz="0" w:space="0" w:color="auto"/>
        <w:right w:val="none" w:sz="0" w:space="0" w:color="auto"/>
      </w:divBdr>
    </w:div>
    <w:div w:id="190633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Classon</cp:lastModifiedBy>
  <cp:revision>6</cp:revision>
  <dcterms:created xsi:type="dcterms:W3CDTF">2020-04-10T19:36:00Z</dcterms:created>
  <dcterms:modified xsi:type="dcterms:W3CDTF">2020-05-13T20:36:00Z</dcterms:modified>
</cp:coreProperties>
</file>