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44D84C44"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w:t>
      </w:r>
      <w:r w:rsidR="00333856">
        <w:rPr>
          <w:rFonts w:ascii="Arial" w:hAnsi="Arial" w:cs="Arial"/>
          <w:b/>
          <w:kern w:val="2"/>
          <w:lang w:eastAsia="zh-CN"/>
        </w:rPr>
        <w:t>1-e</w:t>
      </w:r>
      <w:r w:rsidR="00972929" w:rsidRPr="00D74B92">
        <w:rPr>
          <w:rFonts w:ascii="Arial" w:hAnsi="Arial" w:cs="Arial"/>
          <w:b/>
          <w:kern w:val="2"/>
          <w:lang w:eastAsia="zh-CN"/>
        </w:rPr>
        <w:tab/>
      </w:r>
      <w:r w:rsidR="0038113F" w:rsidRPr="0038113F">
        <w:rPr>
          <w:rFonts w:ascii="Arial" w:hAnsi="Arial" w:cs="Arial"/>
          <w:b/>
          <w:kern w:val="2"/>
          <w:lang w:eastAsia="zh-CN"/>
        </w:rPr>
        <w:t>R1-2003283</w:t>
      </w:r>
    </w:p>
    <w:p w14:paraId="2A9D85E6" w14:textId="0360D4D1" w:rsidR="009C0564" w:rsidRPr="007F5EC6" w:rsidRDefault="00333856" w:rsidP="00DA0712">
      <w:pPr>
        <w:jc w:val="left"/>
        <w:rPr>
          <w:rFonts w:ascii="Arial" w:hAnsi="Arial" w:cs="Arial"/>
          <w:b/>
          <w:kern w:val="2"/>
          <w:lang w:eastAsia="zh-CN"/>
        </w:rPr>
      </w:pPr>
      <w:r>
        <w:rPr>
          <w:rFonts w:ascii="Arial" w:hAnsi="Arial" w:cs="Arial"/>
          <w:b/>
          <w:kern w:val="2"/>
          <w:lang w:eastAsia="zh-CN"/>
        </w:rPr>
        <w:t>eMeeting</w:t>
      </w:r>
      <w:r w:rsidR="00753191" w:rsidRPr="00D74B92">
        <w:rPr>
          <w:rFonts w:ascii="Arial" w:hAnsi="Arial" w:cs="Arial"/>
          <w:b/>
          <w:kern w:val="2"/>
          <w:lang w:eastAsia="zh-CN"/>
        </w:rPr>
        <w:t xml:space="preserve">, </w:t>
      </w:r>
      <w:r>
        <w:rPr>
          <w:rFonts w:ascii="Arial" w:hAnsi="Arial" w:cs="Arial"/>
          <w:b/>
          <w:kern w:val="2"/>
          <w:lang w:eastAsia="zh-CN"/>
        </w:rPr>
        <w:t>May 25 – June 5</w:t>
      </w:r>
      <w:r w:rsidR="00E07679" w:rsidRPr="00D74B92">
        <w:rPr>
          <w:rFonts w:ascii="Arial" w:hAnsi="Arial" w:cs="Arial"/>
          <w:b/>
          <w:kern w:val="2"/>
          <w:lang w:eastAsia="zh-CN"/>
        </w:rPr>
        <w:t>, 20</w:t>
      </w:r>
      <w:r>
        <w:rPr>
          <w:rFonts w:ascii="Arial" w:hAnsi="Arial" w:cs="Arial"/>
          <w:b/>
          <w:kern w:val="2"/>
          <w:lang w:eastAsia="zh-CN"/>
        </w:rPr>
        <w:t>20</w:t>
      </w:r>
    </w:p>
    <w:p w14:paraId="7826937B" w14:textId="7725D0C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7024E">
        <w:rPr>
          <w:rFonts w:ascii="Arial" w:hAnsi="Arial" w:cs="Arial"/>
          <w:b/>
          <w:lang w:eastAsia="zh-CN"/>
        </w:rPr>
        <w:t>8.</w:t>
      </w:r>
      <w:r w:rsidR="00333856">
        <w:rPr>
          <w:rFonts w:ascii="Arial" w:hAnsi="Arial" w:cs="Arial"/>
          <w:b/>
          <w:lang w:eastAsia="zh-CN"/>
        </w:rPr>
        <w:t>3</w:t>
      </w:r>
      <w:r w:rsidR="0037024E">
        <w:rPr>
          <w:rFonts w:ascii="Arial" w:hAnsi="Arial" w:cs="Arial"/>
          <w:b/>
          <w:lang w:eastAsia="zh-CN"/>
        </w:rPr>
        <w:t>.</w:t>
      </w:r>
      <w:r w:rsidR="00333856">
        <w:rPr>
          <w:rFonts w:ascii="Arial" w:hAnsi="Arial" w:cs="Arial"/>
          <w:b/>
          <w:lang w:eastAsia="zh-CN"/>
        </w:rPr>
        <w:t>4</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592199C5" w14:textId="678D9F9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33856">
        <w:rPr>
          <w:rFonts w:ascii="Arial" w:hAnsi="Arial" w:cs="Arial"/>
          <w:b/>
          <w:lang w:eastAsia="zh-CN"/>
        </w:rPr>
        <w:t>Framework</w:t>
      </w:r>
      <w:r w:rsidR="0037024E" w:rsidRPr="0037024E">
        <w:rPr>
          <w:rFonts w:ascii="Arial" w:hAnsi="Arial" w:cs="Arial"/>
          <w:b/>
          <w:lang w:eastAsia="zh-CN"/>
        </w:rPr>
        <w:t xml:space="preserve"> for </w:t>
      </w:r>
      <w:r w:rsidR="00B87A48">
        <w:rPr>
          <w:rFonts w:ascii="Arial" w:hAnsi="Arial" w:cs="Arial"/>
          <w:b/>
          <w:lang w:eastAsia="zh-CN"/>
        </w:rPr>
        <w:t>RedC</w:t>
      </w:r>
      <w:r w:rsidR="0037024E" w:rsidRPr="0037024E">
        <w:rPr>
          <w:rFonts w:ascii="Arial" w:hAnsi="Arial" w:cs="Arial"/>
          <w:b/>
          <w:lang w:eastAsia="zh-CN"/>
        </w:rPr>
        <w:t>ap UEs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EA95162" w14:textId="5AE4C190" w:rsidR="00B87EC9" w:rsidRDefault="0037024E" w:rsidP="007F5EC6">
      <w:pPr>
        <w:rPr>
          <w:lang w:eastAsia="zh-CN"/>
        </w:rPr>
      </w:pPr>
      <w:r w:rsidRPr="0037024E">
        <w:rPr>
          <w:lang w:eastAsia="zh-CN"/>
        </w:rPr>
        <w:t xml:space="preserve">Reduced capability (RedCap) UEs in NR will target use cases higher than NB-IoT/eMTC but lower than URLLC/eMBB. Such use cases include industrial wireless sensors, video surveillance, and wearables. The main motivation for RedCap UEs is cost reduction compared to a URLLC/eMBB UE, but some use cases will also benefit from battery life improvement and device size reduction. </w:t>
      </w:r>
      <w:r w:rsidR="00163C02">
        <w:rPr>
          <w:lang w:eastAsia="zh-CN"/>
        </w:rPr>
        <w:t>As stated in [1], t</w:t>
      </w:r>
      <w:r w:rsidRPr="0037024E">
        <w:rPr>
          <w:lang w:eastAsia="zh-CN"/>
        </w:rPr>
        <w:t>he intention is to study a UE feature and parameter list with lower end capabilities, supporting FR1/FR2 bands for FDD and TDD.</w:t>
      </w:r>
    </w:p>
    <w:p w14:paraId="4A46BF87" w14:textId="041B1DE7" w:rsidR="00330E98" w:rsidRDefault="00330E98" w:rsidP="007F5EC6">
      <w:pPr>
        <w:rPr>
          <w:lang w:eastAsia="zh-CN"/>
        </w:rPr>
      </w:pPr>
      <w:r>
        <w:rPr>
          <w:lang w:eastAsia="zh-CN"/>
        </w:rPr>
        <w:t>The objective in the SID related to framework is the following:</w:t>
      </w:r>
    </w:p>
    <w:p w14:paraId="07730DBC" w14:textId="77777777" w:rsidR="001D6063" w:rsidRDefault="001D6063" w:rsidP="001D6063">
      <w:pPr>
        <w:ind w:left="425"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DA7F6A3" w14:textId="431E7F38" w:rsidR="00330E98" w:rsidRDefault="00330E98" w:rsidP="007F5EC6">
      <w:pPr>
        <w:rPr>
          <w:lang w:eastAsia="zh-CN"/>
        </w:rPr>
      </w:pPr>
      <w:r>
        <w:rPr>
          <w:lang w:eastAsia="zh-CN"/>
        </w:rPr>
        <w:t>This paper includes some initial thoughts on the RedCap framework.</w:t>
      </w:r>
    </w:p>
    <w:p w14:paraId="77FA159F" w14:textId="77777777" w:rsidR="00696829" w:rsidRPr="007F5EC6" w:rsidRDefault="00696829" w:rsidP="00696829"/>
    <w:p w14:paraId="501C6501" w14:textId="2762860E" w:rsidR="00696829" w:rsidRPr="00D74B92" w:rsidRDefault="00330E98" w:rsidP="00696829">
      <w:pPr>
        <w:pStyle w:val="Heading1"/>
      </w:pPr>
      <w:r>
        <w:t>RedCap as a “certain purpose”</w:t>
      </w:r>
    </w:p>
    <w:p w14:paraId="1CB0716B" w14:textId="33419596" w:rsidR="00377CD0" w:rsidRDefault="00377CD0" w:rsidP="00377CD0">
      <w:pPr>
        <w:rPr>
          <w:lang w:eastAsia="zh-CN"/>
        </w:rPr>
      </w:pPr>
      <w:r>
        <w:rPr>
          <w:lang w:eastAsia="zh-CN"/>
        </w:rPr>
        <w:t>Subsequent to the establishment of the RedCap study, there was discussion at RAN on how to support a set of features in a UE for a “certain purpose” [</w:t>
      </w:r>
      <w:r w:rsidR="007D4765">
        <w:rPr>
          <w:lang w:eastAsia="zh-CN"/>
        </w:rPr>
        <w:t>2</w:t>
      </w:r>
      <w:r>
        <w:rPr>
          <w:lang w:eastAsia="zh-CN"/>
        </w:rPr>
        <w:t>]:</w:t>
      </w:r>
    </w:p>
    <w:p w14:paraId="37FBD94F" w14:textId="77777777" w:rsidR="00377CD0" w:rsidRPr="00341992" w:rsidRDefault="00377CD0" w:rsidP="00377CD0">
      <w:pPr>
        <w:numPr>
          <w:ilvl w:val="2"/>
          <w:numId w:val="6"/>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53CC7175" w14:textId="77777777" w:rsidR="00377CD0" w:rsidRPr="00341992" w:rsidRDefault="00377CD0" w:rsidP="00377CD0">
      <w:pPr>
        <w:numPr>
          <w:ilvl w:val="2"/>
          <w:numId w:val="6"/>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6A857DEC" w14:textId="607F58B0" w:rsidR="00377CD0" w:rsidRDefault="00377CD0" w:rsidP="00377CD0">
      <w:pPr>
        <w:rPr>
          <w:lang w:eastAsia="zh-CN"/>
        </w:rPr>
      </w:pPr>
      <w:r>
        <w:rPr>
          <w:lang w:eastAsia="zh-CN"/>
        </w:rPr>
        <w:t>RedCap qualifies as a certain purpose</w:t>
      </w:r>
      <w:r w:rsidR="007D4765">
        <w:rPr>
          <w:lang w:eastAsia="zh-CN"/>
        </w:rPr>
        <w:t xml:space="preserve">, but which approach fits best may depend on the outcome of the study. </w:t>
      </w:r>
      <w:r>
        <w:rPr>
          <w:lang w:eastAsia="zh-CN"/>
        </w:rPr>
        <w:t>In companion paper [</w:t>
      </w:r>
      <w:r w:rsidR="007D4765">
        <w:rPr>
          <w:lang w:eastAsia="zh-CN"/>
        </w:rPr>
        <w:t>3</w:t>
      </w:r>
      <w:r>
        <w:rPr>
          <w:lang w:eastAsia="zh-CN"/>
        </w:rPr>
        <w:t>] some principles of RedCap were discussed, including:</w:t>
      </w:r>
    </w:p>
    <w:p w14:paraId="4E575F9B" w14:textId="149F38F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unnecessarily fragment the NR ecosystem</w:t>
      </w:r>
    </w:p>
    <w:p w14:paraId="08FBA371" w14:textId="5327759D"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Focus on a small number of features</w:t>
      </w:r>
    </w:p>
    <w:p w14:paraId="38B9C945" w14:textId="74466674"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Retain as much compatibility with “normal” NR as possible</w:t>
      </w:r>
    </w:p>
    <w:p w14:paraId="4A6B1DC7" w14:textId="7DDAD95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duplicate work</w:t>
      </w:r>
    </w:p>
    <w:p w14:paraId="504E5543" w14:textId="2129ECFD" w:rsidR="00330E98" w:rsidRDefault="00377CD0" w:rsidP="00696829">
      <w:pPr>
        <w:rPr>
          <w:lang w:eastAsia="zh-CN"/>
        </w:rPr>
      </w:pPr>
      <w:r>
        <w:rPr>
          <w:lang w:eastAsia="zh-CN"/>
        </w:rPr>
        <w:t>So, it expected that RedCap will involve a very small number of distinguishing features and remain as compatible as possible to “normal” NR.</w:t>
      </w:r>
      <w:r w:rsidR="007D4765">
        <w:rPr>
          <w:lang w:eastAsia="zh-CN"/>
        </w:rPr>
        <w:t xml:space="preserve"> In addition, </w:t>
      </w:r>
      <w:r w:rsidR="00330E98">
        <w:rPr>
          <w:lang w:eastAsia="zh-CN"/>
        </w:rPr>
        <w:t>the FGs of interest to RedCap will span Rel-15 (features relating to improved coverage</w:t>
      </w:r>
      <w:r>
        <w:rPr>
          <w:lang w:eastAsia="zh-CN"/>
        </w:rPr>
        <w:t>, …</w:t>
      </w:r>
      <w:r w:rsidR="00330E98">
        <w:rPr>
          <w:lang w:eastAsia="zh-CN"/>
        </w:rPr>
        <w:t xml:space="preserve">), Rel-16 (URLLC, MIMO, </w:t>
      </w:r>
      <w:r>
        <w:rPr>
          <w:lang w:eastAsia="zh-CN"/>
        </w:rPr>
        <w:t xml:space="preserve">power savings, …), and Rel-17 (power savings, coverage enhancements, …), not just </w:t>
      </w:r>
      <w:r w:rsidR="007D4765">
        <w:rPr>
          <w:lang w:eastAsia="zh-CN"/>
        </w:rPr>
        <w:t xml:space="preserve">the few </w:t>
      </w:r>
      <w:r>
        <w:rPr>
          <w:lang w:eastAsia="zh-CN"/>
        </w:rPr>
        <w:t>Rel-17 RedCap</w:t>
      </w:r>
      <w:r w:rsidR="007D4765">
        <w:rPr>
          <w:lang w:eastAsia="zh-CN"/>
        </w:rPr>
        <w:t xml:space="preserve"> features. Finally, as the RedCap services are fairly diverse in nature (see Appendix), it is possible that there may be just a few “required” FGs and many others that could be “recommended”. From this perspective, it may make sense to use both Approach 1 and Approach 2, where Approach 2 captures a broader set of recommended FGs across releases for different purposes.</w:t>
      </w:r>
    </w:p>
    <w:p w14:paraId="2945DB48" w14:textId="43ADFA32" w:rsidR="00696829" w:rsidRPr="00ED2DA6" w:rsidRDefault="00696829" w:rsidP="007D4765">
      <w:pPr>
        <w:rPr>
          <w:rFonts w:eastAsia="Malgun Gothic"/>
          <w:b/>
          <w:lang w:eastAsia="ko-KR"/>
        </w:rPr>
      </w:pPr>
      <w:r w:rsidRPr="00ED2DA6">
        <w:rPr>
          <w:b/>
          <w:u w:val="single"/>
        </w:rPr>
        <w:t>Observation:</w:t>
      </w:r>
      <w:r w:rsidRPr="00ED2DA6">
        <w:rPr>
          <w:b/>
        </w:rPr>
        <w:t xml:space="preserve"> </w:t>
      </w:r>
      <w:r w:rsidR="007D4765">
        <w:rPr>
          <w:b/>
        </w:rPr>
        <w:t>The RedCap “framework” may include both the traditional feature/feature group description, and additional “recommended” features from across Rel-15 to Rel-17.</w:t>
      </w:r>
    </w:p>
    <w:p w14:paraId="60EE6A52" w14:textId="77777777" w:rsidR="0037024E" w:rsidRPr="007F5EC6" w:rsidRDefault="0037024E" w:rsidP="007F5EC6"/>
    <w:p w14:paraId="35954F20" w14:textId="39A38838" w:rsidR="00816E9B" w:rsidRPr="00D74B92" w:rsidRDefault="007D4765" w:rsidP="00493C77">
      <w:pPr>
        <w:pStyle w:val="Heading1"/>
      </w:pPr>
      <w:r>
        <w:t>Features related to RedCap</w:t>
      </w:r>
      <w:r w:rsidR="00344D04">
        <w:t xml:space="preserve"> in Rel-15 and Rel-16</w:t>
      </w:r>
    </w:p>
    <w:p w14:paraId="2FD36C80" w14:textId="3EC62E3C" w:rsidR="00816E9B" w:rsidRPr="007D4765" w:rsidRDefault="007D4765" w:rsidP="007D4765">
      <w:r w:rsidRPr="007D4765">
        <w:t xml:space="preserve">The </w:t>
      </w:r>
      <w:r>
        <w:t xml:space="preserve">companion papers [3][4][5] </w:t>
      </w:r>
      <w:r w:rsidR="00344D04">
        <w:t>include discussions on features related to URLLC (Rel-15 and Rel-16), Full power MIMO, power savings, etc, taken from the Rel-15 [6] and Rel-16 feature lists [7]</w:t>
      </w:r>
      <w:r w:rsidR="0038113F">
        <w:t>, some of which are listed below:</w:t>
      </w:r>
      <w:r w:rsidR="00344D04">
        <w:t xml:space="preserve"> </w:t>
      </w:r>
    </w:p>
    <w:p w14:paraId="6DC684FB" w14:textId="3565A507" w:rsidR="0038113F" w:rsidRPr="001961B6" w:rsidRDefault="0038113F" w:rsidP="0038113F">
      <w:bookmarkStart w:id="2" w:name="_Ref129681832"/>
      <w:r w:rsidRPr="001961B6">
        <w:t>In NR rel-15:</w:t>
      </w:r>
    </w:p>
    <w:p w14:paraId="73E8859F" w14:textId="1CAFAA73"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Longer PUCCH formats (format 1,</w:t>
      </w:r>
      <w:r w:rsidR="00DE3EA2">
        <w:rPr>
          <w:rFonts w:ascii="Times New Roman" w:hAnsi="Times New Roman"/>
        </w:rPr>
        <w:t xml:space="preserve"> </w:t>
      </w:r>
      <w:r w:rsidRPr="001961B6">
        <w:rPr>
          <w:rFonts w:ascii="Times New Roman" w:hAnsi="Times New Roman"/>
        </w:rPr>
        <w:t>3, 4)</w:t>
      </w:r>
    </w:p>
    <w:p w14:paraId="51789996" w14:textId="4E09C651"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Intra slot hopping PUCCH repetition (feature 4-23, K=2,4,8 slots) </w:t>
      </w:r>
    </w:p>
    <w:p w14:paraId="1AA8EE5B" w14:textId="40F1ABE0"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Type 1 Type 2 configured PUSCH repetitions (5-14 and 5-16)</w:t>
      </w:r>
    </w:p>
    <w:p w14:paraId="5DCCCAE2" w14:textId="3B6A87D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PUSCH and PDSCH repetition 2,4,8 factor (5-17 and 5-17a)</w:t>
      </w:r>
    </w:p>
    <w:p w14:paraId="1490384A" w14:textId="723FF9E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5-9 intra slot FH, 5-7 inter VRB-PRB PDSCH, 5-10 inter slot</w:t>
      </w:r>
    </w:p>
    <w:p w14:paraId="7BCC2FD8"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PDCP repetition 1-6 for higher layer, suitable for delay tolerant traffic</w:t>
      </w:r>
    </w:p>
    <w:p w14:paraId="37ACA2E0" w14:textId="77777777" w:rsidR="002071D8" w:rsidRPr="002071D8" w:rsidRDefault="002071D8" w:rsidP="0038113F">
      <w:pPr>
        <w:pStyle w:val="ListParagraph"/>
        <w:numPr>
          <w:ilvl w:val="0"/>
          <w:numId w:val="5"/>
        </w:numPr>
      </w:pPr>
      <w:r>
        <w:rPr>
          <w:rFonts w:ascii="Times New Roman" w:hAnsi="Times New Roman"/>
        </w:rPr>
        <w:t xml:space="preserve">High reliability </w:t>
      </w:r>
      <w:r w:rsidRPr="001961B6">
        <w:rPr>
          <w:rFonts w:ascii="Times New Roman" w:hAnsi="Times New Roman"/>
        </w:rPr>
        <w:t>MCS table</w:t>
      </w:r>
    </w:p>
    <w:p w14:paraId="369FE794" w14:textId="22D302A1" w:rsidR="0038113F" w:rsidRPr="001961B6" w:rsidRDefault="0038113F" w:rsidP="0038113F">
      <w:r w:rsidRPr="001961B6">
        <w:t>In NR Rel-16</w:t>
      </w:r>
    </w:p>
    <w:p w14:paraId="2F83EBA3"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Compact DCI </w:t>
      </w:r>
    </w:p>
    <w:p w14:paraId="72F3A201"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Multiple TRP (for PDSCH in Rel-16, others in Rel-17)</w:t>
      </w:r>
    </w:p>
    <w:p w14:paraId="5CD0DB04" w14:textId="77777777" w:rsidR="0038113F" w:rsidRPr="00E52985" w:rsidRDefault="0038113F" w:rsidP="0038113F">
      <w:pPr>
        <w:pStyle w:val="ListParagraph"/>
        <w:numPr>
          <w:ilvl w:val="0"/>
          <w:numId w:val="5"/>
        </w:numPr>
        <w:rPr>
          <w:rFonts w:ascii="Times New Roman" w:hAnsi="Times New Roman"/>
        </w:rPr>
      </w:pPr>
      <w:r w:rsidRPr="003C6688">
        <w:rPr>
          <w:rFonts w:ascii="Times New Roman" w:hAnsi="Times New Roman"/>
        </w:rPr>
        <w:t>More than one PUCCH for HARQ-ACK transmission within a slot</w:t>
      </w:r>
    </w:p>
    <w:p w14:paraId="536F1745" w14:textId="77777777" w:rsidR="0038113F" w:rsidRPr="00E52985" w:rsidRDefault="0038113F" w:rsidP="0038113F">
      <w:pPr>
        <w:pStyle w:val="ListParagraph"/>
        <w:numPr>
          <w:ilvl w:val="0"/>
          <w:numId w:val="5"/>
        </w:numPr>
        <w:rPr>
          <w:rFonts w:ascii="Times New Roman" w:hAnsi="Times New Roman"/>
        </w:rPr>
      </w:pPr>
      <w:r w:rsidRPr="00E52985">
        <w:rPr>
          <w:rFonts w:ascii="Times New Roman" w:hAnsi="Times New Roman"/>
        </w:rPr>
        <w:t>PUSCH repetition (type A, B)</w:t>
      </w:r>
      <w:r w:rsidRPr="001961B6">
        <w:rPr>
          <w:rFonts w:ascii="Times New Roman" w:hAnsi="Times New Roman"/>
        </w:rPr>
        <w:t xml:space="preserve"> (11-6 and 11-7)</w:t>
      </w:r>
    </w:p>
    <w:p w14:paraId="67DCA4B4" w14:textId="16C573D8" w:rsidR="0038113F" w:rsidRDefault="0038113F" w:rsidP="0038113F">
      <w:pPr>
        <w:pStyle w:val="ListParagraph"/>
        <w:numPr>
          <w:ilvl w:val="0"/>
          <w:numId w:val="5"/>
        </w:numPr>
        <w:rPr>
          <w:rFonts w:ascii="Times New Roman" w:hAnsi="Times New Roman"/>
        </w:rPr>
      </w:pPr>
      <w:r w:rsidRPr="00E52985">
        <w:rPr>
          <w:rFonts w:ascii="Times New Roman" w:hAnsi="Times New Roman"/>
        </w:rPr>
        <w:t>Multiple Active Configured grant configurations for a BWP of a serving cell</w:t>
      </w:r>
      <w:r w:rsidRPr="001961B6">
        <w:rPr>
          <w:rFonts w:ascii="Times New Roman" w:hAnsi="Times New Roman"/>
        </w:rPr>
        <w:t xml:space="preserve"> (11-9)</w:t>
      </w:r>
    </w:p>
    <w:p w14:paraId="2FF9D0C7" w14:textId="1F7A0046" w:rsidR="0038113F" w:rsidRDefault="0038113F" w:rsidP="0038113F">
      <w:pPr>
        <w:pStyle w:val="ListParagraph"/>
        <w:numPr>
          <w:ilvl w:val="0"/>
          <w:numId w:val="5"/>
        </w:numPr>
        <w:rPr>
          <w:rFonts w:ascii="Times New Roman" w:hAnsi="Times New Roman"/>
        </w:rPr>
      </w:pPr>
      <w:r>
        <w:rPr>
          <w:rFonts w:ascii="Times New Roman" w:hAnsi="Times New Roman"/>
        </w:rPr>
        <w:t xml:space="preserve">UL full </w:t>
      </w:r>
      <w:r w:rsidR="00E86ABF">
        <w:rPr>
          <w:rFonts w:ascii="Times New Roman" w:hAnsi="Times New Roman"/>
        </w:rPr>
        <w:t>power transmission mode 1, 2, 3, (16-5a, 16-5b, 16-5c)</w:t>
      </w:r>
    </w:p>
    <w:p w14:paraId="2D5ABC6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DRX Adaptation</w:t>
      </w:r>
      <w:r w:rsidRPr="001961B6">
        <w:rPr>
          <w:rFonts w:ascii="Times New Roman" w:hAnsi="Times New Roman"/>
        </w:rPr>
        <w:t xml:space="preserve"> (19-1)</w:t>
      </w:r>
    </w:p>
    <w:p w14:paraId="0CF9D6F1"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Cross Slot Scheduling</w:t>
      </w:r>
      <w:r w:rsidRPr="001961B6">
        <w:rPr>
          <w:rFonts w:ascii="Times New Roman" w:hAnsi="Times New Roman"/>
        </w:rPr>
        <w:t xml:space="preserve"> (19-2)</w:t>
      </w:r>
    </w:p>
    <w:p w14:paraId="67B79F2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Maximum MIMO Layer Adaptation</w:t>
      </w:r>
      <w:r w:rsidRPr="001961B6">
        <w:rPr>
          <w:rFonts w:ascii="Times New Roman" w:hAnsi="Times New Roman"/>
        </w:rPr>
        <w:t xml:space="preserve"> (19-3)</w:t>
      </w:r>
    </w:p>
    <w:p w14:paraId="26693674" w14:textId="34921840" w:rsidR="00762522" w:rsidRPr="00762522" w:rsidRDefault="00762522" w:rsidP="00762522">
      <w:pPr>
        <w:pStyle w:val="ListParagraph"/>
        <w:numPr>
          <w:ilvl w:val="0"/>
          <w:numId w:val="5"/>
        </w:numPr>
        <w:rPr>
          <w:rFonts w:ascii="Times New Roman" w:hAnsi="Times New Roman"/>
        </w:rPr>
      </w:pPr>
      <w:r w:rsidRPr="00E52985">
        <w:rPr>
          <w:rFonts w:ascii="Times New Roman" w:hAnsi="Times New Roman"/>
        </w:rPr>
        <w:t xml:space="preserve">UE Assistance Information </w:t>
      </w:r>
      <w:r w:rsidRPr="001961B6">
        <w:rPr>
          <w:rFonts w:ascii="Times New Roman" w:hAnsi="Times New Roman"/>
        </w:rPr>
        <w:t>(19-4a)</w:t>
      </w:r>
    </w:p>
    <w:p w14:paraId="0010BFCD" w14:textId="77777777" w:rsidR="00DB6ED8" w:rsidRPr="00D74B92" w:rsidRDefault="00DB6ED8" w:rsidP="007F5EC6"/>
    <w:p w14:paraId="18B94AA5" w14:textId="4F262795" w:rsidR="00157FC3" w:rsidRPr="00493C77" w:rsidRDefault="00747F48" w:rsidP="00493C77">
      <w:pPr>
        <w:pStyle w:val="Heading1"/>
      </w:pPr>
      <w:r w:rsidRPr="00493C77">
        <w:t>Conclusion</w:t>
      </w:r>
      <w:r w:rsidR="006B1FD5" w:rsidRPr="00493C77">
        <w:t>s</w:t>
      </w:r>
    </w:p>
    <w:p w14:paraId="1A35C1AE" w14:textId="1AF59C78" w:rsidR="002A0348" w:rsidRPr="007F5EC6" w:rsidRDefault="00246F24" w:rsidP="002D4171">
      <w:r w:rsidRPr="007F5EC6">
        <w:t xml:space="preserve">This </w:t>
      </w:r>
      <w:r w:rsidR="004D2A16">
        <w:t xml:space="preserve">paper </w:t>
      </w:r>
      <w:r w:rsidR="00344D04">
        <w:t>provided initial thoughts on</w:t>
      </w:r>
      <w:r w:rsidR="004D2A16">
        <w:t xml:space="preserve"> </w:t>
      </w:r>
      <w:r w:rsidR="00344D04">
        <w:t>the RedCap framework.</w:t>
      </w:r>
    </w:p>
    <w:p w14:paraId="72923770" w14:textId="77777777" w:rsidR="00344D04" w:rsidRPr="00ED2DA6" w:rsidRDefault="00344D04" w:rsidP="00344D04">
      <w:pPr>
        <w:rPr>
          <w:rFonts w:eastAsia="Malgun Gothic"/>
          <w:b/>
          <w:lang w:eastAsia="ko-KR"/>
        </w:rPr>
      </w:pPr>
      <w:r w:rsidRPr="00ED2DA6">
        <w:rPr>
          <w:b/>
          <w:u w:val="single"/>
        </w:rPr>
        <w:t>Observation:</w:t>
      </w:r>
      <w:r w:rsidRPr="00ED2DA6">
        <w:rPr>
          <w:b/>
        </w:rPr>
        <w:t xml:space="preserve"> </w:t>
      </w:r>
      <w:r>
        <w:rPr>
          <w:b/>
        </w:rPr>
        <w:t>The RedCap “framework” may include both the traditional feature/feature group description, and additional “recommended” features from across Rel-15 to Rel-17.</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04757952" w14:textId="101D2FC6" w:rsidR="00FC3307" w:rsidRDefault="00566EF4" w:rsidP="009F46AA">
      <w:pPr>
        <w:pStyle w:val="References"/>
      </w:pPr>
      <w:r>
        <w:t>RP-193238, “</w:t>
      </w:r>
      <w:r w:rsidRPr="00566EF4">
        <w:t>New SID on support of reduced capability NR devices</w:t>
      </w:r>
      <w:r>
        <w:t>”.</w:t>
      </w:r>
    </w:p>
    <w:p w14:paraId="4ABE6884" w14:textId="3F5F2C26" w:rsidR="00163C02" w:rsidRDefault="00163C02" w:rsidP="009F46AA">
      <w:pPr>
        <w:pStyle w:val="References"/>
      </w:pPr>
      <w:r>
        <w:t>RP-200502, “</w:t>
      </w:r>
      <w:r w:rsidRPr="00163C02">
        <w:t>Informational summary on email discussion: [Rel16_UE_capabilities] Exchange of views</w:t>
      </w:r>
      <w:r>
        <w:t>”.</w:t>
      </w:r>
    </w:p>
    <w:p w14:paraId="412D72F7" w14:textId="3AD1FFC6" w:rsidR="00344D04" w:rsidRDefault="00344D04" w:rsidP="009F46AA">
      <w:pPr>
        <w:pStyle w:val="References"/>
      </w:pPr>
      <w:r w:rsidRPr="00344D04">
        <w:t>R1-2003281</w:t>
      </w:r>
      <w:r>
        <w:t>, “</w:t>
      </w:r>
      <w:r w:rsidRPr="00344D04">
        <w:t>Analysis of complexity reduction features for RedCap UEs</w:t>
      </w:r>
      <w:r>
        <w:t>,” FUTUREWEI.</w:t>
      </w:r>
    </w:p>
    <w:p w14:paraId="4C0D7FDA" w14:textId="318DDE75" w:rsidR="00344D04" w:rsidRDefault="00344D04" w:rsidP="009F46AA">
      <w:pPr>
        <w:pStyle w:val="References"/>
      </w:pPr>
      <w:r>
        <w:t>R1-20</w:t>
      </w:r>
      <w:r w:rsidR="00510FE3">
        <w:t>3546</w:t>
      </w:r>
      <w:r>
        <w:t>, “</w:t>
      </w:r>
      <w:r w:rsidRPr="00344D04">
        <w:t>Power savings for red-cap UEs</w:t>
      </w:r>
      <w:r>
        <w:t>,” FUTUREWEI.</w:t>
      </w:r>
    </w:p>
    <w:p w14:paraId="051D01FC" w14:textId="276195E5" w:rsidR="00344D04" w:rsidRDefault="00344D04" w:rsidP="009F46AA">
      <w:pPr>
        <w:pStyle w:val="References"/>
      </w:pPr>
      <w:r w:rsidRPr="00344D04">
        <w:t>R1-2003282</w:t>
      </w:r>
      <w:r>
        <w:t>, “</w:t>
      </w:r>
      <w:r w:rsidRPr="00344D04">
        <w:t>Coverage recovery for RedCap</w:t>
      </w:r>
      <w:r>
        <w:t>,” FUTUREWEI.</w:t>
      </w:r>
    </w:p>
    <w:p w14:paraId="2321A385" w14:textId="3B23FD0F" w:rsidR="005520A2" w:rsidRDefault="005520A2" w:rsidP="00301FA4">
      <w:pPr>
        <w:pStyle w:val="References"/>
      </w:pPr>
      <w:r>
        <w:t>TR 38.</w:t>
      </w:r>
      <w:r w:rsidR="00301FA4">
        <w:t>822, “NR User Equipment (UE) feature list,” v15.0.1.</w:t>
      </w:r>
    </w:p>
    <w:p w14:paraId="6EB00EE0" w14:textId="57E9CCB5" w:rsidR="00344D04" w:rsidRDefault="00344D04" w:rsidP="00301FA4">
      <w:pPr>
        <w:pStyle w:val="References"/>
      </w:pPr>
      <w:r>
        <w:t xml:space="preserve">R1-2003073, </w:t>
      </w:r>
      <w:r w:rsidRPr="00344D04">
        <w:t>RAN1 UE features list for Rel-16 NR after RAN1#100bis-E</w:t>
      </w:r>
    </w:p>
    <w:p w14:paraId="2952B780" w14:textId="655665AA" w:rsidR="00FC3307" w:rsidRDefault="00FC3307" w:rsidP="00FC3307">
      <w:pPr>
        <w:pStyle w:val="References"/>
        <w:numPr>
          <w:ilvl w:val="0"/>
          <w:numId w:val="0"/>
        </w:numPr>
        <w:ind w:left="360" w:hanging="360"/>
      </w:pPr>
    </w:p>
    <w:p w14:paraId="61B61A7A" w14:textId="77777777" w:rsidR="00FC3307" w:rsidRPr="007F5EC6" w:rsidRDefault="00FC3307" w:rsidP="00FC3307">
      <w:pPr>
        <w:rPr>
          <w:lang w:eastAsia="zh-CN"/>
        </w:rPr>
      </w:pPr>
    </w:p>
    <w:p w14:paraId="2222B402" w14:textId="5C91D7FC" w:rsidR="00FC3307" w:rsidRPr="00D74B92" w:rsidRDefault="00FC3307" w:rsidP="00FC3307">
      <w:pPr>
        <w:pStyle w:val="Heading1"/>
        <w:numPr>
          <w:ilvl w:val="0"/>
          <w:numId w:val="0"/>
        </w:numPr>
        <w:ind w:left="432" w:hanging="432"/>
      </w:pPr>
      <w:r>
        <w:t>Appendix</w:t>
      </w:r>
    </w:p>
    <w:p w14:paraId="45B5A0DB" w14:textId="1135205B" w:rsidR="00FC3307" w:rsidRDefault="00FC3307" w:rsidP="00FC3307">
      <w:r>
        <w:t>Use case specific requirements from the SID [2]:</w:t>
      </w:r>
    </w:p>
    <w:p w14:paraId="21AFDC14" w14:textId="77777777" w:rsidR="00FC3307" w:rsidRDefault="00FC3307" w:rsidP="009F46AA">
      <w:pPr>
        <w:pStyle w:val="ListParagraph"/>
        <w:numPr>
          <w:ilvl w:val="0"/>
          <w:numId w:val="4"/>
        </w:numPr>
        <w:spacing w:line="256" w:lineRule="auto"/>
        <w:rPr>
          <w:rFonts w:ascii="Times New Roman" w:eastAsia="SimSun" w:hAnsi="Times New Roman"/>
          <w:sz w:val="20"/>
          <w:szCs w:val="20"/>
          <w:lang w:eastAsia="ja-JP"/>
        </w:rPr>
      </w:pPr>
      <w:r>
        <w:rPr>
          <w:rFonts w:ascii="Times New Roman" w:hAnsi="Times New Roman"/>
          <w:sz w:val="20"/>
          <w:szCs w:val="20"/>
        </w:rPr>
        <w:lastRenderedPageBreak/>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729ABBD0" w14:textId="77777777" w:rsidR="00FC3307" w:rsidRDefault="00FC3307" w:rsidP="009F46AA">
      <w:pPr>
        <w:pStyle w:val="ListParagraph"/>
        <w:numPr>
          <w:ilvl w:val="0"/>
          <w:numId w:val="4"/>
        </w:numPr>
        <w:spacing w:line="256" w:lineRule="auto"/>
        <w:rPr>
          <w:rFonts w:ascii="Times New Roman" w:hAnsi="Times New Roman"/>
          <w:sz w:val="20"/>
          <w:szCs w:val="20"/>
        </w:rPr>
      </w:pPr>
      <w:r>
        <w:rPr>
          <w:rFonts w:ascii="Times New Roman" w:hAnsi="Times New Roman"/>
          <w:sz w:val="20"/>
          <w:szCs w:val="20"/>
        </w:rPr>
        <w:t>Video Surveillance: As described in TS 22.804, reference economic video bitrate would be 2-4 Mbps, latency &lt; 500 ms, reliability 99%-99.9%. High-end video e.g. for farming would require 7.5-25 Mbps. It is noted that traffic pattern is dominated by UL transmissions.</w:t>
      </w:r>
    </w:p>
    <w:p w14:paraId="3E87257E" w14:textId="74B2B6CF" w:rsidR="00FC3307" w:rsidRPr="00B2468E" w:rsidRDefault="00FC3307" w:rsidP="00FC3307">
      <w:pPr>
        <w:pStyle w:val="ListParagraph"/>
        <w:numPr>
          <w:ilvl w:val="0"/>
          <w:numId w:val="4"/>
        </w:numPr>
        <w:spacing w:line="256" w:lineRule="auto"/>
        <w:rPr>
          <w:rFonts w:ascii="Times New Roman" w:hAnsi="Times New Roman"/>
          <w:sz w:val="20"/>
          <w:szCs w:val="20"/>
        </w:rPr>
      </w:pPr>
      <w:r>
        <w:rPr>
          <w:rFonts w:ascii="Times New Roman" w:hAnsi="Times New Roman"/>
          <w:sz w:val="20"/>
          <w:szCs w:val="20"/>
        </w:rPr>
        <w:t>Wearables: Reference bitrate for smart wearable application can be 10-50 Mbps in DL and minimum 5 Mbps in UL and peak bit rate of the device higher, 150 Mbps for downlink and 50 Mbps for uplink.  Battery of the device should last multiple days (up to 1-2 weeks).</w:t>
      </w:r>
    </w:p>
    <w:sectPr w:rsidR="00FC3307" w:rsidRPr="00B246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831A2" w14:textId="77777777" w:rsidR="00CB2B7A" w:rsidRDefault="00CB2B7A">
      <w:r>
        <w:separator/>
      </w:r>
    </w:p>
  </w:endnote>
  <w:endnote w:type="continuationSeparator" w:id="0">
    <w:p w14:paraId="63D334CB" w14:textId="77777777" w:rsidR="00CB2B7A" w:rsidRDefault="00CB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E3464" w14:textId="77777777" w:rsidR="00CB2B7A" w:rsidRDefault="00CB2B7A">
      <w:r>
        <w:separator/>
      </w:r>
    </w:p>
  </w:footnote>
  <w:footnote w:type="continuationSeparator" w:id="0">
    <w:p w14:paraId="7A2A6B7A" w14:textId="77777777" w:rsidR="00CB2B7A" w:rsidRDefault="00CB2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293"/>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5C37"/>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C0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AB9"/>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063"/>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1D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BD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0E98"/>
    <w:rsid w:val="003311E9"/>
    <w:rsid w:val="00331426"/>
    <w:rsid w:val="0033171D"/>
    <w:rsid w:val="00331949"/>
    <w:rsid w:val="00331EE8"/>
    <w:rsid w:val="00331F28"/>
    <w:rsid w:val="00331FC3"/>
    <w:rsid w:val="0033200E"/>
    <w:rsid w:val="00332E41"/>
    <w:rsid w:val="003336B3"/>
    <w:rsid w:val="00333856"/>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D04"/>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77CD0"/>
    <w:rsid w:val="003802DC"/>
    <w:rsid w:val="003807F0"/>
    <w:rsid w:val="00380B75"/>
    <w:rsid w:val="00380E4E"/>
    <w:rsid w:val="00380FBF"/>
    <w:rsid w:val="0038113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40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57"/>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0FE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B81"/>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522"/>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765"/>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6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A41"/>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F76"/>
    <w:rsid w:val="00C03231"/>
    <w:rsid w:val="00C03EE8"/>
    <w:rsid w:val="00C049A2"/>
    <w:rsid w:val="00C04AAF"/>
    <w:rsid w:val="00C05356"/>
    <w:rsid w:val="00C053EA"/>
    <w:rsid w:val="00C05434"/>
    <w:rsid w:val="00C05555"/>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39A"/>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B7A"/>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277"/>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6AE"/>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3EA2"/>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AB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5B17"/>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307"/>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5306D-AA2C-44F3-A627-3E91C81B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6</cp:revision>
  <cp:lastPrinted>2007-06-18T22:08:00Z</cp:lastPrinted>
  <dcterms:created xsi:type="dcterms:W3CDTF">2020-05-15T18:01:00Z</dcterms:created>
  <dcterms:modified xsi:type="dcterms:W3CDTF">2020-05-15T19:11:00Z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