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rsidR="0067593D" w:rsidRPr="005F5BBA" w:rsidRDefault="00BC3828" w:rsidP="0067593D">
      <w:pPr>
        <w:rPr>
          <w:rFonts w:ascii="Arial" w:hAnsi="Arial" w:cs="Arial"/>
          <w:b/>
          <w:sz w:val="24"/>
          <w:lang w:val="en-US"/>
        </w:rPr>
      </w:pPr>
      <w:proofErr w:type="gramStart"/>
      <w:r>
        <w:rPr>
          <w:rFonts w:ascii="Arial" w:hAnsi="Arial" w:cs="Arial"/>
          <w:b/>
          <w:sz w:val="24"/>
          <w:lang w:val="en-US"/>
        </w:rPr>
        <w:t>e-Meeting</w:t>
      </w:r>
      <w:proofErr w:type="gramEnd"/>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rsidR="00A50275" w:rsidRDefault="00A50275" w:rsidP="004D0C23">
      <w:pPr>
        <w:jc w:val="both"/>
        <w:rPr>
          <w:lang w:val="en-US"/>
        </w:rPr>
      </w:pPr>
    </w:p>
    <w:p w:rsidR="00E76CB3" w:rsidRDefault="00E76CB3" w:rsidP="00E76CB3">
      <w:pPr>
        <w:rPr>
          <w:highlight w:val="cyan"/>
          <w:lang/>
        </w:rPr>
      </w:pPr>
      <w:r>
        <w:rPr>
          <w:highlight w:val="cyan"/>
          <w:lang/>
        </w:rPr>
        <w:t xml:space="preserve">[100b-e-NR-5G_V2X_NRSL-Mode-2-04] Email discussion/approval </w:t>
      </w:r>
      <w:proofErr w:type="spellStart"/>
      <w:r>
        <w:rPr>
          <w:highlight w:val="cyan"/>
          <w:lang/>
        </w:rPr>
        <w:t>w.r.t</w:t>
      </w:r>
      <w:proofErr w:type="spellEnd"/>
      <w:r>
        <w:rPr>
          <w:highlight w:val="cyan"/>
          <w:lang/>
        </w:rPr>
        <w:t>. periodic reservation including aspects:</w:t>
      </w:r>
    </w:p>
    <w:p w:rsidR="00E76CB3" w:rsidRDefault="00E76CB3" w:rsidP="007938E8">
      <w:pPr>
        <w:numPr>
          <w:ilvl w:val="0"/>
          <w:numId w:val="18"/>
        </w:numPr>
        <w:rPr>
          <w:highlight w:val="cyan"/>
        </w:rPr>
      </w:pPr>
      <w:r>
        <w:rPr>
          <w:highlight w:val="cyan"/>
        </w:rPr>
        <w:t>Backward signalling option</w:t>
      </w:r>
    </w:p>
    <w:p w:rsidR="00E76CB3" w:rsidRDefault="00E76CB3" w:rsidP="007938E8">
      <w:pPr>
        <w:numPr>
          <w:ilvl w:val="0"/>
          <w:numId w:val="18"/>
        </w:numPr>
        <w:rPr>
          <w:highlight w:val="cyan"/>
        </w:rPr>
      </w:pPr>
      <w:r>
        <w:rPr>
          <w:highlight w:val="cyan"/>
        </w:rPr>
        <w:t>Periods for exclusion if a slot is not monitored in a sensing window</w:t>
      </w:r>
    </w:p>
    <w:p w:rsidR="00E76CB3" w:rsidRDefault="00E76CB3" w:rsidP="00E76CB3">
      <w:proofErr w:type="gramStart"/>
      <w:r>
        <w:rPr>
          <w:highlight w:val="cyan"/>
        </w:rPr>
        <w:t>till</w:t>
      </w:r>
      <w:proofErr w:type="gramEnd"/>
      <w:r>
        <w:rPr>
          <w:highlight w:val="cyan"/>
        </w:rPr>
        <w:t xml:space="preserve"> 4/24, with potential TPs till 4/29 (Intel, Sergey)</w:t>
      </w:r>
    </w:p>
    <w:p w:rsidR="009F2A25" w:rsidRDefault="009F2A25" w:rsidP="009F2A25"/>
    <w:tbl>
      <w:tblPr>
        <w:tblStyle w:val="TableGrid"/>
        <w:tblW w:w="0" w:type="auto"/>
        <w:tblLook w:val="04A0"/>
      </w:tblPr>
      <w:tblGrid>
        <w:gridCol w:w="9631"/>
      </w:tblGrid>
      <w:tr w:rsidR="00E76CB3" w:rsidTr="00E76CB3">
        <w:tc>
          <w:tcPr>
            <w:tcW w:w="9631" w:type="dxa"/>
          </w:tcPr>
          <w:p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rsidR="00E76CB3" w:rsidRPr="00404FE1" w:rsidRDefault="00E76CB3" w:rsidP="00E76CB3">
            <w:pPr>
              <w:jc w:val="both"/>
              <w:rPr>
                <w:b/>
                <w:bCs/>
                <w:u w:val="single"/>
                <w:lang w:val="en-US"/>
              </w:rPr>
            </w:pPr>
            <w:r w:rsidRPr="00404FE1">
              <w:rPr>
                <w:b/>
                <w:bCs/>
                <w:u w:val="single"/>
                <w:lang w:val="en-US"/>
              </w:rPr>
              <w:t>Conclusion</w:t>
            </w:r>
          </w:p>
          <w:p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rsidR="00E76CB3" w:rsidRPr="007957F2" w:rsidRDefault="00E76CB3" w:rsidP="009F2A25"/>
    <w:p w:rsidR="00E41505" w:rsidRDefault="008C2214" w:rsidP="0000254F">
      <w:pPr>
        <w:pStyle w:val="3GPPH1"/>
      </w:pPr>
      <w:r>
        <w:t>Discussion</w:t>
      </w:r>
    </w:p>
    <w:p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rsidR="00A9325D" w:rsidRDefault="00A9325D" w:rsidP="007938E8">
      <w:pPr>
        <w:pStyle w:val="ListParagraph"/>
        <w:numPr>
          <w:ilvl w:val="0"/>
          <w:numId w:val="19"/>
        </w:numPr>
        <w:ind w:leftChars="0"/>
      </w:pPr>
      <w:r>
        <w:t>Option 1: no backward indication</w:t>
      </w:r>
    </w:p>
    <w:p w:rsidR="00A9325D" w:rsidRDefault="00A9325D" w:rsidP="007938E8">
      <w:pPr>
        <w:pStyle w:val="ListParagraph"/>
        <w:numPr>
          <w:ilvl w:val="1"/>
          <w:numId w:val="19"/>
        </w:numPr>
        <w:ind w:leftChars="0"/>
      </w:pPr>
      <w:r>
        <w:t>Companies supporting this option argue that other mechanisms are sufficient</w:t>
      </w:r>
    </w:p>
    <w:p w:rsidR="00A9325D" w:rsidRDefault="00A9325D" w:rsidP="007938E8">
      <w:pPr>
        <w:pStyle w:val="ListParagraph"/>
        <w:numPr>
          <w:ilvl w:val="0"/>
          <w:numId w:val="19"/>
        </w:numPr>
        <w:ind w:leftChars="0"/>
      </w:pPr>
      <w:r>
        <w:t>Option 2: 1-bit backward indication</w:t>
      </w:r>
    </w:p>
    <w:p w:rsidR="00A9325D" w:rsidRDefault="00A9325D" w:rsidP="007938E8">
      <w:pPr>
        <w:pStyle w:val="ListParagraph"/>
        <w:numPr>
          <w:ilvl w:val="1"/>
          <w:numId w:val="19"/>
        </w:numPr>
        <w:ind w:leftChars="0"/>
      </w:pPr>
      <w:r>
        <w:t xml:space="preserve">Companies supporting this option argue that it is a good compromise between no indication and full indication, i.e. in case of </w:t>
      </w:r>
      <w:proofErr w:type="spellStart"/>
      <w:r>
        <w:t>Nmax</w:t>
      </w:r>
      <w:proofErr w:type="spellEnd"/>
      <w:r>
        <w:t xml:space="preserve"> = 3, only one resource can be reserved in past.</w:t>
      </w:r>
    </w:p>
    <w:p w:rsidR="00A9325D" w:rsidRDefault="00A9325D" w:rsidP="007938E8">
      <w:pPr>
        <w:pStyle w:val="ListParagraph"/>
        <w:numPr>
          <w:ilvl w:val="0"/>
          <w:numId w:val="19"/>
        </w:numPr>
        <w:ind w:leftChars="0"/>
      </w:pPr>
      <w:r>
        <w:t>Option 3: full backward indication</w:t>
      </w:r>
    </w:p>
    <w:p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114A7B">
        <w:fldChar w:fldCharType="begin"/>
      </w:r>
      <w:r w:rsidR="000C1328">
        <w:instrText xml:space="preserve"> REF _Ref38267652 \r \h </w:instrText>
      </w:r>
      <w:r w:rsidR="00114A7B">
        <w:fldChar w:fldCharType="separate"/>
      </w:r>
      <w:r w:rsidR="000C1328">
        <w:t>[13]</w:t>
      </w:r>
      <w:r w:rsidR="00114A7B">
        <w:fldChar w:fldCharType="end"/>
      </w:r>
      <w:r>
        <w:t xml:space="preserve"> showing that backward indication provides gains in periodic traffic environment.</w:t>
      </w:r>
    </w:p>
    <w:p w:rsidR="00F7327F" w:rsidRDefault="00F7327F" w:rsidP="000167F5">
      <w:pPr>
        <w:rPr>
          <w:lang w:val="en-US"/>
        </w:rPr>
      </w:pPr>
    </w:p>
    <w:p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rsidR="00B318F1" w:rsidRPr="000C1328" w:rsidRDefault="00B318F1" w:rsidP="00B318F1">
      <w:pPr>
        <w:rPr>
          <w:lang w:val="en-US"/>
        </w:rPr>
      </w:pPr>
    </w:p>
    <w:tbl>
      <w:tblPr>
        <w:tblStyle w:val="TableGrid"/>
        <w:tblW w:w="0" w:type="auto"/>
        <w:tblLook w:val="04A0"/>
      </w:tblPr>
      <w:tblGrid>
        <w:gridCol w:w="1661"/>
        <w:gridCol w:w="1892"/>
        <w:gridCol w:w="4431"/>
        <w:gridCol w:w="1803"/>
      </w:tblGrid>
      <w:tr w:rsidR="00D91F3A" w:rsidTr="008E0875">
        <w:tc>
          <w:tcPr>
            <w:tcW w:w="1661" w:type="dxa"/>
          </w:tcPr>
          <w:p w:rsidR="00D91F3A" w:rsidRDefault="00D91F3A" w:rsidP="000167F5">
            <w:r>
              <w:t>Source</w:t>
            </w:r>
          </w:p>
        </w:tc>
        <w:tc>
          <w:tcPr>
            <w:tcW w:w="1892" w:type="dxa"/>
          </w:tcPr>
          <w:p w:rsidR="00D91F3A" w:rsidRDefault="00D91F3A" w:rsidP="000167F5">
            <w:r>
              <w:t>Option</w:t>
            </w:r>
          </w:p>
        </w:tc>
        <w:tc>
          <w:tcPr>
            <w:tcW w:w="4431" w:type="dxa"/>
          </w:tcPr>
          <w:p w:rsidR="00D91F3A" w:rsidRDefault="00D91F3A" w:rsidP="000167F5">
            <w:r>
              <w:t>Comment</w:t>
            </w:r>
          </w:p>
        </w:tc>
        <w:tc>
          <w:tcPr>
            <w:tcW w:w="1803" w:type="dxa"/>
          </w:tcPr>
          <w:p w:rsidR="00D91F3A" w:rsidRDefault="00D91F3A" w:rsidP="000167F5"/>
        </w:tc>
      </w:tr>
      <w:tr w:rsidR="00D91F3A" w:rsidTr="008E0875">
        <w:tc>
          <w:tcPr>
            <w:tcW w:w="1661" w:type="dxa"/>
          </w:tcPr>
          <w:p w:rsidR="00D91F3A" w:rsidRDefault="0013476A" w:rsidP="000167F5">
            <w:r>
              <w:t>Ericsson</w:t>
            </w:r>
          </w:p>
        </w:tc>
        <w:tc>
          <w:tcPr>
            <w:tcW w:w="1892" w:type="dxa"/>
          </w:tcPr>
          <w:p w:rsidR="00D91F3A" w:rsidRDefault="0013476A" w:rsidP="000167F5">
            <w:r>
              <w:t>Option 2</w:t>
            </w:r>
          </w:p>
        </w:tc>
        <w:tc>
          <w:tcPr>
            <w:tcW w:w="4431" w:type="dxa"/>
          </w:tcPr>
          <w:p w:rsidR="00D91F3A" w:rsidRDefault="0013476A" w:rsidP="000167F5">
            <w:r>
              <w:t>OK with option 3 as well but as second preference</w:t>
            </w:r>
          </w:p>
        </w:tc>
        <w:tc>
          <w:tcPr>
            <w:tcW w:w="1803" w:type="dxa"/>
          </w:tcPr>
          <w:p w:rsidR="00D91F3A" w:rsidRDefault="00D91F3A" w:rsidP="000167F5"/>
        </w:tc>
      </w:tr>
      <w:tr w:rsidR="00D91F3A" w:rsidTr="008E0875">
        <w:tc>
          <w:tcPr>
            <w:tcW w:w="1661" w:type="dxa"/>
          </w:tcPr>
          <w:p w:rsidR="00D91F3A" w:rsidRDefault="00915B08" w:rsidP="000167F5">
            <w:r>
              <w:t>Intel</w:t>
            </w:r>
          </w:p>
        </w:tc>
        <w:tc>
          <w:tcPr>
            <w:tcW w:w="1892" w:type="dxa"/>
          </w:tcPr>
          <w:p w:rsidR="00D91F3A" w:rsidRDefault="00915B08" w:rsidP="000167F5">
            <w:r>
              <w:t>Option 3 is preferred</w:t>
            </w:r>
          </w:p>
        </w:tc>
        <w:tc>
          <w:tcPr>
            <w:tcW w:w="4431" w:type="dxa"/>
          </w:tcPr>
          <w:p w:rsidR="00D91F3A" w:rsidRDefault="00915B08" w:rsidP="000167F5">
            <w:r>
              <w:t>OK with option 2 as a second preference</w:t>
            </w:r>
          </w:p>
        </w:tc>
        <w:tc>
          <w:tcPr>
            <w:tcW w:w="1803" w:type="dxa"/>
          </w:tcPr>
          <w:p w:rsidR="00D91F3A" w:rsidRDefault="00D91F3A" w:rsidP="000167F5"/>
        </w:tc>
      </w:tr>
      <w:tr w:rsidR="00E264BF" w:rsidTr="008E0875">
        <w:tc>
          <w:tcPr>
            <w:tcW w:w="1661" w:type="dxa"/>
          </w:tcPr>
          <w:p w:rsidR="00E264BF" w:rsidRPr="00E264BF" w:rsidRDefault="00E264BF" w:rsidP="000167F5">
            <w:pPr>
              <w:rPr>
                <w:rFonts w:eastAsia="MS Mincho"/>
                <w:lang w:eastAsia="ja-JP"/>
              </w:rPr>
            </w:pPr>
            <w:r>
              <w:rPr>
                <w:rFonts w:eastAsia="MS Mincho" w:hint="eastAsia"/>
                <w:lang w:eastAsia="ja-JP"/>
              </w:rPr>
              <w:t>NTT DOCOMO</w:t>
            </w:r>
          </w:p>
        </w:tc>
        <w:tc>
          <w:tcPr>
            <w:tcW w:w="1892" w:type="dxa"/>
          </w:tcPr>
          <w:p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rsidR="00E264BF" w:rsidRDefault="00E264BF" w:rsidP="000167F5"/>
        </w:tc>
      </w:tr>
      <w:tr w:rsidR="00B2200B" w:rsidTr="008E0875">
        <w:tc>
          <w:tcPr>
            <w:tcW w:w="1661" w:type="dxa"/>
          </w:tcPr>
          <w:p w:rsidR="00B2200B" w:rsidRPr="00B2200B" w:rsidRDefault="00B2200B" w:rsidP="00B2200B">
            <w:r w:rsidRPr="00B2200B">
              <w:t>Xiaomi</w:t>
            </w:r>
          </w:p>
        </w:tc>
        <w:tc>
          <w:tcPr>
            <w:tcW w:w="1892" w:type="dxa"/>
          </w:tcPr>
          <w:p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rsidR="00B2200B" w:rsidRDefault="00B2200B" w:rsidP="000167F5"/>
        </w:tc>
      </w:tr>
      <w:tr w:rsidR="00890893" w:rsidTr="008E0875">
        <w:tc>
          <w:tcPr>
            <w:tcW w:w="1661" w:type="dxa"/>
          </w:tcPr>
          <w:p w:rsidR="00890893" w:rsidRPr="00B2200B" w:rsidRDefault="00890893" w:rsidP="00B2200B">
            <w:r>
              <w:t>TCL</w:t>
            </w:r>
          </w:p>
        </w:tc>
        <w:tc>
          <w:tcPr>
            <w:tcW w:w="1892" w:type="dxa"/>
          </w:tcPr>
          <w:p w:rsidR="00890893" w:rsidRDefault="00890893" w:rsidP="00B2200B">
            <w:pPr>
              <w:rPr>
                <w:rFonts w:eastAsiaTheme="minorEastAsia"/>
                <w:lang w:eastAsia="zh-CN"/>
              </w:rPr>
            </w:pPr>
            <w:r>
              <w:rPr>
                <w:rFonts w:eastAsiaTheme="minorEastAsia"/>
                <w:lang w:eastAsia="zh-CN"/>
              </w:rPr>
              <w:t>Option 3</w:t>
            </w:r>
          </w:p>
        </w:tc>
        <w:tc>
          <w:tcPr>
            <w:tcW w:w="4431" w:type="dxa"/>
          </w:tcPr>
          <w:p w:rsidR="00890893" w:rsidRDefault="00890893" w:rsidP="00B2200B">
            <w:pPr>
              <w:rPr>
                <w:rFonts w:eastAsiaTheme="minorEastAsia"/>
                <w:lang w:eastAsia="zh-CN"/>
              </w:rPr>
            </w:pPr>
            <w:r>
              <w:rPr>
                <w:rFonts w:eastAsiaTheme="minorEastAsia"/>
                <w:lang w:eastAsia="zh-CN"/>
              </w:rPr>
              <w:t>Ok with option 2 as second preference</w:t>
            </w:r>
          </w:p>
        </w:tc>
        <w:tc>
          <w:tcPr>
            <w:tcW w:w="1803" w:type="dxa"/>
          </w:tcPr>
          <w:p w:rsidR="00890893" w:rsidRDefault="00890893" w:rsidP="000167F5"/>
        </w:tc>
      </w:tr>
      <w:tr w:rsidR="00560001" w:rsidTr="008E0875">
        <w:tc>
          <w:tcPr>
            <w:tcW w:w="1661" w:type="dxa"/>
          </w:tcPr>
          <w:p w:rsidR="00560001" w:rsidRDefault="00560001" w:rsidP="00560001">
            <w:r>
              <w:t>Qualcomm</w:t>
            </w:r>
          </w:p>
        </w:tc>
        <w:tc>
          <w:tcPr>
            <w:tcW w:w="1892" w:type="dxa"/>
          </w:tcPr>
          <w:p w:rsidR="00560001" w:rsidRDefault="00560001" w:rsidP="00560001">
            <w:pPr>
              <w:rPr>
                <w:rFonts w:eastAsiaTheme="minorEastAsia"/>
                <w:lang w:eastAsia="zh-CN"/>
              </w:rPr>
            </w:pPr>
            <w:r>
              <w:t>Option 1</w:t>
            </w:r>
          </w:p>
        </w:tc>
        <w:tc>
          <w:tcPr>
            <w:tcW w:w="4431" w:type="dxa"/>
          </w:tcPr>
          <w:p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803" w:type="dxa"/>
          </w:tcPr>
          <w:p w:rsidR="00560001" w:rsidRDefault="00560001" w:rsidP="00560001"/>
        </w:tc>
      </w:tr>
      <w:tr w:rsidR="00A46343" w:rsidTr="008E0875">
        <w:tc>
          <w:tcPr>
            <w:tcW w:w="1661" w:type="dxa"/>
          </w:tcPr>
          <w:p w:rsidR="00A46343" w:rsidRPr="00B2200B" w:rsidRDefault="00A46343" w:rsidP="0095683D">
            <w:r>
              <w:t>Bosch</w:t>
            </w:r>
          </w:p>
        </w:tc>
        <w:tc>
          <w:tcPr>
            <w:tcW w:w="1892" w:type="dxa"/>
          </w:tcPr>
          <w:p w:rsidR="00A46343" w:rsidRDefault="00A46343" w:rsidP="0095683D">
            <w:pPr>
              <w:rPr>
                <w:rFonts w:eastAsiaTheme="minorEastAsia"/>
                <w:lang w:eastAsia="zh-CN"/>
              </w:rPr>
            </w:pPr>
            <w:r>
              <w:rPr>
                <w:rFonts w:eastAsiaTheme="minorEastAsia"/>
                <w:lang w:eastAsia="zh-CN"/>
              </w:rPr>
              <w:t>Option 3 or 2</w:t>
            </w:r>
          </w:p>
        </w:tc>
        <w:tc>
          <w:tcPr>
            <w:tcW w:w="4431" w:type="dxa"/>
          </w:tcPr>
          <w:p w:rsidR="00A46343" w:rsidRDefault="00A46343" w:rsidP="0095683D">
            <w:pPr>
              <w:rPr>
                <w:rFonts w:eastAsiaTheme="minorEastAsia"/>
                <w:lang w:eastAsia="zh-CN"/>
              </w:rPr>
            </w:pPr>
            <w:r>
              <w:rPr>
                <w:rFonts w:eastAsiaTheme="minorEastAsia"/>
                <w:lang w:eastAsia="zh-CN"/>
              </w:rPr>
              <w:t>Option 3 is preferred. If not agreeable, then at least option 2.</w:t>
            </w:r>
          </w:p>
        </w:tc>
        <w:tc>
          <w:tcPr>
            <w:tcW w:w="1803" w:type="dxa"/>
          </w:tcPr>
          <w:p w:rsidR="00A46343" w:rsidRDefault="00A46343" w:rsidP="0095683D"/>
        </w:tc>
      </w:tr>
      <w:tr w:rsidR="00E75961" w:rsidTr="008E0875">
        <w:tc>
          <w:tcPr>
            <w:tcW w:w="1661" w:type="dxa"/>
          </w:tcPr>
          <w:p w:rsidR="00E75961" w:rsidRPr="00E75961" w:rsidRDefault="00E75961" w:rsidP="00E75961">
            <w:proofErr w:type="spellStart"/>
            <w:r w:rsidRPr="00E75961">
              <w:t>Huawei</w:t>
            </w:r>
            <w:proofErr w:type="spellEnd"/>
            <w:r w:rsidRPr="00E75961">
              <w:t>/</w:t>
            </w:r>
            <w:proofErr w:type="spellStart"/>
            <w:r w:rsidRPr="00E75961">
              <w:t>HiSilicon</w:t>
            </w:r>
            <w:proofErr w:type="spellEnd"/>
          </w:p>
        </w:tc>
        <w:tc>
          <w:tcPr>
            <w:tcW w:w="1892" w:type="dxa"/>
          </w:tcPr>
          <w:p w:rsidR="00E75961" w:rsidRPr="00E75961" w:rsidRDefault="00E75961" w:rsidP="00E75961">
            <w:pPr>
              <w:rPr>
                <w:rFonts w:eastAsiaTheme="minorEastAsia"/>
                <w:lang w:eastAsia="zh-CN"/>
              </w:rPr>
            </w:pPr>
            <w:r w:rsidRPr="00E75961">
              <w:rPr>
                <w:rFonts w:eastAsiaTheme="minorEastAsia" w:hint="eastAsia"/>
                <w:lang w:eastAsia="zh-CN"/>
              </w:rPr>
              <w:t>O</w:t>
            </w:r>
            <w:r w:rsidRPr="00E75961">
              <w:rPr>
                <w:rFonts w:eastAsiaTheme="minorEastAsia"/>
                <w:lang w:eastAsia="zh-CN"/>
              </w:rPr>
              <w:t>ption 3</w:t>
            </w:r>
          </w:p>
        </w:tc>
        <w:tc>
          <w:tcPr>
            <w:tcW w:w="4431" w:type="dxa"/>
          </w:tcPr>
          <w:p w:rsidR="00E75961" w:rsidRPr="00E75961" w:rsidRDefault="00E75961" w:rsidP="00E75961">
            <w:r w:rsidRPr="00E75961">
              <w:t>Sensing UE may miss SCI, Option 3 can solve this issue and makes sensing procedure more accurate.</w:t>
            </w:r>
          </w:p>
          <w:p w:rsidR="00E75961" w:rsidRPr="00E75961" w:rsidRDefault="00E75961" w:rsidP="00E75961"/>
          <w:p w:rsidR="00E75961" w:rsidRPr="00E75961" w:rsidRDefault="00E75961" w:rsidP="00E75961">
            <w:r w:rsidRPr="00E75961">
              <w:t>Option 3 can cover Option 1 and Option 2.</w:t>
            </w:r>
          </w:p>
          <w:p w:rsidR="00E75961" w:rsidRPr="00E75961" w:rsidRDefault="00E75961" w:rsidP="00E75961">
            <w:pPr>
              <w:rPr>
                <w:rFonts w:eastAsiaTheme="minorEastAsia"/>
                <w:lang w:eastAsia="zh-CN"/>
              </w:rPr>
            </w:pPr>
            <w:r w:rsidRPr="00E75961">
              <w:t xml:space="preserve">Compared to Option 2, Option 3 provides full flexibility, and there is only 1 extra bit in case of </w:t>
            </w:r>
            <w:proofErr w:type="spellStart"/>
            <w:r w:rsidRPr="00E75961">
              <w:t>Nmax</w:t>
            </w:r>
            <w:proofErr w:type="spellEnd"/>
            <w:r w:rsidRPr="00E75961">
              <w:t xml:space="preserve"> = 3, so the cost is very small.</w:t>
            </w:r>
          </w:p>
        </w:tc>
        <w:tc>
          <w:tcPr>
            <w:tcW w:w="1803" w:type="dxa"/>
          </w:tcPr>
          <w:p w:rsidR="00E75961" w:rsidRDefault="00E75961" w:rsidP="00E75961"/>
        </w:tc>
      </w:tr>
      <w:tr w:rsidR="008C3933" w:rsidTr="008E0875">
        <w:tc>
          <w:tcPr>
            <w:tcW w:w="1661" w:type="dxa"/>
          </w:tcPr>
          <w:p w:rsidR="008C3933" w:rsidRPr="00E75961" w:rsidRDefault="008C3933" w:rsidP="00E75961">
            <w:r>
              <w:t>Futurewei</w:t>
            </w:r>
          </w:p>
        </w:tc>
        <w:tc>
          <w:tcPr>
            <w:tcW w:w="1892" w:type="dxa"/>
          </w:tcPr>
          <w:p w:rsidR="008C3933" w:rsidRPr="00E75961" w:rsidRDefault="008C3933" w:rsidP="00E75961">
            <w:pPr>
              <w:rPr>
                <w:rFonts w:eastAsiaTheme="minorEastAsia"/>
                <w:lang w:eastAsia="zh-CN"/>
              </w:rPr>
            </w:pPr>
            <w:r>
              <w:rPr>
                <w:rFonts w:eastAsiaTheme="minorEastAsia"/>
                <w:lang w:eastAsia="zh-CN"/>
              </w:rPr>
              <w:t>Option 3</w:t>
            </w:r>
          </w:p>
        </w:tc>
        <w:tc>
          <w:tcPr>
            <w:tcW w:w="4431" w:type="dxa"/>
          </w:tcPr>
          <w:p w:rsidR="008C3933" w:rsidRPr="00E75961" w:rsidRDefault="008C3933" w:rsidP="00E75961">
            <w:r>
              <w:t>Backward indication, which is supported in LTE, should be supported for NR as well. Either option 2 or 3 would be acceptable, but given that the additional overhead of option 3 is minimal (1 bit), we prefer option 3</w:t>
            </w:r>
          </w:p>
        </w:tc>
        <w:tc>
          <w:tcPr>
            <w:tcW w:w="1803" w:type="dxa"/>
          </w:tcPr>
          <w:p w:rsidR="008C3933" w:rsidRDefault="008C3933" w:rsidP="00E75961"/>
        </w:tc>
      </w:tr>
      <w:tr w:rsidR="008E0875" w:rsidTr="008E0875">
        <w:tc>
          <w:tcPr>
            <w:tcW w:w="1661" w:type="dxa"/>
          </w:tcPr>
          <w:p w:rsidR="008E0875" w:rsidRDefault="008E0875" w:rsidP="00E75961">
            <w:r>
              <w:t xml:space="preserve">ZTE, </w:t>
            </w:r>
            <w:proofErr w:type="spellStart"/>
            <w:r>
              <w:t>Sanechips</w:t>
            </w:r>
            <w:proofErr w:type="spellEnd"/>
          </w:p>
        </w:tc>
        <w:tc>
          <w:tcPr>
            <w:tcW w:w="1892" w:type="dxa"/>
          </w:tcPr>
          <w:p w:rsidR="008E0875" w:rsidRPr="008E0875" w:rsidRDefault="008E0875" w:rsidP="00BC0348">
            <w:pPr>
              <w:rPr>
                <w:rFonts w:eastAsia="SimSun"/>
                <w:lang w:eastAsia="zh-CN"/>
              </w:rPr>
            </w:pPr>
            <w:r w:rsidRPr="008E0875">
              <w:t xml:space="preserve">Option </w:t>
            </w:r>
            <w:r w:rsidRPr="008E0875">
              <w:rPr>
                <w:rFonts w:eastAsia="SimSun" w:hint="eastAsia"/>
                <w:lang w:val="en-US" w:eastAsia="zh-CN"/>
              </w:rPr>
              <w:t>1</w:t>
            </w:r>
          </w:p>
        </w:tc>
        <w:tc>
          <w:tcPr>
            <w:tcW w:w="4431" w:type="dxa"/>
          </w:tcPr>
          <w:p w:rsidR="008E0875" w:rsidRPr="008E0875" w:rsidRDefault="008E0875" w:rsidP="00BC0348">
            <w:pPr>
              <w:jc w:val="both"/>
              <w:rPr>
                <w:sz w:val="21"/>
                <w:lang w:val="en-US" w:eastAsia="zh-CN"/>
              </w:rPr>
            </w:pPr>
            <w:r w:rsidRPr="008E0875">
              <w:rPr>
                <w:sz w:val="21"/>
                <w:lang w:val="en-US" w:eastAsia="zh-CN"/>
              </w:rPr>
              <w:t>There is not enough evide</w:t>
            </w:r>
            <w:r w:rsidRPr="008E0875">
              <w:rPr>
                <w:sz w:val="21"/>
                <w:lang w:val="en-US" w:eastAsia="zh-CN"/>
              </w:rPr>
              <w:t>nce to prove that option 2/3 can have</w:t>
            </w:r>
            <w:r w:rsidRPr="008E0875">
              <w:rPr>
                <w:sz w:val="21"/>
                <w:lang w:val="en-US" w:eastAsia="zh-CN"/>
              </w:rPr>
              <w:t xml:space="preserve"> obvious performance gain, and the introd</w:t>
            </w:r>
            <w:r w:rsidRPr="008E0875">
              <w:rPr>
                <w:sz w:val="21"/>
                <w:lang w:val="en-US" w:eastAsia="zh-CN"/>
              </w:rPr>
              <w:t>uction of additional 1-2 bits for</w:t>
            </w:r>
            <w:r w:rsidRPr="008E0875">
              <w:rPr>
                <w:sz w:val="21"/>
                <w:lang w:val="en-US" w:eastAsia="zh-CN"/>
              </w:rPr>
              <w:t xml:space="preserve"> option 2/3 will lead to </w:t>
            </w:r>
            <w:r w:rsidRPr="008E0875">
              <w:rPr>
                <w:sz w:val="21"/>
                <w:lang w:val="en-US" w:eastAsia="zh-CN"/>
              </w:rPr>
              <w:t xml:space="preserve">overhead downgrading </w:t>
            </w:r>
            <w:r w:rsidRPr="008E0875">
              <w:rPr>
                <w:sz w:val="21"/>
                <w:lang w:val="en-US" w:eastAsia="zh-CN"/>
              </w:rPr>
              <w:t>SCI decoding performance.</w:t>
            </w:r>
          </w:p>
          <w:p w:rsidR="008E0875" w:rsidRPr="008E0875" w:rsidRDefault="008E0875" w:rsidP="00BC0348">
            <w:pPr>
              <w:jc w:val="both"/>
            </w:pPr>
            <w:r w:rsidRPr="008E0875">
              <w:rPr>
                <w:rFonts w:hint="eastAsia"/>
                <w:sz w:val="21"/>
                <w:lang w:val="en-US" w:eastAsia="zh-CN"/>
              </w:rPr>
              <w:t>I</w:t>
            </w:r>
            <w:r w:rsidRPr="008E0875">
              <w:rPr>
                <w:sz w:val="21"/>
                <w:lang w:val="en-US" w:eastAsia="zh-CN"/>
              </w:rPr>
              <w:t>f the past time resources are indicated by the backward indication, the number of reservation used to indicate the future</w:t>
            </w:r>
            <w:r w:rsidRPr="008E0875">
              <w:rPr>
                <w:rFonts w:hint="eastAsia"/>
                <w:sz w:val="21"/>
                <w:lang w:val="en-US" w:eastAsia="zh-CN"/>
              </w:rPr>
              <w:t xml:space="preserve"> PSCCH</w:t>
            </w:r>
            <w:r w:rsidRPr="008E0875">
              <w:rPr>
                <w:sz w:val="21"/>
                <w:lang w:val="en-US" w:eastAsia="zh-CN"/>
              </w:rPr>
              <w:t>/</w:t>
            </w:r>
            <w:r w:rsidRPr="008E0875">
              <w:rPr>
                <w:rFonts w:hint="eastAsia"/>
                <w:sz w:val="21"/>
                <w:lang w:val="en-US" w:eastAsia="zh-CN"/>
              </w:rPr>
              <w:t>PSSCH</w:t>
            </w:r>
            <w:r w:rsidRPr="008E0875">
              <w:rPr>
                <w:sz w:val="21"/>
                <w:lang w:val="en-US" w:eastAsia="zh-CN"/>
              </w:rPr>
              <w:t xml:space="preserve"> will be reduced, which is bad to sensing and more prone to resource conflicts.</w:t>
            </w:r>
            <w:r w:rsidRPr="008E0875">
              <w:rPr>
                <w:rFonts w:hint="eastAsia"/>
                <w:sz w:val="21"/>
                <w:lang w:val="en-US" w:eastAsia="zh-CN"/>
              </w:rPr>
              <w:t xml:space="preserve"> It </w:t>
            </w:r>
            <w:r w:rsidRPr="008E0875">
              <w:rPr>
                <w:sz w:val="21"/>
                <w:lang w:val="en-US" w:eastAsia="zh-CN"/>
              </w:rPr>
              <w:t>wa</w:t>
            </w:r>
            <w:r w:rsidRPr="008E0875">
              <w:rPr>
                <w:rFonts w:hint="eastAsia"/>
                <w:sz w:val="21"/>
                <w:lang w:val="en-US" w:eastAsia="zh-CN"/>
              </w:rPr>
              <w:t xml:space="preserve">s argued that </w:t>
            </w:r>
            <w:proofErr w:type="spellStart"/>
            <w:r w:rsidRPr="008E0875">
              <w:rPr>
                <w:rFonts w:hint="eastAsia"/>
                <w:sz w:val="21"/>
                <w:lang w:val="en-US" w:eastAsia="zh-CN"/>
              </w:rPr>
              <w:t>backwark</w:t>
            </w:r>
            <w:proofErr w:type="spellEnd"/>
            <w:r w:rsidRPr="008E0875">
              <w:rPr>
                <w:rFonts w:hint="eastAsia"/>
                <w:sz w:val="21"/>
                <w:lang w:val="en-US" w:eastAsia="zh-CN"/>
              </w:rPr>
              <w:t xml:space="preserve"> indication can be used when the actual number of transmission of a TB is 2. However, i</w:t>
            </w:r>
            <w:r w:rsidRPr="008E0875">
              <w:rPr>
                <w:sz w:val="21"/>
                <w:lang w:val="en-US" w:eastAsia="zh-CN"/>
              </w:rPr>
              <w:t xml:space="preserve">n </w:t>
            </w:r>
            <w:r w:rsidRPr="008E0875">
              <w:rPr>
                <w:rFonts w:hint="eastAsia"/>
                <w:sz w:val="21"/>
                <w:lang w:val="en-US" w:eastAsia="zh-CN"/>
              </w:rPr>
              <w:t xml:space="preserve">HARQ feedback </w:t>
            </w:r>
            <w:r w:rsidRPr="008E0875">
              <w:rPr>
                <w:sz w:val="21"/>
                <w:lang w:val="en-US" w:eastAsia="zh-CN"/>
              </w:rPr>
              <w:t xml:space="preserve">re-transmission, the </w:t>
            </w:r>
            <w:proofErr w:type="spellStart"/>
            <w:r w:rsidRPr="008E0875">
              <w:rPr>
                <w:sz w:val="21"/>
                <w:lang w:val="en-US" w:eastAsia="zh-CN"/>
              </w:rPr>
              <w:t>Tx</w:t>
            </w:r>
            <w:proofErr w:type="spellEnd"/>
            <w:r w:rsidRPr="008E0875">
              <w:rPr>
                <w:sz w:val="21"/>
                <w:lang w:val="en-US" w:eastAsia="zh-CN"/>
              </w:rPr>
              <w:t xml:space="preserve"> UE does not know whether a re-transmission is the last one or not.</w:t>
            </w:r>
          </w:p>
        </w:tc>
        <w:tc>
          <w:tcPr>
            <w:tcW w:w="1803" w:type="dxa"/>
          </w:tcPr>
          <w:p w:rsidR="008E0875" w:rsidRDefault="008E0875" w:rsidP="00E75961"/>
        </w:tc>
      </w:tr>
    </w:tbl>
    <w:p w:rsidR="00D85EB5" w:rsidRDefault="00D85EB5" w:rsidP="00D85EB5">
      <w:bookmarkStart w:id="2" w:name="_Ref37777332"/>
    </w:p>
    <w:p w:rsidR="00D85EB5" w:rsidRDefault="00D85EB5" w:rsidP="00D85EB5"/>
    <w:p w:rsidR="000C1328" w:rsidRDefault="000C1328" w:rsidP="00D85EB5">
      <w:r>
        <w:t>The second aspect relates to the conclusion in the last meeting to evaluate the case of periodic resource exclusion for the slots not monitored in the sensing window. The following points are discussed:</w:t>
      </w:r>
    </w:p>
    <w:p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rsidR="000C1328" w:rsidRDefault="000C1328" w:rsidP="007938E8">
      <w:pPr>
        <w:pStyle w:val="ListParagraph"/>
        <w:numPr>
          <w:ilvl w:val="0"/>
          <w:numId w:val="19"/>
        </w:numPr>
        <w:ind w:leftChars="0"/>
      </w:pPr>
      <w:r>
        <w:t xml:space="preserve">At least one contribution </w:t>
      </w:r>
      <w:r w:rsidR="00114A7B">
        <w:fldChar w:fldCharType="begin"/>
      </w:r>
      <w:r>
        <w:instrText xml:space="preserve"> REF _Ref38267660 \r \h </w:instrText>
      </w:r>
      <w:r w:rsidR="00114A7B">
        <w:fldChar w:fldCharType="separate"/>
      </w:r>
      <w:r>
        <w:t>[27]</w:t>
      </w:r>
      <w:r w:rsidR="00114A7B">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rsidR="000C1328" w:rsidRDefault="000C1328" w:rsidP="007938E8">
      <w:pPr>
        <w:pStyle w:val="ListParagraph"/>
        <w:numPr>
          <w:ilvl w:val="0"/>
          <w:numId w:val="19"/>
        </w:numPr>
        <w:ind w:leftChars="0"/>
      </w:pPr>
      <w:r>
        <w:t>In general, there are the following alternatives identified</w:t>
      </w:r>
    </w:p>
    <w:p w:rsidR="000C1328" w:rsidRDefault="000C1328" w:rsidP="007938E8">
      <w:pPr>
        <w:pStyle w:val="ListParagraph"/>
        <w:numPr>
          <w:ilvl w:val="1"/>
          <w:numId w:val="19"/>
        </w:numPr>
        <w:ind w:leftChars="0"/>
      </w:pPr>
      <w:r>
        <w:t>Keep excluding by all configured period values</w:t>
      </w:r>
    </w:p>
    <w:p w:rsidR="000C1328" w:rsidRDefault="000C1328" w:rsidP="007938E8">
      <w:pPr>
        <w:pStyle w:val="ListParagraph"/>
        <w:numPr>
          <w:ilvl w:val="1"/>
          <w:numId w:val="19"/>
        </w:numPr>
        <w:ind w:leftChars="0"/>
      </w:pPr>
      <w:r>
        <w:t>Exclude only using TX UE period value</w:t>
      </w:r>
    </w:p>
    <w:p w:rsidR="000C1328" w:rsidRDefault="000C1328" w:rsidP="007938E8">
      <w:pPr>
        <w:pStyle w:val="ListParagraph"/>
        <w:numPr>
          <w:ilvl w:val="1"/>
          <w:numId w:val="19"/>
        </w:numPr>
        <w:ind w:leftChars="0"/>
      </w:pPr>
      <w:r>
        <w:t>Do not apply this exclusion at all</w:t>
      </w:r>
    </w:p>
    <w:p w:rsidR="000C1328" w:rsidRDefault="000C1328" w:rsidP="007938E8">
      <w:pPr>
        <w:pStyle w:val="ListParagraph"/>
        <w:numPr>
          <w:ilvl w:val="1"/>
          <w:numId w:val="19"/>
        </w:numPr>
        <w:ind w:leftChars="0"/>
      </w:pPr>
      <w:r>
        <w:t>Separately configure a set of periods for exclusion</w:t>
      </w:r>
    </w:p>
    <w:p w:rsidR="000C1328" w:rsidRDefault="000C1328" w:rsidP="007938E8">
      <w:pPr>
        <w:pStyle w:val="ListParagraph"/>
        <w:numPr>
          <w:ilvl w:val="1"/>
          <w:numId w:val="19"/>
        </w:numPr>
        <w:ind w:leftChars="0"/>
      </w:pPr>
      <w:r>
        <w:t>Apply other mechanisms for reduced exclusion rate</w:t>
      </w:r>
    </w:p>
    <w:p w:rsidR="000C1328" w:rsidRDefault="000C1328" w:rsidP="007938E8">
      <w:pPr>
        <w:pStyle w:val="ListParagraph"/>
        <w:numPr>
          <w:ilvl w:val="2"/>
          <w:numId w:val="19"/>
        </w:numPr>
        <w:ind w:leftChars="0"/>
      </w:pPr>
      <w:r>
        <w:t>Probabilistic exclusion</w:t>
      </w:r>
    </w:p>
    <w:p w:rsidR="000C1328" w:rsidRDefault="000C1328" w:rsidP="007938E8">
      <w:pPr>
        <w:pStyle w:val="ListParagraph"/>
        <w:numPr>
          <w:ilvl w:val="2"/>
          <w:numId w:val="19"/>
        </w:numPr>
        <w:ind w:leftChars="0"/>
      </w:pPr>
      <w:r>
        <w:t>Reduced number of excluded resources</w:t>
      </w:r>
    </w:p>
    <w:p w:rsidR="000C1328" w:rsidRDefault="000C1328" w:rsidP="007938E8">
      <w:pPr>
        <w:pStyle w:val="ListParagraph"/>
        <w:numPr>
          <w:ilvl w:val="2"/>
          <w:numId w:val="19"/>
        </w:numPr>
        <w:ind w:leftChars="0"/>
      </w:pPr>
      <w:r>
        <w:t>A subset of periods used for exclusion</w:t>
      </w:r>
    </w:p>
    <w:p w:rsidR="003819CE" w:rsidRDefault="003819CE" w:rsidP="00842A04"/>
    <w:p w:rsidR="000C1328" w:rsidRPr="006A4B62" w:rsidRDefault="000C1328" w:rsidP="000C1328">
      <w:pPr>
        <w:rPr>
          <w:b/>
          <w:bCs/>
          <w:lang w:val="en-US"/>
        </w:rPr>
      </w:pPr>
      <w:r w:rsidRPr="000C1328">
        <w:rPr>
          <w:b/>
          <w:bCs/>
          <w:highlight w:val="yellow"/>
          <w:lang w:val="en-US"/>
        </w:rPr>
        <w:lastRenderedPageBreak/>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rsidR="000C1328" w:rsidRDefault="000C1328" w:rsidP="00842A04">
      <w:pPr>
        <w:rPr>
          <w:lang w:val="en-US"/>
        </w:rPr>
      </w:pPr>
    </w:p>
    <w:p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rsidR="00BA2792" w:rsidRDefault="00BA2792" w:rsidP="007938E8">
      <w:pPr>
        <w:numPr>
          <w:ilvl w:val="0"/>
          <w:numId w:val="15"/>
        </w:numPr>
        <w:jc w:val="both"/>
        <w:rPr>
          <w:lang w:val="en-US"/>
        </w:rPr>
      </w:pPr>
      <w:r>
        <w:rPr>
          <w:lang w:val="en-US"/>
        </w:rPr>
        <w:t>Option 2: Change current procedure</w:t>
      </w:r>
    </w:p>
    <w:p w:rsidR="00BA2792" w:rsidRDefault="00BA2792" w:rsidP="007938E8">
      <w:pPr>
        <w:numPr>
          <w:ilvl w:val="1"/>
          <w:numId w:val="15"/>
        </w:numPr>
        <w:jc w:val="both"/>
        <w:rPr>
          <w:lang w:val="en-US"/>
        </w:rPr>
      </w:pPr>
      <w:r>
        <w:rPr>
          <w:lang w:val="en-US"/>
        </w:rPr>
        <w:t>Option 2a: Exclude only based on the period used by the UE selecting the resources</w:t>
      </w:r>
    </w:p>
    <w:p w:rsidR="00BA2792" w:rsidRDefault="00BA2792" w:rsidP="007938E8">
      <w:pPr>
        <w:numPr>
          <w:ilvl w:val="1"/>
          <w:numId w:val="15"/>
        </w:numPr>
        <w:jc w:val="both"/>
        <w:rPr>
          <w:lang w:val="en-US"/>
        </w:rPr>
      </w:pPr>
      <w:r>
        <w:rPr>
          <w:lang w:val="en-US"/>
        </w:rPr>
        <w:t>Option 2b: Do not apply this exclusion step</w:t>
      </w:r>
    </w:p>
    <w:p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rsidR="000C1328" w:rsidRDefault="000C1328" w:rsidP="00842A04">
      <w:pPr>
        <w:rPr>
          <w:lang w:val="en-US"/>
        </w:rPr>
      </w:pPr>
    </w:p>
    <w:p w:rsidR="00BA2792" w:rsidRDefault="00BA2792" w:rsidP="00842A04">
      <w:pPr>
        <w:rPr>
          <w:lang w:val="en-US"/>
        </w:rPr>
      </w:pPr>
    </w:p>
    <w:tbl>
      <w:tblPr>
        <w:tblStyle w:val="TableGrid"/>
        <w:tblW w:w="0" w:type="auto"/>
        <w:tblLook w:val="04A0"/>
      </w:tblPr>
      <w:tblGrid>
        <w:gridCol w:w="1661"/>
        <w:gridCol w:w="1868"/>
        <w:gridCol w:w="4343"/>
        <w:gridCol w:w="1759"/>
      </w:tblGrid>
      <w:tr w:rsidR="00BA2792" w:rsidTr="008C3933">
        <w:tc>
          <w:tcPr>
            <w:tcW w:w="1661" w:type="dxa"/>
          </w:tcPr>
          <w:p w:rsidR="00BA2792" w:rsidRDefault="00BA2792" w:rsidP="00855802">
            <w:r>
              <w:t>Source</w:t>
            </w:r>
          </w:p>
        </w:tc>
        <w:tc>
          <w:tcPr>
            <w:tcW w:w="1868" w:type="dxa"/>
          </w:tcPr>
          <w:p w:rsidR="00BA2792" w:rsidRDefault="00BA2792" w:rsidP="00855802">
            <w:r>
              <w:t>Option</w:t>
            </w:r>
          </w:p>
        </w:tc>
        <w:tc>
          <w:tcPr>
            <w:tcW w:w="4343" w:type="dxa"/>
          </w:tcPr>
          <w:p w:rsidR="00BA2792" w:rsidRDefault="00BA2792" w:rsidP="00855802">
            <w:r>
              <w:t>Comment</w:t>
            </w:r>
          </w:p>
        </w:tc>
        <w:tc>
          <w:tcPr>
            <w:tcW w:w="1759" w:type="dxa"/>
          </w:tcPr>
          <w:p w:rsidR="00BA2792" w:rsidRDefault="00BA2792" w:rsidP="00855802"/>
        </w:tc>
      </w:tr>
      <w:tr w:rsidR="00BA2792" w:rsidTr="008C3933">
        <w:tc>
          <w:tcPr>
            <w:tcW w:w="1661" w:type="dxa"/>
          </w:tcPr>
          <w:p w:rsidR="00BA2792" w:rsidRDefault="0013476A" w:rsidP="00855802">
            <w:r>
              <w:t>Ericsson</w:t>
            </w:r>
          </w:p>
        </w:tc>
        <w:tc>
          <w:tcPr>
            <w:tcW w:w="1868" w:type="dxa"/>
          </w:tcPr>
          <w:p w:rsidR="00BA2792" w:rsidRDefault="00BA2792" w:rsidP="00855802"/>
        </w:tc>
        <w:tc>
          <w:tcPr>
            <w:tcW w:w="4343" w:type="dxa"/>
          </w:tcPr>
          <w:p w:rsidR="00BA2792" w:rsidRDefault="0013476A" w:rsidP="00855802">
            <w:r>
              <w:t xml:space="preserve">For periods of 16 or more slots (i.e., 32/2), we do not see the need to make any changes to the specification. </w:t>
            </w:r>
          </w:p>
        </w:tc>
        <w:tc>
          <w:tcPr>
            <w:tcW w:w="1759" w:type="dxa"/>
          </w:tcPr>
          <w:p w:rsidR="00BA2792" w:rsidRDefault="00BA2792" w:rsidP="00855802"/>
        </w:tc>
      </w:tr>
      <w:tr w:rsidR="00BA2792" w:rsidTr="008C3933">
        <w:tc>
          <w:tcPr>
            <w:tcW w:w="1661" w:type="dxa"/>
          </w:tcPr>
          <w:p w:rsidR="00BA2792" w:rsidRPr="00915B08" w:rsidRDefault="00915B08" w:rsidP="00855802">
            <w:pPr>
              <w:rPr>
                <w:lang w:val="ru-RU"/>
              </w:rPr>
            </w:pPr>
            <w:r>
              <w:t>Intel</w:t>
            </w:r>
          </w:p>
        </w:tc>
        <w:tc>
          <w:tcPr>
            <w:tcW w:w="1868" w:type="dxa"/>
          </w:tcPr>
          <w:p w:rsidR="00BA2792" w:rsidRPr="00915B08" w:rsidRDefault="00915B08" w:rsidP="00915B08">
            <w:pPr>
              <w:jc w:val="both"/>
              <w:rPr>
                <w:lang w:val="en-US"/>
              </w:rPr>
            </w:pPr>
            <w:r>
              <w:rPr>
                <w:lang w:val="en-US"/>
              </w:rPr>
              <w:t>Option 2c</w:t>
            </w:r>
          </w:p>
        </w:tc>
        <w:tc>
          <w:tcPr>
            <w:tcW w:w="4343" w:type="dxa"/>
          </w:tcPr>
          <w:p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759" w:type="dxa"/>
          </w:tcPr>
          <w:p w:rsidR="00BA2792" w:rsidRDefault="00BA2792" w:rsidP="00855802"/>
        </w:tc>
      </w:tr>
      <w:tr w:rsidR="003443E8" w:rsidTr="008C3933">
        <w:tc>
          <w:tcPr>
            <w:tcW w:w="1661" w:type="dxa"/>
          </w:tcPr>
          <w:p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68" w:type="dxa"/>
          </w:tcPr>
          <w:p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343" w:type="dxa"/>
          </w:tcPr>
          <w:p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759" w:type="dxa"/>
          </w:tcPr>
          <w:p w:rsidR="003443E8" w:rsidRDefault="003443E8" w:rsidP="00855802"/>
        </w:tc>
      </w:tr>
      <w:tr w:rsidR="00E264BF" w:rsidTr="008C3933">
        <w:tc>
          <w:tcPr>
            <w:tcW w:w="1661" w:type="dxa"/>
          </w:tcPr>
          <w:p w:rsidR="00E264BF" w:rsidRPr="00E264BF" w:rsidRDefault="00E264BF" w:rsidP="00855802">
            <w:pPr>
              <w:rPr>
                <w:rFonts w:eastAsia="MS Mincho"/>
                <w:lang w:eastAsia="ja-JP"/>
              </w:rPr>
            </w:pPr>
            <w:r>
              <w:rPr>
                <w:rFonts w:eastAsia="MS Mincho" w:hint="eastAsia"/>
                <w:lang w:eastAsia="ja-JP"/>
              </w:rPr>
              <w:t>NTT DOCOMO</w:t>
            </w:r>
          </w:p>
        </w:tc>
        <w:tc>
          <w:tcPr>
            <w:tcW w:w="1868" w:type="dxa"/>
          </w:tcPr>
          <w:p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343" w:type="dxa"/>
          </w:tcPr>
          <w:p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759" w:type="dxa"/>
          </w:tcPr>
          <w:p w:rsidR="00E264BF" w:rsidRDefault="00E264BF" w:rsidP="00855802"/>
        </w:tc>
      </w:tr>
      <w:tr w:rsidR="001E082D" w:rsidTr="008C3933">
        <w:tc>
          <w:tcPr>
            <w:tcW w:w="1661" w:type="dxa"/>
          </w:tcPr>
          <w:p w:rsidR="001E082D" w:rsidRPr="001E082D" w:rsidRDefault="001E082D" w:rsidP="00855802">
            <w:pPr>
              <w:rPr>
                <w:rFonts w:eastAsia="Malgun Gothic"/>
                <w:lang w:eastAsia="ko-KR"/>
              </w:rPr>
            </w:pPr>
            <w:r>
              <w:rPr>
                <w:rFonts w:eastAsia="Malgun Gothic" w:hint="eastAsia"/>
                <w:lang w:eastAsia="ko-KR"/>
              </w:rPr>
              <w:t>Samsung</w:t>
            </w:r>
          </w:p>
        </w:tc>
        <w:tc>
          <w:tcPr>
            <w:tcW w:w="1868" w:type="dxa"/>
          </w:tcPr>
          <w:p w:rsidR="001E082D" w:rsidRDefault="001E082D" w:rsidP="00915B08">
            <w:pPr>
              <w:jc w:val="both"/>
              <w:rPr>
                <w:rFonts w:eastAsia="MS Mincho"/>
                <w:lang w:val="en-US" w:eastAsia="ja-JP"/>
              </w:rPr>
            </w:pPr>
            <w:r>
              <w:rPr>
                <w:rFonts w:eastAsia="Malgun Gothic"/>
                <w:lang w:val="en-US" w:eastAsia="ko-KR"/>
              </w:rPr>
              <w:t>Option 2b</w:t>
            </w:r>
          </w:p>
        </w:tc>
        <w:tc>
          <w:tcPr>
            <w:tcW w:w="4343" w:type="dxa"/>
          </w:tcPr>
          <w:p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759" w:type="dxa"/>
          </w:tcPr>
          <w:p w:rsidR="001E082D" w:rsidRDefault="001E082D" w:rsidP="00855802"/>
        </w:tc>
      </w:tr>
      <w:tr w:rsidR="007C7895" w:rsidTr="008C3933">
        <w:tc>
          <w:tcPr>
            <w:tcW w:w="1661" w:type="dxa"/>
          </w:tcPr>
          <w:p w:rsidR="007C7895" w:rsidRDefault="007C7895" w:rsidP="00855802">
            <w:pPr>
              <w:rPr>
                <w:rFonts w:eastAsia="Malgun Gothic"/>
                <w:lang w:eastAsia="ko-KR"/>
              </w:rPr>
            </w:pPr>
            <w:r>
              <w:rPr>
                <w:rFonts w:eastAsia="Malgun Gothic"/>
                <w:lang w:eastAsia="ko-KR"/>
              </w:rPr>
              <w:t>TCL</w:t>
            </w:r>
          </w:p>
        </w:tc>
        <w:tc>
          <w:tcPr>
            <w:tcW w:w="1868" w:type="dxa"/>
          </w:tcPr>
          <w:p w:rsidR="007C7895" w:rsidRDefault="007C7895" w:rsidP="00915B08">
            <w:pPr>
              <w:jc w:val="both"/>
              <w:rPr>
                <w:rFonts w:eastAsia="Malgun Gothic"/>
                <w:lang w:val="en-US" w:eastAsia="ko-KR"/>
              </w:rPr>
            </w:pPr>
            <w:r>
              <w:rPr>
                <w:rFonts w:eastAsia="Malgun Gothic"/>
                <w:lang w:val="en-US" w:eastAsia="ko-KR"/>
              </w:rPr>
              <w:t>Option 1</w:t>
            </w:r>
          </w:p>
        </w:tc>
        <w:tc>
          <w:tcPr>
            <w:tcW w:w="4343" w:type="dxa"/>
          </w:tcPr>
          <w:p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759" w:type="dxa"/>
          </w:tcPr>
          <w:p w:rsidR="007C7895" w:rsidRDefault="007C7895" w:rsidP="00855802"/>
        </w:tc>
      </w:tr>
      <w:tr w:rsidR="00C4037B" w:rsidTr="008C3933">
        <w:tc>
          <w:tcPr>
            <w:tcW w:w="1661" w:type="dxa"/>
          </w:tcPr>
          <w:p w:rsidR="00C4037B" w:rsidRDefault="00C4037B" w:rsidP="00C4037B">
            <w:pPr>
              <w:rPr>
                <w:rFonts w:eastAsia="Malgun Gothic"/>
                <w:lang w:eastAsia="ko-KR"/>
              </w:rPr>
            </w:pPr>
            <w:r>
              <w:t>Qualcomm</w:t>
            </w:r>
          </w:p>
        </w:tc>
        <w:tc>
          <w:tcPr>
            <w:tcW w:w="1868" w:type="dxa"/>
          </w:tcPr>
          <w:p w:rsidR="00C4037B" w:rsidRDefault="00C4037B" w:rsidP="00C4037B">
            <w:pPr>
              <w:jc w:val="both"/>
              <w:rPr>
                <w:rFonts w:eastAsia="Malgun Gothic"/>
                <w:lang w:val="en-US" w:eastAsia="ko-KR"/>
              </w:rPr>
            </w:pPr>
            <w:r>
              <w:rPr>
                <w:lang w:val="en-US"/>
              </w:rPr>
              <w:t>Option 2a</w:t>
            </w:r>
          </w:p>
        </w:tc>
        <w:tc>
          <w:tcPr>
            <w:tcW w:w="4343" w:type="dxa"/>
          </w:tcPr>
          <w:p w:rsidR="00C4037B" w:rsidRDefault="00C4037B" w:rsidP="00C4037B">
            <w:pPr>
              <w:rPr>
                <w:lang w:val="en-US"/>
              </w:rPr>
            </w:pPr>
            <w:r>
              <w:rPr>
                <w:lang w:val="en-US"/>
              </w:rPr>
              <w:t>Over</w:t>
            </w:r>
            <w:r w:rsidR="00C5411E">
              <w:rPr>
                <w:lang w:val="en-US"/>
              </w:rPr>
              <w:t>-</w:t>
            </w:r>
            <w:r>
              <w:rPr>
                <w:lang w:val="en-US"/>
              </w:rPr>
              <w:t>exclusion is exacerbated by the additional possible period values supported in NR</w:t>
            </w:r>
            <w:r w:rsidR="00EE511B">
              <w:rPr>
                <w:lang w:val="en-US"/>
              </w:rPr>
              <w:t xml:space="preserve"> V2X</w:t>
            </w:r>
            <w:r>
              <w:rPr>
                <w:lang w:val="en-US"/>
              </w:rPr>
              <w:t>. Our evaluation results show performance gains of using Option 2a instead of Option 1.</w:t>
            </w:r>
          </w:p>
          <w:p w:rsidR="00C4037B" w:rsidRDefault="00C4037B" w:rsidP="00C4037B">
            <w:pPr>
              <w:rPr>
                <w:lang w:val="en-US" w:eastAsia="ko-KR"/>
              </w:rPr>
            </w:pPr>
            <w:r>
              <w:rPr>
                <w:lang w:val="en-US"/>
              </w:rPr>
              <w:t>We can also be ok with Option 2b as a second preference.</w:t>
            </w:r>
          </w:p>
        </w:tc>
        <w:tc>
          <w:tcPr>
            <w:tcW w:w="1759" w:type="dxa"/>
          </w:tcPr>
          <w:p w:rsidR="00C4037B" w:rsidRDefault="00C4037B" w:rsidP="00C4037B"/>
        </w:tc>
      </w:tr>
      <w:tr w:rsidR="00A46343" w:rsidTr="008C3933">
        <w:tc>
          <w:tcPr>
            <w:tcW w:w="1661" w:type="dxa"/>
          </w:tcPr>
          <w:p w:rsidR="00A46343" w:rsidRDefault="00A46343" w:rsidP="0095683D">
            <w:pPr>
              <w:rPr>
                <w:rFonts w:eastAsia="Malgun Gothic"/>
                <w:lang w:eastAsia="ko-KR"/>
              </w:rPr>
            </w:pPr>
            <w:r>
              <w:rPr>
                <w:rFonts w:eastAsia="Malgun Gothic"/>
                <w:lang w:eastAsia="ko-KR"/>
              </w:rPr>
              <w:t>Bosch</w:t>
            </w:r>
          </w:p>
        </w:tc>
        <w:tc>
          <w:tcPr>
            <w:tcW w:w="1868" w:type="dxa"/>
          </w:tcPr>
          <w:p w:rsidR="00A46343" w:rsidRDefault="00A46343" w:rsidP="0095683D">
            <w:pPr>
              <w:jc w:val="both"/>
              <w:rPr>
                <w:lang w:val="en-US"/>
              </w:rPr>
            </w:pPr>
            <w:r>
              <w:rPr>
                <w:lang w:val="en-US"/>
              </w:rPr>
              <w:t>Option 2</w:t>
            </w:r>
            <w:r w:rsidR="002E6F6B">
              <w:rPr>
                <w:lang w:val="en-US"/>
              </w:rPr>
              <w:t>a</w:t>
            </w:r>
            <w:r>
              <w:rPr>
                <w:lang w:val="en-US"/>
              </w:rPr>
              <w:t xml:space="preserve"> (or 2</w:t>
            </w:r>
            <w:r w:rsidR="002E6F6B">
              <w:rPr>
                <w:lang w:val="en-US"/>
              </w:rPr>
              <w:t>c</w:t>
            </w:r>
            <w:r>
              <w:rPr>
                <w:lang w:val="en-US"/>
              </w:rPr>
              <w:t>)</w:t>
            </w:r>
          </w:p>
          <w:p w:rsidR="00A46343" w:rsidRDefault="00A46343" w:rsidP="0095683D">
            <w:pPr>
              <w:jc w:val="both"/>
              <w:rPr>
                <w:rFonts w:eastAsia="Malgun Gothic"/>
                <w:lang w:val="en-US" w:eastAsia="ko-KR"/>
              </w:rPr>
            </w:pPr>
          </w:p>
        </w:tc>
        <w:tc>
          <w:tcPr>
            <w:tcW w:w="4343" w:type="dxa"/>
          </w:tcPr>
          <w:p w:rsidR="00A46343" w:rsidRDefault="002E6F6B" w:rsidP="002E6F6B">
            <w:pPr>
              <w:rPr>
                <w:lang w:val="en-US" w:eastAsia="ko-KR"/>
              </w:rPr>
            </w:pPr>
            <w:r>
              <w:rPr>
                <w:lang w:val="en-US" w:eastAsia="ko-KR"/>
              </w:rPr>
              <w:t xml:space="preserve">If we can guarantee that there will be only few values selected </w:t>
            </w:r>
            <w:proofErr w:type="gramStart"/>
            <w:r>
              <w:rPr>
                <w:lang w:val="en-US" w:eastAsia="ko-KR"/>
              </w:rPr>
              <w:t>between 1-99,</w:t>
            </w:r>
            <w:proofErr w:type="gramEnd"/>
            <w:r>
              <w:rPr>
                <w:lang w:val="en-US" w:eastAsia="ko-KR"/>
              </w:rPr>
              <w:t xml:space="preserve"> then </w:t>
            </w:r>
            <w:r>
              <w:rPr>
                <w:lang w:val="en-US"/>
              </w:rPr>
              <w:t xml:space="preserve">keeping current </w:t>
            </w:r>
            <w:r w:rsidR="00A46343">
              <w:rPr>
                <w:lang w:val="en-US"/>
              </w:rPr>
              <w:t>specification</w:t>
            </w:r>
            <w:r>
              <w:rPr>
                <w:lang w:val="en-US"/>
              </w:rPr>
              <w:t xml:space="preserve"> is possible</w:t>
            </w:r>
            <w:r w:rsidR="00A46343">
              <w:rPr>
                <w:lang w:val="en-US"/>
              </w:rPr>
              <w:t>. However, Option 2a</w:t>
            </w:r>
            <w:r>
              <w:rPr>
                <w:lang w:val="en-US"/>
              </w:rPr>
              <w:t xml:space="preserve"> (or 2c)</w:t>
            </w:r>
            <w:r w:rsidR="00A46343">
              <w:rPr>
                <w:lang w:val="en-US"/>
              </w:rPr>
              <w:t xml:space="preserve"> may be more beneficial</w:t>
            </w:r>
            <w:r>
              <w:rPr>
                <w:lang w:val="en-US"/>
              </w:rPr>
              <w:t xml:space="preserve"> in all cases</w:t>
            </w:r>
            <w:r w:rsidR="00A46343">
              <w:rPr>
                <w:lang w:val="en-US"/>
              </w:rPr>
              <w:t>.</w:t>
            </w:r>
          </w:p>
        </w:tc>
        <w:tc>
          <w:tcPr>
            <w:tcW w:w="1759" w:type="dxa"/>
          </w:tcPr>
          <w:p w:rsidR="00A46343" w:rsidRDefault="00A46343" w:rsidP="0095683D"/>
        </w:tc>
      </w:tr>
      <w:tr w:rsidR="00E75961" w:rsidTr="008C3933">
        <w:tc>
          <w:tcPr>
            <w:tcW w:w="1661" w:type="dxa"/>
          </w:tcPr>
          <w:p w:rsidR="00E75961" w:rsidRPr="00E75961" w:rsidRDefault="00E75961" w:rsidP="00E75961">
            <w:pPr>
              <w:rPr>
                <w:rFonts w:eastAsia="Malgun Gothic"/>
                <w:lang w:eastAsia="ko-KR"/>
              </w:rPr>
            </w:pPr>
            <w:proofErr w:type="spellStart"/>
            <w:r w:rsidRPr="00E75961">
              <w:t>Huawei</w:t>
            </w:r>
            <w:proofErr w:type="spellEnd"/>
            <w:r w:rsidRPr="00E75961">
              <w:t>/</w:t>
            </w:r>
            <w:proofErr w:type="spellStart"/>
            <w:r w:rsidRPr="00E75961">
              <w:t>HiSilicon</w:t>
            </w:r>
            <w:proofErr w:type="spellEnd"/>
          </w:p>
        </w:tc>
        <w:tc>
          <w:tcPr>
            <w:tcW w:w="1868" w:type="dxa"/>
          </w:tcPr>
          <w:p w:rsidR="00E75961" w:rsidRPr="00E75961" w:rsidRDefault="00E75961" w:rsidP="00E75961">
            <w:pPr>
              <w:jc w:val="both"/>
              <w:rPr>
                <w:lang w:val="en-US"/>
              </w:rPr>
            </w:pPr>
            <w:r w:rsidRPr="00E75961">
              <w:rPr>
                <w:rFonts w:eastAsiaTheme="minorEastAsia" w:hint="eastAsia"/>
                <w:lang w:eastAsia="zh-CN"/>
              </w:rPr>
              <w:t>O</w:t>
            </w:r>
            <w:r w:rsidRPr="00E75961">
              <w:rPr>
                <w:rFonts w:eastAsiaTheme="minorEastAsia"/>
                <w:lang w:eastAsia="zh-CN"/>
              </w:rPr>
              <w:t>ption 1</w:t>
            </w:r>
          </w:p>
        </w:tc>
        <w:tc>
          <w:tcPr>
            <w:tcW w:w="4343" w:type="dxa"/>
          </w:tcPr>
          <w:p w:rsidR="00E75961" w:rsidRPr="00E75961" w:rsidRDefault="00E75961" w:rsidP="00E75961">
            <w:r w:rsidRPr="00E75961">
              <w:t>All configured periods should be excluded as in LTE, the ratio of candidate resource set reported to higher layer can be guaranteed by the configuration of X and the increasing on RSRP threshold. The over exclusion is not a critical issue in step 5).</w:t>
            </w:r>
          </w:p>
          <w:p w:rsidR="00E75961" w:rsidRPr="00E75961" w:rsidRDefault="00E75961" w:rsidP="00E75961"/>
          <w:p w:rsidR="00E75961" w:rsidRPr="00E75961" w:rsidRDefault="00E75961" w:rsidP="00E75961">
            <w:r w:rsidRPr="00E75961">
              <w:t>Option 2a is not preferred since the periods indicated on the non-monitored slots would be any period allowed by the higher layer.</w:t>
            </w:r>
          </w:p>
          <w:p w:rsidR="00E75961" w:rsidRPr="00E75961" w:rsidRDefault="00E75961" w:rsidP="00E75961"/>
          <w:p w:rsidR="00E75961" w:rsidRPr="00E75961" w:rsidRDefault="00E75961" w:rsidP="00E75961">
            <w:pPr>
              <w:rPr>
                <w:lang w:val="en-US" w:eastAsia="ko-KR"/>
              </w:rPr>
            </w:pPr>
            <w:r w:rsidRPr="00E75961">
              <w:t>Option 2c is also not preferred since such sub-set may cause inaccuracy and thus collision.</w:t>
            </w:r>
          </w:p>
        </w:tc>
        <w:tc>
          <w:tcPr>
            <w:tcW w:w="1759" w:type="dxa"/>
          </w:tcPr>
          <w:p w:rsidR="00E75961" w:rsidRDefault="00E75961" w:rsidP="00E75961"/>
        </w:tc>
      </w:tr>
      <w:tr w:rsidR="008E0875" w:rsidTr="008C3933">
        <w:tc>
          <w:tcPr>
            <w:tcW w:w="1661" w:type="dxa"/>
          </w:tcPr>
          <w:p w:rsidR="008E0875" w:rsidRPr="00E75961" w:rsidRDefault="008E0875" w:rsidP="00E75961">
            <w:r>
              <w:t xml:space="preserve">ZTE, </w:t>
            </w:r>
            <w:proofErr w:type="spellStart"/>
            <w:r>
              <w:t>Sanechips</w:t>
            </w:r>
            <w:proofErr w:type="spellEnd"/>
          </w:p>
        </w:tc>
        <w:tc>
          <w:tcPr>
            <w:tcW w:w="1868" w:type="dxa"/>
          </w:tcPr>
          <w:p w:rsidR="008E0875" w:rsidRPr="008E0875" w:rsidRDefault="008E0875" w:rsidP="00BC0348">
            <w:pPr>
              <w:jc w:val="both"/>
              <w:rPr>
                <w:lang w:val="en-US"/>
              </w:rPr>
            </w:pPr>
            <w:r w:rsidRPr="008E0875">
              <w:rPr>
                <w:lang w:val="en-US"/>
              </w:rPr>
              <w:t>Option 2b</w:t>
            </w:r>
          </w:p>
        </w:tc>
        <w:tc>
          <w:tcPr>
            <w:tcW w:w="4343" w:type="dxa"/>
          </w:tcPr>
          <w:p w:rsidR="008E0875" w:rsidRPr="008E0875" w:rsidRDefault="008E0875" w:rsidP="00BC0348">
            <w:pPr>
              <w:rPr>
                <w:rFonts w:eastAsia="SimSun"/>
                <w:lang w:val="en-US" w:eastAsia="zh-CN"/>
              </w:rPr>
            </w:pPr>
            <w:r w:rsidRPr="008E0875">
              <w:rPr>
                <w:rFonts w:eastAsia="SimSun" w:hint="eastAsia"/>
                <w:lang w:val="en-US" w:eastAsia="zh-CN"/>
              </w:rPr>
              <w:t xml:space="preserve">For simplicity, we support </w:t>
            </w:r>
            <w:r w:rsidRPr="008E0875">
              <w:rPr>
                <w:lang w:val="en-US"/>
              </w:rPr>
              <w:t>Option 2b</w:t>
            </w:r>
            <w:r w:rsidRPr="008E0875">
              <w:rPr>
                <w:rFonts w:eastAsia="SimSun" w:hint="eastAsia"/>
                <w:lang w:val="en-US" w:eastAsia="zh-CN"/>
              </w:rPr>
              <w:t xml:space="preserve">. </w:t>
            </w:r>
          </w:p>
        </w:tc>
        <w:tc>
          <w:tcPr>
            <w:tcW w:w="1759" w:type="dxa"/>
          </w:tcPr>
          <w:p w:rsidR="008E0875" w:rsidRDefault="008E0875" w:rsidP="00E75961"/>
        </w:tc>
      </w:tr>
    </w:tbl>
    <w:p w:rsidR="00BA2792" w:rsidRPr="002E6F6B" w:rsidRDefault="00BA2792" w:rsidP="00842A04">
      <w:bookmarkStart w:id="3" w:name="_GoBack"/>
      <w:bookmarkEnd w:id="3"/>
    </w:p>
    <w:p w:rsidR="001A1933" w:rsidRDefault="00746444" w:rsidP="0000254F">
      <w:pPr>
        <w:pStyle w:val="3GPPH1"/>
      </w:pPr>
      <w:r>
        <w:t>S</w:t>
      </w:r>
      <w:r w:rsidR="001A086B">
        <w:t xml:space="preserve">ummary of proposals on the </w:t>
      </w:r>
      <w:bookmarkEnd w:id="2"/>
      <w:r>
        <w:t>relevant issues</w:t>
      </w:r>
    </w:p>
    <w:p w:rsidR="00A9325D" w:rsidRDefault="00A9325D" w:rsidP="00A9325D">
      <w:pPr>
        <w:rPr>
          <w:lang/>
        </w:rPr>
      </w:pPr>
      <w:r>
        <w:rPr>
          <w:lang/>
        </w:rPr>
        <w:t xml:space="preserve">Last time the backward indication issue and periods for exclusion of slots not monitored in the sensing window were discussed. The following issues are still open based on </w:t>
      </w:r>
      <w:proofErr w:type="spellStart"/>
      <w:r>
        <w:rPr>
          <w:lang/>
        </w:rPr>
        <w:t>tdoc</w:t>
      </w:r>
      <w:proofErr w:type="spellEnd"/>
      <w:r>
        <w:rPr>
          <w:lang/>
        </w:rPr>
        <w:t xml:space="preserve"> review:</w:t>
      </w:r>
    </w:p>
    <w:p w:rsidR="00A9325D" w:rsidRPr="00467964" w:rsidRDefault="00A9325D" w:rsidP="00A9325D">
      <w:pPr>
        <w:rPr>
          <w:lang/>
        </w:rPr>
      </w:pPr>
    </w:p>
    <w:p w:rsidR="00A9325D" w:rsidRDefault="00A9325D" w:rsidP="007938E8">
      <w:pPr>
        <w:pStyle w:val="ListParagraph"/>
        <w:numPr>
          <w:ilvl w:val="0"/>
          <w:numId w:val="17"/>
        </w:numPr>
        <w:ind w:leftChars="0"/>
      </w:pPr>
      <w:r>
        <w:lastRenderedPageBreak/>
        <w:t>Backward signalling option</w:t>
      </w:r>
    </w:p>
    <w:p w:rsidR="00A9325D" w:rsidRDefault="00A9325D" w:rsidP="007938E8">
      <w:pPr>
        <w:pStyle w:val="ListParagraph"/>
        <w:numPr>
          <w:ilvl w:val="1"/>
          <w:numId w:val="17"/>
        </w:numPr>
        <w:ind w:leftChars="0"/>
      </w:pPr>
      <w:r>
        <w:t xml:space="preserve">Option 1: </w:t>
      </w:r>
      <w:r w:rsidR="00114A7B">
        <w:fldChar w:fldCharType="begin"/>
      </w:r>
      <w:r w:rsidR="00210F42">
        <w:instrText xml:space="preserve"> REF _Ref38267949 \r \h </w:instrText>
      </w:r>
      <w:r w:rsidR="00114A7B">
        <w:fldChar w:fldCharType="separate"/>
      </w:r>
      <w:r w:rsidR="00210F42">
        <w:t>[3]</w:t>
      </w:r>
      <w:r w:rsidR="00114A7B">
        <w:fldChar w:fldCharType="end"/>
      </w:r>
      <w:r w:rsidR="00114A7B">
        <w:fldChar w:fldCharType="begin"/>
      </w:r>
      <w:r w:rsidR="00210F42">
        <w:instrText xml:space="preserve"> REF _Ref38267838 \r \h </w:instrText>
      </w:r>
      <w:r w:rsidR="00114A7B">
        <w:fldChar w:fldCharType="separate"/>
      </w:r>
      <w:r w:rsidR="00210F42">
        <w:t>[5]</w:t>
      </w:r>
      <w:r w:rsidR="00114A7B">
        <w:fldChar w:fldCharType="end"/>
      </w:r>
      <w:r w:rsidR="00114A7B">
        <w:fldChar w:fldCharType="begin"/>
      </w:r>
      <w:r w:rsidR="00210F42">
        <w:instrText xml:space="preserve"> REF _Ref38267983 \r \h </w:instrText>
      </w:r>
      <w:r w:rsidR="00114A7B">
        <w:fldChar w:fldCharType="separate"/>
      </w:r>
      <w:r w:rsidR="00210F42">
        <w:t>[8]</w:t>
      </w:r>
      <w:r w:rsidR="00114A7B">
        <w:fldChar w:fldCharType="end"/>
      </w:r>
      <w:r w:rsidR="00114A7B">
        <w:fldChar w:fldCharType="begin"/>
      </w:r>
      <w:r w:rsidR="00210F42">
        <w:instrText xml:space="preserve"> REF _Ref38267988 \r \h </w:instrText>
      </w:r>
      <w:r w:rsidR="00114A7B">
        <w:fldChar w:fldCharType="separate"/>
      </w:r>
      <w:r w:rsidR="00210F42">
        <w:t>[9]</w:t>
      </w:r>
      <w:r w:rsidR="00114A7B">
        <w:fldChar w:fldCharType="end"/>
      </w:r>
      <w:r w:rsidR="00114A7B">
        <w:fldChar w:fldCharType="begin"/>
      </w:r>
      <w:r w:rsidR="00210F42">
        <w:instrText xml:space="preserve"> REF _Ref38267882 \r \h </w:instrText>
      </w:r>
      <w:r w:rsidR="00114A7B">
        <w:fldChar w:fldCharType="separate"/>
      </w:r>
      <w:r w:rsidR="00210F42">
        <w:t>[18]</w:t>
      </w:r>
      <w:r w:rsidR="00114A7B">
        <w:fldChar w:fldCharType="end"/>
      </w:r>
      <w:r w:rsidR="00114A7B">
        <w:fldChar w:fldCharType="begin"/>
      </w:r>
      <w:r w:rsidR="00210F42">
        <w:instrText xml:space="preserve"> REF _Ref38274084 \r \h </w:instrText>
      </w:r>
      <w:r w:rsidR="00114A7B">
        <w:fldChar w:fldCharType="separate"/>
      </w:r>
      <w:r w:rsidR="00210F42">
        <w:t>[20]</w:t>
      </w:r>
      <w:r w:rsidR="00114A7B">
        <w:fldChar w:fldCharType="end"/>
      </w:r>
      <w:r w:rsidR="00114A7B">
        <w:fldChar w:fldCharType="begin"/>
      </w:r>
      <w:r w:rsidR="00210F42">
        <w:instrText xml:space="preserve"> REF _Ref38274204 \r \h </w:instrText>
      </w:r>
      <w:r w:rsidR="00114A7B">
        <w:fldChar w:fldCharType="separate"/>
      </w:r>
      <w:r w:rsidR="00210F42">
        <w:t>[22]</w:t>
      </w:r>
      <w:r w:rsidR="00114A7B">
        <w:fldChar w:fldCharType="end"/>
      </w:r>
    </w:p>
    <w:p w:rsidR="00A9325D" w:rsidRDefault="00A9325D" w:rsidP="007938E8">
      <w:pPr>
        <w:pStyle w:val="ListParagraph"/>
        <w:numPr>
          <w:ilvl w:val="1"/>
          <w:numId w:val="17"/>
        </w:numPr>
        <w:ind w:leftChars="0"/>
      </w:pPr>
      <w:r>
        <w:t xml:space="preserve">Option 2: </w:t>
      </w:r>
      <w:r w:rsidR="00114A7B">
        <w:fldChar w:fldCharType="begin"/>
      </w:r>
      <w:r w:rsidR="00210F42">
        <w:instrText xml:space="preserve"> REF _Ref38267920 \r \h </w:instrText>
      </w:r>
      <w:r w:rsidR="00114A7B">
        <w:fldChar w:fldCharType="separate"/>
      </w:r>
      <w:r w:rsidR="00210F42">
        <w:t>[17]</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rsidR="00A9325D" w:rsidRDefault="00A9325D" w:rsidP="007938E8">
      <w:pPr>
        <w:pStyle w:val="ListParagraph"/>
        <w:numPr>
          <w:ilvl w:val="1"/>
          <w:numId w:val="17"/>
        </w:numPr>
        <w:ind w:leftChars="0"/>
      </w:pPr>
      <w:r>
        <w:t xml:space="preserve">Option 3: </w:t>
      </w:r>
      <w:r w:rsidR="00114A7B">
        <w:fldChar w:fldCharType="begin"/>
      </w:r>
      <w:r w:rsidR="00210F42">
        <w:instrText xml:space="preserve"> REF _Ref38267893 \r \h </w:instrText>
      </w:r>
      <w:r w:rsidR="00114A7B">
        <w:fldChar w:fldCharType="separate"/>
      </w:r>
      <w:r w:rsidR="00210F42">
        <w:t>[1]</w:t>
      </w:r>
      <w:r w:rsidR="00114A7B">
        <w:fldChar w:fldCharType="end"/>
      </w:r>
      <w:r w:rsidR="00114A7B">
        <w:fldChar w:fldCharType="begin"/>
      </w:r>
      <w:r w:rsidR="00210F42">
        <w:instrText xml:space="preserve"> REF _Ref38267844 \r \h </w:instrText>
      </w:r>
      <w:r w:rsidR="00114A7B">
        <w:fldChar w:fldCharType="separate"/>
      </w:r>
      <w:r w:rsidR="00210F42">
        <w:t>[7]</w:t>
      </w:r>
      <w:r w:rsidR="00114A7B">
        <w:fldChar w:fldCharType="end"/>
      </w:r>
      <w:r w:rsidR="00114A7B">
        <w:fldChar w:fldCharType="begin"/>
      </w:r>
      <w:r w:rsidR="00210F42">
        <w:instrText xml:space="preserve"> REF _Ref38274128 \r \h </w:instrText>
      </w:r>
      <w:r w:rsidR="00114A7B">
        <w:fldChar w:fldCharType="separate"/>
      </w:r>
      <w:r w:rsidR="00210F42">
        <w:t>[10]</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rsidR="00A9325D" w:rsidRDefault="00A9325D" w:rsidP="007938E8">
      <w:pPr>
        <w:pStyle w:val="ListParagraph"/>
        <w:numPr>
          <w:ilvl w:val="2"/>
          <w:numId w:val="17"/>
        </w:numPr>
        <w:ind w:leftChars="0"/>
      </w:pPr>
      <w:r>
        <w:t xml:space="preserve">Note: </w:t>
      </w:r>
      <w:r w:rsidR="00114A7B">
        <w:fldChar w:fldCharType="begin"/>
      </w:r>
      <w:r w:rsidR="00210F42">
        <w:instrText xml:space="preserve"> REF _Ref38267652 \r \h </w:instrText>
      </w:r>
      <w:r w:rsidR="00114A7B">
        <w:fldChar w:fldCharType="separate"/>
      </w:r>
      <w:r w:rsidR="00210F42">
        <w:t>[13]</w:t>
      </w:r>
      <w:r w:rsidR="00114A7B">
        <w:fldChar w:fldCharType="end"/>
      </w:r>
      <w:r w:rsidR="00210F42">
        <w:t xml:space="preserve"> </w:t>
      </w:r>
      <w:r>
        <w:t>shows results in support if it</w:t>
      </w:r>
    </w:p>
    <w:p w:rsidR="00A9325D" w:rsidRDefault="00A9325D" w:rsidP="007938E8">
      <w:pPr>
        <w:pStyle w:val="ListParagraph"/>
        <w:numPr>
          <w:ilvl w:val="0"/>
          <w:numId w:val="17"/>
        </w:numPr>
        <w:ind w:leftChars="0"/>
      </w:pPr>
      <w:r>
        <w:t>Periods for exclusion if a slot is not monitored in a sensing window</w:t>
      </w:r>
    </w:p>
    <w:p w:rsidR="00A9325D" w:rsidRDefault="00A9325D" w:rsidP="007938E8">
      <w:pPr>
        <w:pStyle w:val="ListParagraph"/>
        <w:numPr>
          <w:ilvl w:val="1"/>
          <w:numId w:val="17"/>
        </w:numPr>
        <w:ind w:leftChars="0"/>
      </w:pPr>
      <w:r>
        <w:t xml:space="preserve">All configured, as in LTE: </w:t>
      </w:r>
      <w:r w:rsidR="00114A7B">
        <w:fldChar w:fldCharType="begin"/>
      </w:r>
      <w:r w:rsidR="00210F42">
        <w:instrText xml:space="preserve"> REF _Ref38267920 \r \h </w:instrText>
      </w:r>
      <w:r w:rsidR="00114A7B">
        <w:fldChar w:fldCharType="separate"/>
      </w:r>
      <w:r w:rsidR="00210F42">
        <w:t>[17]</w:t>
      </w:r>
      <w:r w:rsidR="00114A7B">
        <w:fldChar w:fldCharType="end"/>
      </w:r>
    </w:p>
    <w:p w:rsidR="00A9325D" w:rsidRDefault="00A9325D" w:rsidP="007938E8">
      <w:pPr>
        <w:pStyle w:val="ListParagraph"/>
        <w:numPr>
          <w:ilvl w:val="1"/>
          <w:numId w:val="17"/>
        </w:numPr>
        <w:ind w:leftChars="0"/>
      </w:pPr>
      <w:r>
        <w:t xml:space="preserve">The one used for selection: </w:t>
      </w:r>
      <w:r w:rsidR="00114A7B">
        <w:fldChar w:fldCharType="begin"/>
      </w:r>
      <w:r w:rsidR="00210F42">
        <w:instrText xml:space="preserve"> REF _Ref38267927 \r \h </w:instrText>
      </w:r>
      <w:r w:rsidR="00114A7B">
        <w:fldChar w:fldCharType="separate"/>
      </w:r>
      <w:r w:rsidR="00210F42">
        <w:t>[19]</w:t>
      </w:r>
      <w:r w:rsidR="00114A7B">
        <w:fldChar w:fldCharType="end"/>
      </w:r>
      <w:r w:rsidR="00114A7B">
        <w:fldChar w:fldCharType="begin"/>
      </w:r>
      <w:r w:rsidR="00210F42">
        <w:instrText xml:space="preserve"> REF _Ref38267660 \r \h </w:instrText>
      </w:r>
      <w:r w:rsidR="00114A7B">
        <w:fldChar w:fldCharType="separate"/>
      </w:r>
      <w:r w:rsidR="00210F42">
        <w:t>[27]</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p>
    <w:p w:rsidR="00A9325D" w:rsidRDefault="00A9325D" w:rsidP="007938E8">
      <w:pPr>
        <w:pStyle w:val="ListParagraph"/>
        <w:numPr>
          <w:ilvl w:val="2"/>
          <w:numId w:val="17"/>
        </w:numPr>
        <w:ind w:leftChars="0"/>
      </w:pPr>
      <w:r>
        <w:t xml:space="preserve">Note: </w:t>
      </w:r>
      <w:r w:rsidR="00114A7B">
        <w:fldChar w:fldCharType="begin"/>
      </w:r>
      <w:r w:rsidR="00210F42">
        <w:instrText xml:space="preserve"> REF _Ref38267660 \r \h </w:instrText>
      </w:r>
      <w:r w:rsidR="00114A7B">
        <w:fldChar w:fldCharType="separate"/>
      </w:r>
      <w:r w:rsidR="00210F42">
        <w:t>[27]</w:t>
      </w:r>
      <w:r w:rsidR="00114A7B">
        <w:fldChar w:fldCharType="end"/>
      </w:r>
      <w:r w:rsidR="00210F42">
        <w:t xml:space="preserve"> </w:t>
      </w:r>
      <w:r>
        <w:t>shows results in support if it</w:t>
      </w:r>
    </w:p>
    <w:p w:rsidR="00A9325D" w:rsidRDefault="00A9325D" w:rsidP="007938E8">
      <w:pPr>
        <w:pStyle w:val="ListParagraph"/>
        <w:numPr>
          <w:ilvl w:val="1"/>
          <w:numId w:val="17"/>
        </w:numPr>
        <w:ind w:leftChars="0"/>
      </w:pPr>
      <w:r>
        <w:t xml:space="preserve">No exclusion: </w:t>
      </w:r>
      <w:r w:rsidR="00114A7B">
        <w:fldChar w:fldCharType="begin"/>
      </w:r>
      <w:r w:rsidR="00210F42">
        <w:instrText xml:space="preserve"> REF _Ref38267852 \r \h </w:instrText>
      </w:r>
      <w:r w:rsidR="00114A7B">
        <w:fldChar w:fldCharType="separate"/>
      </w:r>
      <w:r w:rsidR="00210F42">
        <w:t>[16]</w:t>
      </w:r>
      <w:r w:rsidR="00114A7B">
        <w:fldChar w:fldCharType="end"/>
      </w:r>
    </w:p>
    <w:p w:rsidR="00A9325D" w:rsidRDefault="00A9325D" w:rsidP="007938E8">
      <w:pPr>
        <w:pStyle w:val="ListParagraph"/>
        <w:numPr>
          <w:ilvl w:val="1"/>
          <w:numId w:val="17"/>
        </w:numPr>
        <w:ind w:leftChars="0"/>
      </w:pPr>
      <w:r>
        <w:t>Separate set / sub-set / handling</w:t>
      </w:r>
    </w:p>
    <w:p w:rsidR="00A9325D" w:rsidRDefault="00114A7B" w:rsidP="007938E8">
      <w:pPr>
        <w:pStyle w:val="ListParagraph"/>
        <w:numPr>
          <w:ilvl w:val="2"/>
          <w:numId w:val="17"/>
        </w:numPr>
        <w:ind w:leftChars="0"/>
      </w:pPr>
      <w:r>
        <w:fldChar w:fldCharType="begin"/>
      </w:r>
      <w:r w:rsidR="00210F42">
        <w:instrText xml:space="preserve"> REF _Ref38267652 \r \h </w:instrText>
      </w:r>
      <w:r>
        <w:fldChar w:fldCharType="separate"/>
      </w:r>
      <w:r w:rsidR="00210F42">
        <w:t>[13]</w:t>
      </w:r>
      <w:r>
        <w:fldChar w:fldCharType="end"/>
      </w:r>
      <w:r w:rsidR="00A9325D">
        <w:t xml:space="preserve"> (separate set)</w:t>
      </w:r>
    </w:p>
    <w:p w:rsidR="00A9325D" w:rsidRDefault="00114A7B" w:rsidP="007938E8">
      <w:pPr>
        <w:pStyle w:val="ListParagraph"/>
        <w:numPr>
          <w:ilvl w:val="2"/>
          <w:numId w:val="17"/>
        </w:numPr>
        <w:ind w:leftChars="0"/>
      </w:pPr>
      <w:r>
        <w:fldChar w:fldCharType="begin"/>
      </w:r>
      <w:r w:rsidR="00210F42">
        <w:instrText xml:space="preserve"> REF _Ref38267949 \r \h </w:instrText>
      </w:r>
      <w:r>
        <w:fldChar w:fldCharType="separate"/>
      </w:r>
      <w:r w:rsidR="00210F42">
        <w:t>[3]</w:t>
      </w:r>
      <w:r>
        <w:fldChar w:fldCharType="end"/>
      </w:r>
      <w:r>
        <w:fldChar w:fldCharType="begin"/>
      </w:r>
      <w:r w:rsidR="00210F42">
        <w:instrText xml:space="preserve"> REF _Ref38268058 \r \h </w:instrText>
      </w:r>
      <w:r>
        <w:fldChar w:fldCharType="separate"/>
      </w:r>
      <w:r w:rsidR="00210F42">
        <w:t>[15]</w:t>
      </w:r>
      <w:r>
        <w:fldChar w:fldCharType="end"/>
      </w:r>
      <w:r>
        <w:fldChar w:fldCharType="begin"/>
      </w:r>
      <w:r w:rsidR="00210F42">
        <w:instrText xml:space="preserve"> REF _Ref38285875 \r \h </w:instrText>
      </w:r>
      <w:r>
        <w:fldChar w:fldCharType="separate"/>
      </w:r>
      <w:r w:rsidR="00210F42">
        <w:t>[26]</w:t>
      </w:r>
      <w:r>
        <w:fldChar w:fldCharType="end"/>
      </w:r>
      <w:r w:rsidR="00A9325D">
        <w:t xml:space="preserve"> - (mechanisms to reduce exclusions for small periods)</w:t>
      </w:r>
    </w:p>
    <w:p w:rsidR="00FA4CF7" w:rsidRDefault="00FA4CF7" w:rsidP="00FA4CF7">
      <w:pPr>
        <w:pStyle w:val="3GPPH1"/>
        <w:numPr>
          <w:ilvl w:val="0"/>
          <w:numId w:val="0"/>
        </w:numPr>
        <w:ind w:left="432" w:hanging="432"/>
      </w:pPr>
      <w:r>
        <w:t>References</w:t>
      </w:r>
    </w:p>
    <w:bookmarkStart w:id="4" w:name="_Ref38267893"/>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"file:///C:\\Users\\wanshic\\OneDrive%20-%20Qualcomm\\Documents\\Standards\\3GPP%20Standards\\Meeting%20Documents\\TSGR1_100b\\Docs\\R1-2001552.zip" </w:instrText>
      </w:r>
      <w:r>
        <w:rPr>
          <w:lang/>
        </w:rPr>
        <w:fldChar w:fldCharType="separate"/>
      </w:r>
      <w:r w:rsidR="00610BCA">
        <w:rPr>
          <w:rStyle w:val="Hyperlink"/>
        </w:rPr>
        <w:t>R1-2001552</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of sidelink resource allocation mode 2</w:t>
      </w:r>
      <w:r w:rsidR="00610BCA">
        <w:rPr>
          <w:lang/>
        </w:rPr>
        <w:tab/>
      </w:r>
      <w:proofErr w:type="spellStart"/>
      <w:r w:rsidR="00610BCA">
        <w:rPr>
          <w:lang/>
        </w:rPr>
        <w:t>Huawei</w:t>
      </w:r>
      <w:proofErr w:type="spellEnd"/>
      <w:r w:rsidR="00610BCA">
        <w:rPr>
          <w:lang/>
        </w:rPr>
        <w:t xml:space="preserve">, </w:t>
      </w:r>
      <w:proofErr w:type="spellStart"/>
      <w:r w:rsidR="00610BCA">
        <w:rPr>
          <w:lang/>
        </w:rPr>
        <w:t>HiSilicon</w:t>
      </w:r>
      <w:bookmarkEnd w:id="4"/>
      <w:proofErr w:type="spellEnd"/>
    </w:p>
    <w:bookmarkStart w:id="5" w:name="_Ref38274178"/>
    <w:p w:rsidR="00610BCA" w:rsidRDefault="00114A7B" w:rsidP="007938E8">
      <w:pPr>
        <w:widowControl w:val="0"/>
        <w:numPr>
          <w:ilvl w:val="0"/>
          <w:numId w:val="14"/>
        </w:numPr>
        <w:autoSpaceDN w:val="0"/>
        <w:jc w:val="both"/>
        <w:rPr>
          <w:lang/>
        </w:rPr>
      </w:pPr>
      <w:r w:rsidRPr="00114A7B">
        <w:fldChar w:fldCharType="begin"/>
      </w:r>
      <w:r w:rsidR="00610BCA">
        <w:instrText xml:space="preserve"> HYPERLINK "file:///C:\\Users\\wanshic\\OneDrive%20-%20Qualcomm\\Documents\\Standards\\3GPP%20Standards\\Meeting%20Documents\\TSGR1_100b\\Docs\\R1-2001661.zip" </w:instrText>
      </w:r>
      <w:r w:rsidRPr="00114A7B">
        <w:fldChar w:fldCharType="separate"/>
      </w:r>
      <w:r w:rsidR="00610BCA">
        <w:rPr>
          <w:rStyle w:val="Hyperlink"/>
        </w:rPr>
        <w:t>R1-2001661</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mode 2 resource allocation mechanism</w:t>
      </w:r>
      <w:r w:rsidR="00610BCA">
        <w:rPr>
          <w:lang/>
        </w:rPr>
        <w:tab/>
        <w:t>vivo</w:t>
      </w:r>
      <w:bookmarkEnd w:id="5"/>
    </w:p>
    <w:bookmarkStart w:id="6" w:name="_Ref38267949"/>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"file:///C:\\Users\\wanshic\\OneDrive%20-%20Qualcomm\\Documents\\Standards\\3GPP%20Standards\\Meeting%20Documents\\TSGR1_100b\\Docs\\R1-2001749.zip" </w:instrText>
      </w:r>
      <w:r>
        <w:rPr>
          <w:lang/>
        </w:rPr>
        <w:fldChar w:fldCharType="separate"/>
      </w:r>
      <w:r w:rsidR="00610BCA">
        <w:rPr>
          <w:rStyle w:val="Hyperlink"/>
        </w:rPr>
        <w:t>R1-2001749</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remaining open issue for mode 2</w:t>
      </w:r>
      <w:r w:rsidR="00610BCA">
        <w:rPr>
          <w:lang/>
        </w:rPr>
        <w:tab/>
        <w:t>OPPO</w:t>
      </w:r>
      <w:bookmarkEnd w:id="6"/>
    </w:p>
    <w:bookmarkStart w:id="7" w:name="_Ref38267971"/>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"file:///C:\\Users\\wanshic\\OneDrive%20-%20Qualcomm\\Documents\\Standards\\3GPP%20Standards\\Meeting%20Documents\\TSGR1_100b\\Docs\\R1-2001793.zip" </w:instrText>
      </w:r>
      <w:r>
        <w:rPr>
          <w:lang/>
        </w:rPr>
        <w:fldChar w:fldCharType="separate"/>
      </w:r>
      <w:r w:rsidR="00610BCA">
        <w:rPr>
          <w:rStyle w:val="Hyperlink"/>
        </w:rPr>
        <w:t>R1-2001793</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Sidelink Mode 2 Resource Allocation</w:t>
      </w:r>
      <w:r w:rsidR="00610BCA">
        <w:rPr>
          <w:lang/>
        </w:rPr>
        <w:tab/>
        <w:t>Panasonic Corporation</w:t>
      </w:r>
      <w:bookmarkEnd w:id="7"/>
    </w:p>
    <w:bookmarkStart w:id="8" w:name="_Ref38267838"/>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"file:///C:\\Users\\wanshic\\OneDrive%20-%20Qualcomm\\Documents\\Standards\\3GPP%20Standards\\Meeting%20Documents\\TSGR1_100b\\Docs\\R1-2001805.zip" </w:instrText>
      </w:r>
      <w:r>
        <w:rPr>
          <w:lang/>
        </w:rPr>
        <w:fldChar w:fldCharType="separate"/>
      </w:r>
      <w:r w:rsidR="00610BCA">
        <w:rPr>
          <w:rStyle w:val="Hyperlink"/>
        </w:rPr>
        <w:t>R1-2001805</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of Resource allocation for sidelink - Mode 2</w:t>
      </w:r>
      <w:r w:rsidR="00610BCA">
        <w:rPr>
          <w:lang/>
        </w:rPr>
        <w:tab/>
        <w:t>Nokia, Nokia Shanghai Bell</w:t>
      </w:r>
      <w:bookmarkEnd w:id="8"/>
    </w:p>
    <w:bookmarkStart w:id="9" w:name="_Ref38267906"/>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"file:///C:\\Users\\wanshic\\OneDrive%20-%20Qualcomm\\Documents\\Standards\\3GPP%20Standards\\Meeting%20Documents\\TSGR1_100b\\Docs\\R1-2001877.zip" </w:instrText>
      </w:r>
      <w:r>
        <w:rPr>
          <w:lang/>
        </w:rPr>
        <w:fldChar w:fldCharType="separate"/>
      </w:r>
      <w:r w:rsidR="00610BCA">
        <w:rPr>
          <w:rStyle w:val="Hyperlink"/>
        </w:rPr>
        <w:t>R1-2001877</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on mode 2 resource allocation for NR V2X</w:t>
      </w:r>
      <w:r w:rsidR="00610BCA">
        <w:rPr>
          <w:lang/>
        </w:rPr>
        <w:tab/>
        <w:t>Fujitsu</w:t>
      </w:r>
      <w:bookmarkEnd w:id="9"/>
    </w:p>
    <w:bookmarkStart w:id="10" w:name="_Ref38267844"/>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"file:///C:\\Users\\wanshic\\OneDrive%20-%20Qualcomm\\Documents\\Standards\\3GPP%20Standards\\Meeting%20Documents\\TSGR1_100b\\Docs\\R1-2001886.zip" </w:instrText>
      </w:r>
      <w:r>
        <w:rPr>
          <w:lang/>
        </w:rPr>
        <w:fldChar w:fldCharType="separate"/>
      </w:r>
      <w:r w:rsidR="00610BCA">
        <w:rPr>
          <w:rStyle w:val="Hyperlink"/>
        </w:rPr>
        <w:t>R1-2001886</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resource allocation for Mode 2</w:t>
      </w:r>
      <w:r w:rsidR="00610BCA">
        <w:rPr>
          <w:lang/>
        </w:rPr>
        <w:tab/>
        <w:t>LG Electronics</w:t>
      </w:r>
      <w:bookmarkEnd w:id="10"/>
    </w:p>
    <w:bookmarkStart w:id="11" w:name="_Ref38267983"/>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"file:///C:\\Users\\wanshic\\OneDrive%20-%20Qualcomm\\Documents\\Standards\\3GPP%20Standards\\Meeting%20Documents\\TSGR1_100b\\Docs\\R1-2001896.zip" </w:instrText>
      </w:r>
      <w:r>
        <w:rPr>
          <w:lang/>
        </w:rPr>
        <w:fldChar w:fldCharType="separate"/>
      </w:r>
      <w:r w:rsidR="00610BCA">
        <w:rPr>
          <w:rStyle w:val="Hyperlink"/>
        </w:rPr>
        <w:t>R1-2001896</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of mode 2 operation on </w:t>
      </w:r>
      <w:proofErr w:type="spellStart"/>
      <w:r w:rsidR="00610BCA">
        <w:rPr>
          <w:lang/>
        </w:rPr>
        <w:t>sidelink</w:t>
      </w:r>
      <w:proofErr w:type="spellEnd"/>
      <w:r w:rsidR="00610BCA">
        <w:rPr>
          <w:lang/>
        </w:rPr>
        <w:tab/>
        <w:t xml:space="preserve">ZTE, </w:t>
      </w:r>
      <w:proofErr w:type="spellStart"/>
      <w:r w:rsidR="00610BCA">
        <w:rPr>
          <w:lang/>
        </w:rPr>
        <w:t>Sanechips</w:t>
      </w:r>
      <w:bookmarkEnd w:id="11"/>
      <w:proofErr w:type="spellEnd"/>
    </w:p>
    <w:bookmarkStart w:id="12" w:name="_Ref38267988"/>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"file:///C:\\Users\\wanshic\\OneDrive%20-%20Qualcomm\\Documents\\Standards\\3GPP%20Standards\\Meeting%20Documents\\TSGR1_100b\\Docs\\R1-2001907.zip" </w:instrText>
      </w:r>
      <w:r>
        <w:rPr>
          <w:lang/>
        </w:rPr>
        <w:fldChar w:fldCharType="separate"/>
      </w:r>
      <w:r w:rsidR="00610BCA">
        <w:rPr>
          <w:rStyle w:val="Hyperlink"/>
        </w:rPr>
        <w:t>R1-2001907</w:t>
      </w:r>
      <w:r>
        <w:rPr>
          <w:lang/>
        </w:rPr>
        <w:fldChar w:fldCharType="end"/>
      </w:r>
      <w:r w:rsidR="00610BCA">
        <w:rPr>
          <w:lang/>
        </w:rPr>
        <w:tab/>
      </w:r>
      <w:proofErr w:type="spellStart"/>
      <w:r w:rsidR="00610BCA" w:rsidRPr="00000FB2">
        <w:rPr>
          <w:rFonts w:ascii="Times New Roman" w:eastAsia="SimSun" w:hAnsi="Times New Roman"/>
          <w:bCs/>
          <w:iCs/>
          <w:szCs w:val="20"/>
        </w:rPr>
        <w:t>Sidelink</w:t>
      </w:r>
      <w:proofErr w:type="spellEnd"/>
      <w:r w:rsidR="00610BCA">
        <w:rPr>
          <w:lang/>
        </w:rPr>
        <w:t xml:space="preserve"> mode-2 resource allocation</w:t>
      </w:r>
      <w:r w:rsidR="00610BCA">
        <w:rPr>
          <w:lang/>
        </w:rPr>
        <w:tab/>
        <w:t>MediaTek Inc.</w:t>
      </w:r>
      <w:bookmarkEnd w:id="12"/>
    </w:p>
    <w:bookmarkStart w:id="13" w:name="_Ref38274128"/>
    <w:p w:rsidR="00610BCA" w:rsidRDefault="00114A7B" w:rsidP="007938E8">
      <w:pPr>
        <w:widowControl w:val="0"/>
        <w:numPr>
          <w:ilvl w:val="0"/>
          <w:numId w:val="14"/>
        </w:numPr>
        <w:autoSpaceDN w:val="0"/>
        <w:jc w:val="both"/>
        <w:rPr>
          <w:lang/>
        </w:rPr>
      </w:pPr>
      <w:r w:rsidRPr="00114A7B">
        <w:fldChar w:fldCharType="begin"/>
      </w:r>
      <w:r w:rsidR="00610BCA">
        <w:instrText xml:space="preserve"> HYPERLINK "file:///C:\\Users\\wanshic\\OneDrive%20-%20Qualcomm\\Documents\\Standards\\3GPP%20Standards\\Meeting%20Documents\\TSGR1_100b\\Docs\\R1-2001964.zip" </w:instrText>
      </w:r>
      <w:r w:rsidRPr="00114A7B">
        <w:fldChar w:fldCharType="separate"/>
      </w:r>
      <w:r w:rsidR="00610BCA">
        <w:rPr>
          <w:rStyle w:val="Hyperlink"/>
        </w:rPr>
        <w:t>R1-2001964</w:t>
      </w:r>
      <w:r>
        <w:rPr>
          <w:rStyle w:val="Hyperlink"/>
        </w:rPr>
        <w:fldChar w:fldCharType="end"/>
      </w:r>
      <w:r w:rsidR="00610BCA">
        <w:rPr>
          <w:lang/>
        </w:rPr>
        <w:tab/>
      </w:r>
      <w:r w:rsidR="00610BCA" w:rsidRPr="00000FB2">
        <w:rPr>
          <w:rFonts w:ascii="Times New Roman" w:eastAsia="SimSun" w:hAnsi="Times New Roman"/>
          <w:bCs/>
          <w:iCs/>
          <w:szCs w:val="20"/>
        </w:rPr>
        <w:t>Resource</w:t>
      </w:r>
      <w:r w:rsidR="00610BCA">
        <w:rPr>
          <w:lang/>
        </w:rPr>
        <w:t xml:space="preserve"> allocation for NR sidelink Mode 2</w:t>
      </w:r>
      <w:r w:rsidR="00610BCA">
        <w:rPr>
          <w:lang/>
        </w:rPr>
        <w:tab/>
        <w:t>TCL Communication Ltd.</w:t>
      </w:r>
      <w:bookmarkEnd w:id="13"/>
    </w:p>
    <w:bookmarkStart w:id="14" w:name="_Ref38267869"/>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"file:///C:\\Users\\wanshic\\OneDrive%20-%20Qualcomm\\Documents\\Standards\\3GPP%20Standards\\Meeting%20Documents\\TSGR1_100b\\Docs\\R1-2001969.zip" </w:instrText>
      </w:r>
      <w:r>
        <w:rPr>
          <w:lang/>
        </w:rPr>
        <w:fldChar w:fldCharType="separate"/>
      </w:r>
      <w:r w:rsidR="00610BCA">
        <w:rPr>
          <w:rStyle w:val="Hyperlink"/>
        </w:rPr>
        <w:t>R1-2001969</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resource allocation for NR sidelink Mode 2</w:t>
      </w:r>
      <w:r w:rsidR="00610BCA">
        <w:rPr>
          <w:lang/>
        </w:rPr>
        <w:tab/>
        <w:t>Lenovo, Motorola Mobility</w:t>
      </w:r>
      <w:bookmarkEnd w:id="14"/>
    </w:p>
    <w:bookmarkStart w:id="15" w:name="_Ref38274133"/>
    <w:p w:rsidR="00610BCA" w:rsidRDefault="00114A7B" w:rsidP="007938E8">
      <w:pPr>
        <w:widowControl w:val="0"/>
        <w:numPr>
          <w:ilvl w:val="0"/>
          <w:numId w:val="14"/>
        </w:numPr>
        <w:autoSpaceDN w:val="0"/>
        <w:jc w:val="both"/>
        <w:rPr>
          <w:lang/>
        </w:rPr>
      </w:pPr>
      <w:r w:rsidRPr="00114A7B">
        <w:fldChar w:fldCharType="begin"/>
      </w:r>
      <w:r w:rsidR="00610BCA">
        <w:instrText xml:space="preserve"> HYPERLINK "file:///C:\\Users\\wanshic\\OneDrive%20-%20Qualcomm\\Documents\\Standards\\3GPP%20Standards\\Meeting%20Documents\\TSGR1_100b\\Docs\\R1-2001978.zip" </w:instrText>
      </w:r>
      <w:r w:rsidRPr="00114A7B">
        <w:fldChar w:fldCharType="separate"/>
      </w:r>
      <w:r w:rsidR="00610BCA">
        <w:rPr>
          <w:rStyle w:val="Hyperlink"/>
        </w:rPr>
        <w:t>R1-2001978</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in Resource Allocation for Mode 2 NR V2X</w:t>
      </w:r>
      <w:r w:rsidR="00610BCA">
        <w:rPr>
          <w:lang/>
        </w:rPr>
        <w:tab/>
        <w:t>Fraunhofer HHI, Fraunhofer IIS</w:t>
      </w:r>
      <w:bookmarkEnd w:id="15"/>
    </w:p>
    <w:bookmarkStart w:id="16" w:name="_Ref38267652"/>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"file:///C:\\Users\\wanshic\\OneDrive%20-%20Qualcomm\\Documents\\Standards\\3GPP%20Standards\\Meeting%20Documents\\TSGR1_100b\\Docs\\R1-2001994.zip" </w:instrText>
      </w:r>
      <w:r>
        <w:rPr>
          <w:lang/>
        </w:rPr>
        <w:fldChar w:fldCharType="separate"/>
      </w:r>
      <w:r w:rsidR="00610BCA">
        <w:rPr>
          <w:rStyle w:val="Hyperlink"/>
        </w:rPr>
        <w:t>R1-2001994</w:t>
      </w:r>
      <w:r>
        <w:rPr>
          <w:lang/>
        </w:rPr>
        <w:fldChar w:fldCharType="end"/>
      </w:r>
      <w:r w:rsidR="00610BCA">
        <w:rPr>
          <w:lang/>
        </w:rPr>
        <w:tab/>
      </w:r>
      <w:r w:rsidR="00610BCA" w:rsidRPr="00000FB2">
        <w:rPr>
          <w:rFonts w:ascii="Times New Roman" w:eastAsia="SimSun" w:hAnsi="Times New Roman"/>
          <w:bCs/>
          <w:iCs/>
          <w:szCs w:val="20"/>
        </w:rPr>
        <w:t>Solutions</w:t>
      </w:r>
      <w:r w:rsidR="00610BCA">
        <w:rPr>
          <w:lang/>
        </w:rPr>
        <w:t xml:space="preserve"> to remaining opens of resource allocation mode-2 for NR V2X sidelink design</w:t>
      </w:r>
      <w:r w:rsidR="00610BCA">
        <w:rPr>
          <w:lang/>
        </w:rPr>
        <w:tab/>
        <w:t>Intel Corporation</w:t>
      </w:r>
      <w:bookmarkEnd w:id="16"/>
    </w:p>
    <w:p w:rsidR="00610BCA" w:rsidRDefault="00114A7B" w:rsidP="007938E8">
      <w:pPr>
        <w:widowControl w:val="0"/>
        <w:numPr>
          <w:ilvl w:val="0"/>
          <w:numId w:val="14"/>
        </w:numPr>
        <w:autoSpaceDN w:val="0"/>
        <w:jc w:val="both"/>
        <w:rPr>
          <w:lang/>
        </w:rPr>
      </w:pPr>
      <w:hyperlink r:id="rId9" w:history="1">
        <w:r w:rsidR="00610BCA">
          <w:rPr>
            <w:rStyle w:val="Hyperlink"/>
          </w:rPr>
          <w:t>R1-2002041</w:t>
        </w:r>
      </w:hyperlink>
      <w:r w:rsidR="00610BCA">
        <w:rPr>
          <w:lang/>
        </w:rPr>
        <w:tab/>
      </w:r>
      <w:proofErr w:type="spellStart"/>
      <w:r w:rsidR="00610BCA" w:rsidRPr="00000FB2">
        <w:rPr>
          <w:rFonts w:ascii="Times New Roman" w:eastAsia="SimSun" w:hAnsi="Times New Roman"/>
          <w:bCs/>
          <w:iCs/>
          <w:szCs w:val="20"/>
        </w:rPr>
        <w:t>Remianing</w:t>
      </w:r>
      <w:proofErr w:type="spellEnd"/>
      <w:r w:rsidR="00610BCA">
        <w:rPr>
          <w:lang/>
        </w:rPr>
        <w:t xml:space="preserve"> details on mode-2 resource allocation</w:t>
      </w:r>
      <w:r w:rsidR="00610BCA">
        <w:rPr>
          <w:lang/>
        </w:rPr>
        <w:tab/>
        <w:t>Futurewei</w:t>
      </w:r>
    </w:p>
    <w:bookmarkStart w:id="17" w:name="_Ref38268058"/>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"file:///C:\\Users\\wanshic\\OneDrive%20-%20Qualcomm\\Documents\\Standards\\3GPP%20Standards\\Meeting%20Documents\\TSGR1_100b\\Docs\\R1-2002078.zip" </w:instrText>
      </w:r>
      <w:r>
        <w:rPr>
          <w:lang/>
        </w:rPr>
        <w:fldChar w:fldCharType="separate"/>
      </w:r>
      <w:r w:rsidR="00610BCA">
        <w:rPr>
          <w:rStyle w:val="Hyperlink"/>
        </w:rPr>
        <w:t>R1-2002078</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Mode 2 resource allocation in NR V2X</w:t>
      </w:r>
      <w:r w:rsidR="00610BCA">
        <w:rPr>
          <w:lang/>
        </w:rPr>
        <w:tab/>
        <w:t>CATT</w:t>
      </w:r>
      <w:bookmarkEnd w:id="17"/>
    </w:p>
    <w:bookmarkStart w:id="18" w:name="_Ref38267852"/>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"file:///C:\\Users\\wanshic\\OneDrive%20-%20Qualcomm\\Documents\\Standards\\3GPP%20Standards\\Meeting%20Documents\\TSGR1_100b\\Docs\\R1-2002126.zip" </w:instrText>
      </w:r>
      <w:r>
        <w:rPr>
          <w:lang/>
        </w:rPr>
        <w:fldChar w:fldCharType="separate"/>
      </w:r>
      <w:r w:rsidR="00610BCA">
        <w:rPr>
          <w:rStyle w:val="Hyperlink"/>
        </w:rPr>
        <w:t>R1-2002126</w:t>
      </w:r>
      <w:r>
        <w:rPr>
          <w:lang/>
        </w:rPr>
        <w:fldChar w:fldCharType="end"/>
      </w:r>
      <w:r w:rsidR="00610BCA">
        <w:rPr>
          <w:lang/>
        </w:rPr>
        <w:tab/>
        <w:t xml:space="preserve">On </w:t>
      </w:r>
      <w:r w:rsidR="00610BCA" w:rsidRPr="00000FB2">
        <w:rPr>
          <w:rFonts w:ascii="Times New Roman" w:eastAsia="SimSun" w:hAnsi="Times New Roman"/>
          <w:bCs/>
          <w:iCs/>
          <w:szCs w:val="20"/>
        </w:rPr>
        <w:t>Mode</w:t>
      </w:r>
      <w:r w:rsidR="00610BCA">
        <w:rPr>
          <w:lang/>
        </w:rPr>
        <w:t xml:space="preserve"> 2 for NR Sidelink</w:t>
      </w:r>
      <w:r w:rsidR="00610BCA">
        <w:rPr>
          <w:lang/>
        </w:rPr>
        <w:tab/>
        <w:t>Samsung</w:t>
      </w:r>
      <w:bookmarkEnd w:id="18"/>
    </w:p>
    <w:bookmarkStart w:id="19" w:name="_Ref38267920"/>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"file:///C:\\Users\\wanshic\\OneDrive%20-%20Qualcomm\\Documents\\Standards\\3GPP%20Standards\\Meeting%20Documents\\TSGR1_100b\\Docs\\R1-2002234.zip" </w:instrText>
      </w:r>
      <w:r>
        <w:rPr>
          <w:lang/>
        </w:rPr>
        <w:fldChar w:fldCharType="separate"/>
      </w:r>
      <w:r w:rsidR="00610BCA">
        <w:rPr>
          <w:rStyle w:val="Hyperlink"/>
        </w:rPr>
        <w:t>R1-2002234</w:t>
      </w:r>
      <w:r>
        <w:rPr>
          <w:lang/>
        </w:rPr>
        <w:fldChar w:fldCharType="end"/>
      </w:r>
      <w:r w:rsidR="00610BCA">
        <w:rPr>
          <w:lang/>
        </w:rPr>
        <w:tab/>
      </w:r>
      <w:r w:rsidR="00610BCA" w:rsidRPr="00000FB2">
        <w:rPr>
          <w:rFonts w:ascii="Times New Roman" w:eastAsia="SimSun" w:hAnsi="Times New Roman"/>
          <w:bCs/>
          <w:iCs/>
          <w:szCs w:val="20"/>
        </w:rPr>
        <w:t>Resource</w:t>
      </w:r>
      <w:r w:rsidR="00610BCA">
        <w:rPr>
          <w:lang/>
        </w:rPr>
        <w:t xml:space="preserve"> allocation Mode 2 for NR SL</w:t>
      </w:r>
      <w:r w:rsidR="00610BCA">
        <w:rPr>
          <w:lang/>
        </w:rPr>
        <w:tab/>
        <w:t>Ericsson</w:t>
      </w:r>
      <w:bookmarkEnd w:id="19"/>
    </w:p>
    <w:bookmarkStart w:id="20" w:name="_Ref38267882"/>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"file:///C:\\Users\\wanshic\\OneDrive%20-%20Qualcomm\\Documents\\Standards\\3GPP%20Standards\\Meeting%20Documents\\TSGR1_100b\\Docs\\R1-2002267.zip" </w:instrText>
      </w:r>
      <w:r>
        <w:rPr>
          <w:lang/>
        </w:rPr>
        <w:fldChar w:fldCharType="separate"/>
      </w:r>
      <w:r w:rsidR="00610BCA">
        <w:rPr>
          <w:rStyle w:val="Hyperlink"/>
        </w:rPr>
        <w:t>R1-2002267</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in NR </w:t>
      </w:r>
      <w:proofErr w:type="spellStart"/>
      <w:r w:rsidR="00610BCA">
        <w:rPr>
          <w:lang/>
        </w:rPr>
        <w:t>sidelink</w:t>
      </w:r>
      <w:proofErr w:type="spellEnd"/>
      <w:r w:rsidR="00610BCA">
        <w:rPr>
          <w:lang/>
        </w:rPr>
        <w:t xml:space="preserve"> mode 2 resource allocation</w:t>
      </w:r>
      <w:r w:rsidR="00610BCA">
        <w:rPr>
          <w:lang/>
        </w:rPr>
        <w:tab/>
      </w:r>
      <w:proofErr w:type="spellStart"/>
      <w:r w:rsidR="00610BCA">
        <w:rPr>
          <w:lang/>
        </w:rPr>
        <w:t>Spreadtrum</w:t>
      </w:r>
      <w:proofErr w:type="spellEnd"/>
      <w:r w:rsidR="00610BCA">
        <w:rPr>
          <w:lang/>
        </w:rPr>
        <w:t xml:space="preserve"> Communications</w:t>
      </w:r>
      <w:bookmarkEnd w:id="20"/>
    </w:p>
    <w:bookmarkStart w:id="21" w:name="_Ref38267927"/>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"file:///C:\\Users\\wanshic\\OneDrive%20-%20Qualcomm\\Documents\\Standards\\3GPP%20Standards\\Meeting%20Documents\\TSGR1_100b\\Docs\\R1-2002301.zip" </w:instrText>
      </w:r>
      <w:r>
        <w:rPr>
          <w:lang/>
        </w:rPr>
        <w:fldChar w:fldCharType="separate"/>
      </w:r>
      <w:r w:rsidR="00610BCA">
        <w:rPr>
          <w:rStyle w:val="Hyperlink"/>
        </w:rPr>
        <w:t>R1-2002301</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NR </w:t>
      </w:r>
      <w:proofErr w:type="spellStart"/>
      <w:r w:rsidR="00610BCA">
        <w:rPr>
          <w:lang/>
        </w:rPr>
        <w:t>Sidelink</w:t>
      </w:r>
      <w:proofErr w:type="spellEnd"/>
      <w:r w:rsidR="00610BCA">
        <w:rPr>
          <w:lang/>
        </w:rPr>
        <w:t xml:space="preserve"> Mode 2 Resource Allocation</w:t>
      </w:r>
      <w:r w:rsidR="00610BCA">
        <w:rPr>
          <w:lang/>
        </w:rPr>
        <w:tab/>
      </w:r>
      <w:proofErr w:type="spellStart"/>
      <w:r w:rsidR="00610BCA">
        <w:rPr>
          <w:lang/>
        </w:rPr>
        <w:t>InterDigital</w:t>
      </w:r>
      <w:proofErr w:type="spellEnd"/>
      <w:r w:rsidR="00610BCA">
        <w:rPr>
          <w:lang/>
        </w:rPr>
        <w:t>, Inc.</w:t>
      </w:r>
      <w:bookmarkEnd w:id="21"/>
    </w:p>
    <w:bookmarkStart w:id="22" w:name="_Ref38274084"/>
    <w:p w:rsidR="00610BCA" w:rsidRDefault="00114A7B" w:rsidP="007938E8">
      <w:pPr>
        <w:widowControl w:val="0"/>
        <w:numPr>
          <w:ilvl w:val="0"/>
          <w:numId w:val="14"/>
        </w:numPr>
        <w:autoSpaceDN w:val="0"/>
        <w:jc w:val="both"/>
        <w:rPr>
          <w:lang/>
        </w:rPr>
      </w:pPr>
      <w:r w:rsidRPr="00114A7B">
        <w:fldChar w:fldCharType="begin"/>
      </w:r>
      <w:r w:rsidR="00610BCA">
        <w:instrText xml:space="preserve"> HYPERLINK "file:///C:\\Users\\wanshic\\OneDrive%20-%20Qualcomm\\Documents\\Standards\\3GPP%20Standards\\Meeting%20Documents\\TSGR1_100b\\Docs\\R1-2002325.zip" </w:instrText>
      </w:r>
      <w:r w:rsidRPr="00114A7B">
        <w:fldChar w:fldCharType="separate"/>
      </w:r>
      <w:r w:rsidR="00610BCA">
        <w:rPr>
          <w:rStyle w:val="Hyperlink"/>
        </w:rPr>
        <w:t>R1-2002325</w:t>
      </w:r>
      <w:r>
        <w:rPr>
          <w:rStyle w:val="Hyperlink"/>
        </w:rPr>
        <w:fldChar w:fldCharType="end"/>
      </w:r>
      <w:r w:rsidR="00610BCA">
        <w:rPr>
          <w:lang/>
        </w:rPr>
        <w:tab/>
        <w:t xml:space="preserve">On </w:t>
      </w:r>
      <w:r w:rsidR="00610BCA" w:rsidRPr="00000FB2">
        <w:rPr>
          <w:rFonts w:ascii="Times New Roman" w:eastAsia="SimSun" w:hAnsi="Times New Roman"/>
          <w:bCs/>
          <w:iCs/>
          <w:szCs w:val="20"/>
        </w:rPr>
        <w:t>Remaining</w:t>
      </w:r>
      <w:r w:rsidR="00610BCA">
        <w:rPr>
          <w:lang/>
        </w:rPr>
        <w:t xml:space="preserve"> Details of Mode 2 Resource Allocation</w:t>
      </w:r>
      <w:r w:rsidR="00610BCA">
        <w:rPr>
          <w:lang/>
        </w:rPr>
        <w:tab/>
        <w:t>Apple</w:t>
      </w:r>
      <w:bookmarkEnd w:id="22"/>
    </w:p>
    <w:bookmarkStart w:id="23" w:name="_Ref38268015"/>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"file:///C:\\Users\\wanshic\\OneDrive%20-%20Qualcomm\\Documents\\Standards\\3GPP%20Standards\\Meeting%20Documents\\TSGR1_100b\\Docs\\R1-2002362.zip" </w:instrText>
      </w:r>
      <w:r>
        <w:rPr>
          <w:lang/>
        </w:rPr>
        <w:fldChar w:fldCharType="separate"/>
      </w:r>
      <w:r w:rsidR="00610BCA">
        <w:rPr>
          <w:rStyle w:val="Hyperlink"/>
        </w:rPr>
        <w:t>R1-2002362</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Mode 2</w:t>
      </w:r>
      <w:r w:rsidR="00610BCA">
        <w:rPr>
          <w:lang/>
        </w:rPr>
        <w:tab/>
        <w:t>NEC</w:t>
      </w:r>
      <w:bookmarkEnd w:id="23"/>
    </w:p>
    <w:bookmarkStart w:id="24" w:name="_Ref38274204"/>
    <w:p w:rsidR="00610BCA" w:rsidRDefault="00114A7B" w:rsidP="007938E8">
      <w:pPr>
        <w:widowControl w:val="0"/>
        <w:numPr>
          <w:ilvl w:val="0"/>
          <w:numId w:val="14"/>
        </w:numPr>
        <w:autoSpaceDN w:val="0"/>
        <w:jc w:val="both"/>
        <w:rPr>
          <w:lang/>
        </w:rPr>
      </w:pPr>
      <w:r w:rsidRPr="00114A7B">
        <w:fldChar w:fldCharType="begin"/>
      </w:r>
      <w:r w:rsidR="00610BCA">
        <w:instrText xml:space="preserve"> HYPERLINK "file:///C:\\Users\\wanshic\\OneDrive%20-%20Qualcomm\\Documents\\Standards\\3GPP%20Standards\\Meeting%20Documents\\TSGR1_100b\\Docs\\R1-2002388.zip" </w:instrText>
      </w:r>
      <w:r w:rsidRPr="00114A7B">
        <w:fldChar w:fldCharType="separate"/>
      </w:r>
      <w:r w:rsidR="00610BCA">
        <w:rPr>
          <w:rStyle w:val="Hyperlink"/>
        </w:rPr>
        <w:t>R1-2002388</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mode 2 for NR sidelink</w:t>
      </w:r>
      <w:r w:rsidR="00610BCA">
        <w:rPr>
          <w:lang/>
        </w:rPr>
        <w:tab/>
        <w:t>Sharp</w:t>
      </w:r>
      <w:bookmarkEnd w:id="24"/>
    </w:p>
    <w:bookmarkStart w:id="25" w:name="_Ref38280899"/>
    <w:p w:rsidR="00610BCA" w:rsidRDefault="00114A7B" w:rsidP="007938E8">
      <w:pPr>
        <w:widowControl w:val="0"/>
        <w:numPr>
          <w:ilvl w:val="0"/>
          <w:numId w:val="14"/>
        </w:numPr>
        <w:autoSpaceDN w:val="0"/>
        <w:jc w:val="both"/>
        <w:rPr>
          <w:lang/>
        </w:rPr>
      </w:pPr>
      <w:r w:rsidRPr="00114A7B">
        <w:fldChar w:fldCharType="begin"/>
      </w:r>
      <w:r w:rsidR="00A16012">
        <w:instrText xml:space="preserve"> HYPERLINK "file:///C:\\Users\\wanshic\\OneDrive%20-%20Qualcomm\\Documents\\Standards\\3GPP%20Standards\\Meeting%20Documents\\TSGR1_100b\\Docs\\R1-2002402.zip" </w:instrText>
      </w:r>
      <w:r w:rsidRPr="00114A7B">
        <w:fldChar w:fldCharType="separate"/>
      </w:r>
      <w:r w:rsidR="00610BCA">
        <w:rPr>
          <w:rStyle w:val="Hyperlink"/>
        </w:rPr>
        <w:t>R1-2002402</w:t>
      </w:r>
      <w:r>
        <w:rPr>
          <w:rStyle w:val="Hyperlink"/>
        </w:rPr>
        <w:fldChar w:fldCharType="end"/>
      </w:r>
      <w:r w:rsidR="00610BCA">
        <w:rPr>
          <w:lang/>
        </w:rPr>
        <w:tab/>
        <w:t>On resource reservation in Mode 2 resource allocation</w:t>
      </w:r>
      <w:r w:rsidR="00610BCA">
        <w:rPr>
          <w:lang/>
        </w:rPr>
        <w:tab/>
        <w:t>Xiaomi Communications</w:t>
      </w:r>
      <w:bookmarkEnd w:id="25"/>
    </w:p>
    <w:bookmarkStart w:id="26" w:name="_Ref38267935"/>
    <w:p w:rsid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"file:///C:\\Users\\wanshic\\OneDrive%20-%20Qualcomm\\Documents\\Standards\\3GPP%20Standards\\Meeting%20Documents\\TSGR1_100b\\Docs\\R1-2002439.zip" </w:instrText>
      </w:r>
      <w:r>
        <w:rPr>
          <w:lang/>
        </w:rPr>
        <w:fldChar w:fldCharType="separate"/>
      </w:r>
      <w:r w:rsidR="00610BCA">
        <w:rPr>
          <w:rStyle w:val="Hyperlink"/>
        </w:rPr>
        <w:t>R1-2002439</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mechanism mode 2</w:t>
      </w:r>
      <w:r w:rsidR="00610BCA">
        <w:rPr>
          <w:lang/>
        </w:rPr>
        <w:tab/>
        <w:t>NTT DOCOMO, INC.</w:t>
      </w:r>
      <w:bookmarkEnd w:id="26"/>
    </w:p>
    <w:p w:rsidR="00610BCA" w:rsidRDefault="00114A7B" w:rsidP="007938E8">
      <w:pPr>
        <w:widowControl w:val="0"/>
        <w:numPr>
          <w:ilvl w:val="0"/>
          <w:numId w:val="14"/>
        </w:numPr>
        <w:autoSpaceDN w:val="0"/>
        <w:jc w:val="both"/>
        <w:rPr>
          <w:lang/>
        </w:rPr>
      </w:pPr>
      <w:hyperlink r:id="rId10" w:history="1">
        <w:r w:rsidR="00610BCA">
          <w:rPr>
            <w:rStyle w:val="Hyperlink"/>
          </w:rPr>
          <w:t>R1-2002487</w:t>
        </w:r>
      </w:hyperlink>
      <w:r w:rsidR="00610BCA">
        <w:rPr>
          <w:lang/>
        </w:rPr>
        <w:tab/>
      </w:r>
      <w:r w:rsidR="00610BCA" w:rsidRPr="00000FB2">
        <w:rPr>
          <w:rFonts w:ascii="Times New Roman" w:eastAsia="SimSun" w:hAnsi="Times New Roman"/>
          <w:bCs/>
          <w:iCs/>
          <w:szCs w:val="20"/>
        </w:rPr>
        <w:t>Remain</w:t>
      </w:r>
      <w:r w:rsidR="00610BCA">
        <w:rPr>
          <w:lang/>
        </w:rPr>
        <w:t xml:space="preserve"> details on mode-2 resource allocation for NR V2X</w:t>
      </w:r>
      <w:r w:rsidR="00610BCA">
        <w:rPr>
          <w:lang/>
        </w:rPr>
        <w:tab/>
        <w:t>ITL</w:t>
      </w:r>
    </w:p>
    <w:bookmarkStart w:id="27" w:name="_Ref38285875"/>
    <w:p w:rsidR="00610BCA" w:rsidRDefault="00114A7B" w:rsidP="007938E8">
      <w:pPr>
        <w:widowControl w:val="0"/>
        <w:numPr>
          <w:ilvl w:val="0"/>
          <w:numId w:val="14"/>
        </w:numPr>
        <w:autoSpaceDN w:val="0"/>
        <w:jc w:val="both"/>
        <w:rPr>
          <w:lang/>
        </w:rPr>
      </w:pPr>
      <w:r w:rsidRPr="00114A7B">
        <w:fldChar w:fldCharType="begin"/>
      </w:r>
      <w:r w:rsidR="007938E8">
        <w:instrText xml:space="preserve"> HYPERLINK "file:///C:\\Users\\wanshic\\OneDrive%20-%20Qualcomm\\Documents\\Standards\\3GPP%20Standards\\Meeting%20Documents\\TSGR1_100b\\Docs\\R1-2002489.zip" </w:instrText>
      </w:r>
      <w:r w:rsidRPr="00114A7B">
        <w:fldChar w:fldCharType="separate"/>
      </w:r>
      <w:r w:rsidR="00610BCA">
        <w:rPr>
          <w:rStyle w:val="Hyperlink"/>
        </w:rPr>
        <w:t>R1-2002489</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 for Mode 2 resource allocation in NR V2X</w:t>
      </w:r>
      <w:r w:rsidR="00610BCA">
        <w:rPr>
          <w:lang/>
        </w:rPr>
        <w:tab/>
      </w:r>
      <w:proofErr w:type="spellStart"/>
      <w:r w:rsidR="00610BCA">
        <w:rPr>
          <w:lang/>
        </w:rPr>
        <w:t>ASUSTeK</w:t>
      </w:r>
      <w:bookmarkEnd w:id="27"/>
      <w:proofErr w:type="spellEnd"/>
    </w:p>
    <w:bookmarkStart w:id="28" w:name="_Ref38267660"/>
    <w:p w:rsidR="00562E33" w:rsidRPr="00610BCA" w:rsidRDefault="00114A7B" w:rsidP="007938E8">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"file:///C:\\Users\\wanshic\\OneDrive%20-%20Qualcomm\\Documents\\Standards\\3GPP%20Standards\\Meeting%20Documents\\TSGR1_100b\\Docs\\R1-2002539.zip" </w:instrText>
      </w:r>
      <w:r>
        <w:rPr>
          <w:lang/>
        </w:rPr>
        <w:fldChar w:fldCharType="separate"/>
      </w:r>
      <w:r w:rsidR="00610BCA">
        <w:rPr>
          <w:rStyle w:val="Hyperlink"/>
        </w:rPr>
        <w:t>R1-2002539</w:t>
      </w:r>
      <w:r>
        <w:rPr>
          <w:lang/>
        </w:rPr>
        <w:fldChar w:fldCharType="end"/>
      </w:r>
      <w:r w:rsidR="00610BCA">
        <w:rPr>
          <w:lang/>
        </w:rPr>
        <w:tab/>
      </w:r>
      <w:proofErr w:type="spellStart"/>
      <w:r w:rsidR="00610BCA" w:rsidRPr="00000FB2">
        <w:rPr>
          <w:rFonts w:ascii="Times New Roman" w:eastAsia="SimSun" w:hAnsi="Times New Roman"/>
          <w:bCs/>
          <w:iCs/>
          <w:szCs w:val="20"/>
        </w:rPr>
        <w:t>Sidelink</w:t>
      </w:r>
      <w:proofErr w:type="spellEnd"/>
      <w:r w:rsidR="00610BCA">
        <w:rPr>
          <w:lang/>
        </w:rPr>
        <w:t xml:space="preserve"> Resource Allocation Mechanism for NR V2X</w:t>
      </w:r>
      <w:r w:rsidR="00610BCA">
        <w:rPr>
          <w:lang/>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28E" w:rsidRDefault="0044028E">
      <w:r>
        <w:separator/>
      </w:r>
    </w:p>
  </w:endnote>
  <w:endnote w:type="continuationSeparator" w:id="0">
    <w:p w:rsidR="0044028E" w:rsidRDefault="0044028E">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28E" w:rsidRDefault="0044028E">
      <w:r>
        <w:separator/>
      </w:r>
    </w:p>
  </w:footnote>
  <w:footnote w:type="continuationSeparator" w:id="0">
    <w:p w:rsidR="0044028E" w:rsidRDefault="00440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7B"/>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5B"/>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B"/>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28E"/>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66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4D9F"/>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33"/>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875"/>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D8B"/>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43"/>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61"/>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rPr>
  </w:style>
  <w:style w:type="paragraph" w:styleId="Heading7">
    <w:name w:val="heading 7"/>
    <w:basedOn w:val="Normal"/>
    <w:next w:val="Normal"/>
    <w:link w:val="Heading7Char"/>
    <w:uiPriority w:val="9"/>
    <w:qFormat/>
    <w:rsid w:val="00114A7B"/>
    <w:pPr>
      <w:numPr>
        <w:ilvl w:val="6"/>
        <w:numId w:val="6"/>
      </w:numPr>
      <w:spacing w:before="240" w:after="60"/>
      <w:outlineLvl w:val="6"/>
    </w:pPr>
    <w:rPr>
      <w:rFonts w:ascii="Times New Roman" w:hAnsi="Times New Roman"/>
      <w:sz w:val="24"/>
      <w:lang/>
    </w:rPr>
  </w:style>
  <w:style w:type="paragraph" w:styleId="Heading8">
    <w:name w:val="heading 8"/>
    <w:basedOn w:val="Normal"/>
    <w:next w:val="Normal"/>
    <w:link w:val="Heading8Char"/>
    <w:uiPriority w:val="9"/>
    <w:qFormat/>
    <w:rsid w:val="00114A7B"/>
    <w:pPr>
      <w:numPr>
        <w:ilvl w:val="7"/>
        <w:numId w:val="6"/>
      </w:numPr>
      <w:tabs>
        <w:tab w:val="clear" w:pos="1440"/>
      </w:tabs>
      <w:spacing w:before="240" w:after="60"/>
      <w:outlineLvl w:val="7"/>
    </w:pPr>
    <w:rPr>
      <w:rFonts w:ascii="Times New Roman" w:hAnsi="Times New Roman"/>
      <w:i/>
      <w:iCs/>
      <w:sz w:val="24"/>
      <w:lang/>
    </w:rPr>
  </w:style>
  <w:style w:type="paragraph" w:styleId="Heading9">
    <w:name w:val="heading 9"/>
    <w:basedOn w:val="Normal"/>
    <w:next w:val="Normal"/>
    <w:link w:val="Heading9Char"/>
    <w:uiPriority w:val="9"/>
    <w:qFormat/>
    <w:rsid w:val="00114A7B"/>
    <w:pPr>
      <w:numPr>
        <w:ilvl w:val="8"/>
        <w:numId w:val="6"/>
      </w:numPr>
      <w:spacing w:before="240" w:after="60"/>
      <w:outlineLvl w:val="8"/>
    </w:pPr>
    <w:rPr>
      <w:rFonts w:ascii="Arial" w:hAnsi="Arial"/>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114A7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114A7B"/>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114A7B"/>
    <w:pPr>
      <w:spacing w:after="120"/>
      <w:jc w:val="both"/>
    </w:pPr>
    <w:rPr>
      <w:lang/>
    </w:rPr>
  </w:style>
  <w:style w:type="paragraph" w:customStyle="1" w:styleId="TdocHeader1">
    <w:name w:val="Tdoc_Header_1"/>
    <w:basedOn w:val="Header"/>
    <w:rsid w:val="00114A7B"/>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14A7B"/>
    <w:pPr>
      <w:tabs>
        <w:tab w:val="center" w:pos="4536"/>
        <w:tab w:val="right" w:pos="9072"/>
      </w:tabs>
    </w:pPr>
  </w:style>
  <w:style w:type="paragraph" w:styleId="FootnoteText">
    <w:name w:val="footnote text"/>
    <w:basedOn w:val="Normal"/>
    <w:link w:val="FootnoteTextChar"/>
    <w:semiHidden/>
    <w:rsid w:val="00114A7B"/>
    <w:pPr>
      <w:jc w:val="both"/>
    </w:pPr>
    <w:rPr>
      <w:szCs w:val="20"/>
      <w:lang/>
    </w:rPr>
  </w:style>
  <w:style w:type="paragraph" w:styleId="DocumentMap">
    <w:name w:val="Document Map"/>
    <w:basedOn w:val="Normal"/>
    <w:link w:val="DocumentMapChar"/>
    <w:semiHidden/>
    <w:rsid w:val="00114A7B"/>
    <w:pPr>
      <w:shd w:val="clear" w:color="auto" w:fill="000080"/>
    </w:pPr>
    <w:rPr>
      <w:rFonts w:ascii="Tahoma" w:hAnsi="Tahoma"/>
      <w:lang/>
    </w:rPr>
  </w:style>
  <w:style w:type="paragraph" w:customStyle="1" w:styleId="TdocHeading2">
    <w:name w:val="Tdoc_Heading_2"/>
    <w:basedOn w:val="Normal"/>
    <w:rsid w:val="00114A7B"/>
  </w:style>
  <w:style w:type="character" w:styleId="Hyperlink">
    <w:name w:val="Hyperlink"/>
    <w:uiPriority w:val="99"/>
    <w:rsid w:val="00114A7B"/>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114A7B"/>
    <w:rPr>
      <w:rFonts w:ascii="Tahoma" w:hAnsi="Tahoma"/>
      <w:sz w:val="16"/>
      <w:szCs w:val="16"/>
      <w:lang/>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114A7B"/>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rPr>
  </w:style>
  <w:style w:type="character" w:customStyle="1" w:styleId="PlainTextChar">
    <w:name w:val="Plain Text Char"/>
    <w:link w:val="PlainText"/>
    <w:uiPriority w:val="99"/>
    <w:rsid w:val="001D6883"/>
    <w:rPr>
      <w:rFonts w:ascii="Arial" w:eastAsia="MS Gothic" w:hAnsi="Arial"/>
      <w:color w:val="000000"/>
      <w:lang/>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
    <w:name w:val="Grid Table 4 Accent 5"/>
    <w:basedOn w:val="TableNormal"/>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5CA7-D873-44F8-8A05-B7F41F36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TotalTime>
  <Pages>4</Pages>
  <Words>1966</Words>
  <Characters>15082</Characters>
  <Application>Microsoft Office Word</Application>
  <DocSecurity>0</DocSecurity>
  <Lines>125</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17014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Windows User</cp:lastModifiedBy>
  <cp:revision>4</cp:revision>
  <cp:lastPrinted>2013-05-13T15:37:00Z</cp:lastPrinted>
  <dcterms:created xsi:type="dcterms:W3CDTF">2020-04-21T19:24:00Z</dcterms:created>
  <dcterms:modified xsi:type="dcterms:W3CDTF">2020-04-21T20:27:00Z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y fmtid="{D5CDD505-2E9C-101B-9397-08002B2CF9AE}" pid="9" name="_2015_ms_pID_725343">
    <vt:lpwstr>(2)O5FTUK2vYNTfp6QnWhuIMQpALsCLy7SNv+xEVWXR7O1DcsTdzXNr6t7OT1qN7OKQ59l7ZIZO
0fJRnT7IWXWnB+Jz6lDGFq6te+O7QlvOfXDAB7m++HvOcj3xstYXaYGwbV0f9yEdhAm/i56U
cwG8Dp4k6efz+z5bf8+FHJFZ8luejbMEMeFpfpyzOrBO+TU3yzx1bQjNGvSt766D4efyY/bX
qvZGunxfLCfWAMJra3</vt:lpwstr>
  </property>
  <property fmtid="{D5CDD505-2E9C-101B-9397-08002B2CF9AE}" pid="10" name="_2015_ms_pID_7253431">
    <vt:lpwstr>yF56soy14KZAIjk26NS2lur7rF4A3m6lvwuZwTHDuooxH5LsXtMd1Y
hJonVn1vw7/MiHArMMI50rmKohgNDoPRcbVY9ShKt+/txo3/hZh/hVqnLzK3qNjX2logDuav
T/l9ckcIwsuRVJ9QVg5Nym/BIXRv8PrY2faT8N8gykn70uPTuNKaKIagfjMWczzXL2MoMHpd
NzR5VrOoIt3FSyDm</vt:lpwstr>
  </property>
</Properties>
</file>