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42434AFD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744DF9">
        <w:rPr>
          <w:rFonts w:ascii="Arial" w:hAnsi="Arial" w:cs="Arial"/>
          <w:b/>
          <w:sz w:val="24"/>
          <w:lang w:val="en-US"/>
        </w:rPr>
        <w:t xml:space="preserve">Email Discussion #1 </w:t>
      </w:r>
      <w:r w:rsidR="00004BE3" w:rsidRPr="00004BE3">
        <w:rPr>
          <w:rFonts w:ascii="Arial" w:hAnsi="Arial" w:cs="Arial"/>
          <w:b/>
          <w:sz w:val="24"/>
        </w:rPr>
        <w:t>[100b-e-NR-5G_V2X_NRSL-Mode-2-01]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02C5E31F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on </w:t>
      </w:r>
      <w:r w:rsidR="008C2214">
        <w:rPr>
          <w:lang w:val="en-US"/>
        </w:rPr>
        <w:t>issues in the first 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5531465A" w14:textId="54330152" w:rsidR="00004BE3" w:rsidRDefault="00004BE3" w:rsidP="00004BE3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[100b-e-NR-5G_V2X_NRSL-Mode-2-01] Email discussion/approval w.r.t. re-evaluation including aspects:</w:t>
      </w:r>
    </w:p>
    <w:p w14:paraId="5E64D28B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Whether/how to ensure the timing restrictions in re-evaluation, including potential change of pre-selected resources</w:t>
      </w:r>
    </w:p>
    <w:p w14:paraId="5CEE1542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 to mandate every slot re-evaluation</w:t>
      </w:r>
    </w:p>
    <w:p w14:paraId="34B25AFF" w14:textId="77777777" w:rsidR="00004BE3" w:rsidRDefault="00004BE3" w:rsidP="00004BE3">
      <w:r>
        <w:rPr>
          <w:highlight w:val="cyan"/>
        </w:rPr>
        <w:t>till 4/27, with potential TPs till 4/30 (Intel, Sergey)</w:t>
      </w:r>
    </w:p>
    <w:p w14:paraId="4506DA44" w14:textId="77777777" w:rsidR="009F2A25" w:rsidRPr="007957F2" w:rsidRDefault="009F2A25" w:rsidP="009F2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F2A25" w14:paraId="1E14B08C" w14:textId="77777777" w:rsidTr="009F2A25">
        <w:tc>
          <w:tcPr>
            <w:tcW w:w="9631" w:type="dxa"/>
          </w:tcPr>
          <w:p w14:paraId="199610EC" w14:textId="77777777" w:rsidR="009F2A25" w:rsidRPr="00C2791A" w:rsidRDefault="009F2A25" w:rsidP="009F2A25">
            <w:pPr>
              <w:rPr>
                <w:szCs w:val="20"/>
                <w:lang w:val="en-US" w:eastAsia="x-none"/>
              </w:rPr>
            </w:pPr>
            <w:r w:rsidRPr="00C2791A">
              <w:rPr>
                <w:szCs w:val="20"/>
                <w:highlight w:val="green"/>
                <w:lang w:val="en-US" w:eastAsia="x-none"/>
              </w:rPr>
              <w:t>Agreements</w:t>
            </w:r>
            <w:r w:rsidRPr="00C2791A">
              <w:rPr>
                <w:szCs w:val="20"/>
                <w:lang w:val="en-US" w:eastAsia="x-none"/>
              </w:rPr>
              <w:t>:</w:t>
            </w:r>
          </w:p>
          <w:p w14:paraId="2D13E718" w14:textId="77777777" w:rsidR="009F2A25" w:rsidRPr="00C2791A" w:rsidRDefault="009F2A25" w:rsidP="009F2A25">
            <w:pPr>
              <w:pStyle w:val="ListParagraph"/>
              <w:numPr>
                <w:ilvl w:val="0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Resource (re-)selection procedure supports re-evaluation of Step 1 and Step 2 before transmission of SCI with reservation</w:t>
            </w:r>
          </w:p>
          <w:p w14:paraId="6F954C22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The re-evaluation of the (re-)selection procedure for a resource reservation signalled in a moment ‘m’ is not required to be triggered at moment &gt; ‘m – T3’ (i.e. resource reselection processing time needs to be ensured)</w:t>
            </w:r>
          </w:p>
          <w:p w14:paraId="4D96B6B0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condition to change resource(s) from previous iteration to resource(s) from current iteration</w:t>
            </w:r>
          </w:p>
          <w:p w14:paraId="29EB699C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relationship of T1 and T3, if any</w:t>
            </w:r>
          </w:p>
          <w:p w14:paraId="473F602F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whether to handle it differently for blind and feedback-based retransmission resources</w:t>
            </w:r>
          </w:p>
          <w:p w14:paraId="6559D519" w14:textId="77777777" w:rsidR="009F2A25" w:rsidRPr="00220461" w:rsidRDefault="009F2A25" w:rsidP="009F2A25">
            <w:pPr>
              <w:rPr>
                <w:rFonts w:ascii="Times New Roman" w:hAnsi="Times New Roman"/>
                <w:iCs/>
                <w:szCs w:val="20"/>
                <w:lang w:val="en-US"/>
              </w:rPr>
            </w:pPr>
            <w:r w:rsidRPr="00220461">
              <w:rPr>
                <w:rFonts w:ascii="Times New Roman" w:hAnsi="Times New Roman"/>
                <w:iCs/>
                <w:szCs w:val="20"/>
                <w:highlight w:val="green"/>
                <w:lang w:val="en-US"/>
              </w:rPr>
              <w:t>Agreements</w:t>
            </w:r>
            <w:r w:rsidRPr="00220461">
              <w:rPr>
                <w:rFonts w:ascii="Times New Roman" w:hAnsi="Times New Roman"/>
                <w:iCs/>
                <w:szCs w:val="20"/>
                <w:lang w:val="en-US"/>
              </w:rPr>
              <w:t>:</w:t>
            </w:r>
          </w:p>
          <w:p w14:paraId="4250FABF" w14:textId="77777777" w:rsidR="009F2A25" w:rsidRPr="00D44F3B" w:rsidRDefault="009F2A25" w:rsidP="009F2A25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>For re-evaluation of a pre-selected resource contained in a slot ‘k’ to be first time signaled in a slot ‘m’, where k ≥ m,</w:t>
            </w:r>
          </w:p>
          <w:p w14:paraId="37B042FC" w14:textId="77777777" w:rsidR="009F2A25" w:rsidRPr="00D44F3B" w:rsidRDefault="009F2A25" w:rsidP="009F2A25">
            <w:pPr>
              <w:pStyle w:val="ListParagraph"/>
              <w:numPr>
                <w:ilvl w:val="1"/>
                <w:numId w:val="46"/>
              </w:numPr>
              <w:ind w:leftChars="0"/>
            </w:pPr>
            <w:r w:rsidRPr="00D44F3B">
              <w:t>Step 1 of the resource (re-)selection procedure is performed at least at the moment ‘m-T3’, and if the pre-selected resource is not in the identified candidate resource set, Step 2 is triggered for reselection of the resource</w:t>
            </w:r>
          </w:p>
          <w:p w14:paraId="00068FF9" w14:textId="77777777"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Re-evaluations before the moment ‘m-T3’ or after ‘m-T3’ but before ‘m’ are not precluded and are up to UE implementation</w:t>
            </w:r>
          </w:p>
          <w:p w14:paraId="16CDEF71" w14:textId="77777777" w:rsidR="009F2A25" w:rsidRPr="00D44F3B" w:rsidRDefault="009F2A25" w:rsidP="009F2A25">
            <w:pPr>
              <w:pStyle w:val="ListParagraph"/>
              <w:numPr>
                <w:ilvl w:val="3"/>
                <w:numId w:val="46"/>
              </w:numPr>
              <w:ind w:leftChars="0"/>
            </w:pPr>
            <w:bookmarkStart w:id="2" w:name="_Hlk38216370"/>
            <w:r w:rsidRPr="00D44F3B">
              <w:t>FFS whether to mandate a UE to perform Step 1 checking every slot before ‘m-T3’</w:t>
            </w:r>
          </w:p>
          <w:bookmarkEnd w:id="2"/>
          <w:p w14:paraId="75678D6D" w14:textId="77777777"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FFS whether evaluation of Step 2 has to ensure any introduced timing restrictions between pre-selected and re-selected resources when re-evaluation is triggered, and whether it is allowed to change the pre-selected but not reserved resources which are still in the candidate resource set in order to ensure the timing restrictions</w:t>
            </w:r>
          </w:p>
          <w:p w14:paraId="0687AD6C" w14:textId="4091AADA" w:rsidR="009F2A25" w:rsidRDefault="009F2A25" w:rsidP="00025470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>FFS whether for the case of enabled periodic reservation, already reserved resources in upcoming periods can be re-evaluated</w:t>
            </w:r>
          </w:p>
        </w:tc>
      </w:tr>
    </w:tbl>
    <w:p w14:paraId="6EEFEF94" w14:textId="10020D9E" w:rsidR="00A50275" w:rsidRDefault="00A50275" w:rsidP="004D0C23">
      <w:pPr>
        <w:jc w:val="both"/>
      </w:pPr>
    </w:p>
    <w:p w14:paraId="47734C42" w14:textId="0FB1A2B7" w:rsidR="00E41505" w:rsidRDefault="008C2214" w:rsidP="0000254F">
      <w:pPr>
        <w:pStyle w:val="3GPPH1"/>
      </w:pPr>
      <w:r>
        <w:t>Discussion</w:t>
      </w:r>
    </w:p>
    <w:p w14:paraId="43C29094" w14:textId="7C0E4CC0" w:rsidR="00025470" w:rsidRDefault="00025470" w:rsidP="008539C5">
      <w:pPr>
        <w:jc w:val="both"/>
      </w:pPr>
      <w:r>
        <w:t xml:space="preserve">The first aspect relates to the issue of ensuring the timing restrictions between selected but not reserved resources during re-evaluation. Since the re-evaluation can trigger resource reselection of the resource which is not in the candidate set after Step 1, </w:t>
      </w:r>
      <w:r w:rsidR="00E813BB">
        <w:t>there could be situations of violation of the timing restrictions between selected resources. The following timing restrictions are considered:</w:t>
      </w:r>
    </w:p>
    <w:p w14:paraId="4BA354EA" w14:textId="3AE2FB84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HARQ RTT minimum gap</w:t>
      </w:r>
      <w:r w:rsidR="0091347F">
        <w:t xml:space="preserve"> Z = a + b</w:t>
      </w:r>
    </w:p>
    <w:p w14:paraId="6DCE6AED" w14:textId="2D3133C0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If introduced, a maximum gap between two consecutive resources in order to reserve resources for HARQ retransmissions</w:t>
      </w:r>
    </w:p>
    <w:p w14:paraId="7D3F4651" w14:textId="589EB45E" w:rsidR="00E813BB" w:rsidRDefault="0091347F" w:rsidP="00E813BB">
      <w:pPr>
        <w:jc w:val="both"/>
      </w:pPr>
      <w:r>
        <w:t>These timing restrictions are integral parts of sensing and resource selection and better to be ensured. If those need to be ensured, there are several options to do that:</w:t>
      </w:r>
    </w:p>
    <w:p w14:paraId="5B7A58B5" w14:textId="63C3E7D5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t>Allow change of other pre-selected resources</w:t>
      </w:r>
      <w:r w:rsidR="00A87145">
        <w:t>. Companies argue that there is no issue to do that since these resources are not yet reserved and are part of the internal UE procedures.</w:t>
      </w:r>
    </w:p>
    <w:p w14:paraId="53674ADE" w14:textId="35701BC7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lastRenderedPageBreak/>
        <w:t>Do not change the re-evaluated resource if no candidate found that fulfils the timing restrictions together with the pre-selected resources</w:t>
      </w:r>
      <w:r w:rsidR="00A87145">
        <w:t xml:space="preserve">. This option </w:t>
      </w:r>
      <w:r w:rsidR="002F1849">
        <w:t>can lead to RSRP larger than a threshold, but such events are anyway considered to be rare</w:t>
      </w:r>
      <w:r w:rsidR="00A87145">
        <w:t>.</w:t>
      </w:r>
    </w:p>
    <w:p w14:paraId="7D918244" w14:textId="5757356D" w:rsidR="00D13CF5" w:rsidRDefault="00A87145" w:rsidP="00D06815">
      <w:pPr>
        <w:pStyle w:val="ListParagraph"/>
        <w:numPr>
          <w:ilvl w:val="0"/>
          <w:numId w:val="93"/>
        </w:numPr>
        <w:ind w:leftChars="0"/>
        <w:jc w:val="both"/>
      </w:pPr>
      <w:r>
        <w:t>Do not change the pre-selected resources but drop the re-evaluated resource</w:t>
      </w:r>
      <w:bookmarkStart w:id="3" w:name="_Hlk38012924"/>
      <w:bookmarkStart w:id="4" w:name="_Hlk38059608"/>
      <w:bookmarkStart w:id="5" w:name="_Hlk38060850"/>
      <w:r w:rsidR="002F1849">
        <w:t>.</w:t>
      </w:r>
    </w:p>
    <w:p w14:paraId="47A97E4C" w14:textId="77777777" w:rsidR="002F1849" w:rsidRPr="00A87145" w:rsidRDefault="002F1849" w:rsidP="002F1849">
      <w:pPr>
        <w:jc w:val="both"/>
      </w:pPr>
    </w:p>
    <w:bookmarkEnd w:id="3"/>
    <w:bookmarkEnd w:id="4"/>
    <w:bookmarkEnd w:id="5"/>
    <w:p w14:paraId="6DA20E32" w14:textId="74D6B5CB" w:rsidR="000167F5" w:rsidRDefault="002F1849" w:rsidP="000167F5">
      <w:pPr>
        <w:rPr>
          <w:lang w:val="en-US"/>
        </w:rPr>
      </w:pPr>
      <w:r>
        <w:rPr>
          <w:lang w:val="en-US"/>
        </w:rPr>
        <w:t xml:space="preserve">Based on above context, the following options </w:t>
      </w:r>
      <w:r w:rsidR="009F421F">
        <w:rPr>
          <w:lang w:val="en-US"/>
        </w:rPr>
        <w:t>considered:</w:t>
      </w:r>
    </w:p>
    <w:p w14:paraId="6C0912B9" w14:textId="79B59723" w:rsidR="009F421F" w:rsidRDefault="009F421F" w:rsidP="000167F5">
      <w:pPr>
        <w:rPr>
          <w:lang w:val="en-US"/>
        </w:rPr>
      </w:pPr>
    </w:p>
    <w:p w14:paraId="7E55B472" w14:textId="1468537C" w:rsidR="009F421F" w:rsidRPr="00004BE3" w:rsidRDefault="009F421F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Q1</w:t>
      </w:r>
      <w:r w:rsidRPr="00004BE3">
        <w:rPr>
          <w:b/>
          <w:bCs/>
          <w:lang w:val="en-US"/>
        </w:rPr>
        <w:t xml:space="preserve">: Which of the following </w:t>
      </w:r>
      <w:r w:rsidR="00863843" w:rsidRPr="00004BE3">
        <w:rPr>
          <w:b/>
          <w:bCs/>
          <w:lang w:val="en-US"/>
        </w:rPr>
        <w:t>options</w:t>
      </w:r>
      <w:r w:rsidRPr="00004BE3">
        <w:rPr>
          <w:b/>
          <w:bCs/>
          <w:lang w:val="en-US"/>
        </w:rPr>
        <w:t xml:space="preserve"> is </w:t>
      </w:r>
      <w:r w:rsidR="00863843" w:rsidRPr="00004BE3">
        <w:rPr>
          <w:b/>
          <w:bCs/>
          <w:lang w:val="en-US"/>
        </w:rPr>
        <w:t>preferred</w:t>
      </w:r>
      <w:r w:rsidRPr="00004BE3">
        <w:rPr>
          <w:b/>
          <w:bCs/>
          <w:lang w:val="en-US"/>
        </w:rPr>
        <w:t>?</w:t>
      </w:r>
    </w:p>
    <w:p w14:paraId="2C355656" w14:textId="73BDBFFE" w:rsidR="009F421F" w:rsidRP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1</w:t>
      </w:r>
    </w:p>
    <w:p w14:paraId="11F19529" w14:textId="006144FC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rPr>
          <w:lang w:val="en-US"/>
        </w:rPr>
        <w:t xml:space="preserve">A UE </w:t>
      </w:r>
      <w:r>
        <w:t xml:space="preserve">shall </w:t>
      </w:r>
      <w:r w:rsidRPr="00D44F3B">
        <w:t>ensure timing restrictions between pre-selected and re-selected resources when re-evaluation is triggered</w:t>
      </w:r>
    </w:p>
    <w:p w14:paraId="645280CD" w14:textId="3344BAF3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1a: </w:t>
      </w:r>
      <w:r w:rsidRPr="00D44F3B">
        <w:t>it is allowed to change the pre-selected but not reserved resources which are still in the candidate resource set in order to ensure the timing restrictions</w:t>
      </w:r>
    </w:p>
    <w:p w14:paraId="6EC4C6C1" w14:textId="55666638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1b: </w:t>
      </w:r>
      <w:r w:rsidR="00863843">
        <w:t>the re-evaluated resource is left unchanged if the change can violate the timing restrictions</w:t>
      </w:r>
    </w:p>
    <w:p w14:paraId="327AF78B" w14:textId="6E00640B" w:rsidR="00863843" w:rsidRDefault="00863843" w:rsidP="009F421F">
      <w:pPr>
        <w:pStyle w:val="ListParagraph"/>
        <w:numPr>
          <w:ilvl w:val="2"/>
          <w:numId w:val="46"/>
        </w:numPr>
        <w:ind w:leftChars="0"/>
      </w:pPr>
      <w:r>
        <w:t>Option 1c: the re-evaluated resource is dropped if the change can violate the timing restrictions</w:t>
      </w:r>
    </w:p>
    <w:p w14:paraId="06DEEE85" w14:textId="6298839A" w:rsid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2</w:t>
      </w:r>
    </w:p>
    <w:p w14:paraId="0FFD9233" w14:textId="67590309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t>A UE is not required to ensure the timing restrictions</w:t>
      </w:r>
      <w:r w:rsidR="00863843">
        <w:t xml:space="preserve"> during reselection of a resource which is not in the candidate set after Step 1 during re-evaluation</w:t>
      </w:r>
    </w:p>
    <w:p w14:paraId="5CD65067" w14:textId="4B004534" w:rsidR="00B318F1" w:rsidRDefault="00B318F1" w:rsidP="00B318F1"/>
    <w:p w14:paraId="646BA8FD" w14:textId="50A73D9F" w:rsidR="00A561F8" w:rsidRDefault="00A561F8" w:rsidP="00B318F1">
      <w:r>
        <w:t>Please provide the supported option and technical justification:</w:t>
      </w:r>
    </w:p>
    <w:p w14:paraId="3AF3D0FB" w14:textId="77777777" w:rsidR="00A561F8" w:rsidRPr="00D44F3B" w:rsidRDefault="00A561F8" w:rsidP="00B318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67"/>
        <w:gridCol w:w="4856"/>
        <w:gridCol w:w="1803"/>
      </w:tblGrid>
      <w:tr w:rsidR="00A561F8" w14:paraId="554C088B" w14:textId="77777777" w:rsidTr="00A561F8">
        <w:tc>
          <w:tcPr>
            <w:tcW w:w="1505" w:type="dxa"/>
          </w:tcPr>
          <w:p w14:paraId="0E628312" w14:textId="157D8C0E" w:rsidR="00A561F8" w:rsidRDefault="00A561F8" w:rsidP="000167F5">
            <w:r>
              <w:t>Source</w:t>
            </w:r>
          </w:p>
        </w:tc>
        <w:tc>
          <w:tcPr>
            <w:tcW w:w="1467" w:type="dxa"/>
          </w:tcPr>
          <w:p w14:paraId="4F746F7A" w14:textId="6B74EF04" w:rsidR="00A561F8" w:rsidRDefault="00A561F8" w:rsidP="000167F5">
            <w:r>
              <w:t>Option</w:t>
            </w:r>
          </w:p>
        </w:tc>
        <w:tc>
          <w:tcPr>
            <w:tcW w:w="4856" w:type="dxa"/>
          </w:tcPr>
          <w:p w14:paraId="744B0867" w14:textId="66B88287" w:rsidR="00A561F8" w:rsidRDefault="00A561F8" w:rsidP="000167F5">
            <w:r>
              <w:t>Comment</w:t>
            </w:r>
          </w:p>
        </w:tc>
        <w:tc>
          <w:tcPr>
            <w:tcW w:w="1803" w:type="dxa"/>
          </w:tcPr>
          <w:p w14:paraId="7D8E4077" w14:textId="77777777" w:rsidR="00A561F8" w:rsidRDefault="00A561F8" w:rsidP="000167F5"/>
        </w:tc>
      </w:tr>
      <w:tr w:rsidR="00A561F8" w14:paraId="3CAD140E" w14:textId="77777777" w:rsidTr="00A561F8">
        <w:tc>
          <w:tcPr>
            <w:tcW w:w="1505" w:type="dxa"/>
          </w:tcPr>
          <w:p w14:paraId="60F0AB50" w14:textId="544604CB" w:rsidR="00A561F8" w:rsidRDefault="00E500E4" w:rsidP="000167F5">
            <w:r>
              <w:t>Ericsson</w:t>
            </w:r>
          </w:p>
        </w:tc>
        <w:tc>
          <w:tcPr>
            <w:tcW w:w="1467" w:type="dxa"/>
          </w:tcPr>
          <w:p w14:paraId="3CA744C2" w14:textId="29C61D1A" w:rsidR="00A561F8" w:rsidRDefault="00E500E4" w:rsidP="000167F5">
            <w:r>
              <w:t>1a</w:t>
            </w:r>
          </w:p>
        </w:tc>
        <w:tc>
          <w:tcPr>
            <w:tcW w:w="4856" w:type="dxa"/>
          </w:tcPr>
          <w:p w14:paraId="0BE90EB5" w14:textId="735C135E" w:rsidR="00A561F8" w:rsidRDefault="00E500E4" w:rsidP="000167F5">
            <w:r>
              <w:t xml:space="preserve">Pre-selected but not reserved resources are only known by the UE itself. </w:t>
            </w:r>
          </w:p>
        </w:tc>
        <w:tc>
          <w:tcPr>
            <w:tcW w:w="1803" w:type="dxa"/>
          </w:tcPr>
          <w:p w14:paraId="06E5E5C9" w14:textId="77777777" w:rsidR="00A561F8" w:rsidRDefault="00A561F8" w:rsidP="000167F5"/>
        </w:tc>
      </w:tr>
      <w:tr w:rsidR="00A561F8" w14:paraId="16362F02" w14:textId="77777777" w:rsidTr="00A561F8">
        <w:tc>
          <w:tcPr>
            <w:tcW w:w="1505" w:type="dxa"/>
          </w:tcPr>
          <w:p w14:paraId="56E7343A" w14:textId="77777777" w:rsidR="00A561F8" w:rsidRDefault="00A561F8" w:rsidP="000167F5"/>
        </w:tc>
        <w:tc>
          <w:tcPr>
            <w:tcW w:w="1467" w:type="dxa"/>
          </w:tcPr>
          <w:p w14:paraId="0A9398B9" w14:textId="77777777" w:rsidR="00A561F8" w:rsidRDefault="00A561F8" w:rsidP="000167F5"/>
        </w:tc>
        <w:tc>
          <w:tcPr>
            <w:tcW w:w="4856" w:type="dxa"/>
          </w:tcPr>
          <w:p w14:paraId="7ECB786C" w14:textId="78059E37" w:rsidR="00A561F8" w:rsidRDefault="00A561F8" w:rsidP="000167F5"/>
        </w:tc>
        <w:tc>
          <w:tcPr>
            <w:tcW w:w="1803" w:type="dxa"/>
          </w:tcPr>
          <w:p w14:paraId="5ED7C1E4" w14:textId="77777777" w:rsidR="00A561F8" w:rsidRDefault="00A561F8" w:rsidP="000167F5"/>
        </w:tc>
      </w:tr>
    </w:tbl>
    <w:p w14:paraId="2BDABCB3" w14:textId="77777777" w:rsidR="009F421F" w:rsidRPr="009F421F" w:rsidRDefault="009F421F" w:rsidP="000167F5"/>
    <w:p w14:paraId="4BF30E54" w14:textId="268E361F" w:rsidR="00A87145" w:rsidRDefault="00A87145" w:rsidP="000167F5">
      <w:pPr>
        <w:rPr>
          <w:lang w:val="en-US"/>
        </w:rPr>
      </w:pPr>
    </w:p>
    <w:p w14:paraId="38552EF2" w14:textId="027D0D24" w:rsidR="002D4913" w:rsidRDefault="002D4913" w:rsidP="002D4913">
      <w:r>
        <w:rPr>
          <w:lang w:val="en-US"/>
        </w:rPr>
        <w:t xml:space="preserve">The second aspect is related to the </w:t>
      </w:r>
      <w:r w:rsidRPr="002D4913">
        <w:t>FFS whether to mandate a UE to perform Step 1 checking every slot before ‘m-T3’</w:t>
      </w:r>
      <w:r>
        <w:t xml:space="preserve">. Based on companies’ contributions, there are </w:t>
      </w:r>
      <w:r w:rsidR="00A93244">
        <w:t xml:space="preserve">several pros and cons </w:t>
      </w:r>
      <w:r>
        <w:t>views:</w:t>
      </w:r>
    </w:p>
    <w:p w14:paraId="59FD3DE5" w14:textId="099B566A" w:rsidR="002D4913" w:rsidRDefault="003968AF" w:rsidP="003968AF">
      <w:pPr>
        <w:pStyle w:val="ListParagraph"/>
        <w:numPr>
          <w:ilvl w:val="0"/>
          <w:numId w:val="93"/>
        </w:numPr>
        <w:ind w:leftChars="0"/>
      </w:pPr>
      <w:r>
        <w:t>No need to trigger every slot, the UE complexity may be high</w:t>
      </w:r>
      <w:r w:rsidR="00783121">
        <w:t xml:space="preserve">, while the performance gain </w:t>
      </w:r>
      <w:r w:rsidR="00A93244">
        <w:t>may be</w:t>
      </w:r>
      <w:r w:rsidR="00783121">
        <w:t xml:space="preserve"> uncertain</w:t>
      </w:r>
    </w:p>
    <w:p w14:paraId="4ABE52EF" w14:textId="3E0F7A01" w:rsidR="003968AF" w:rsidRDefault="002D4C02" w:rsidP="003968AF">
      <w:pPr>
        <w:pStyle w:val="ListParagraph"/>
        <w:numPr>
          <w:ilvl w:val="0"/>
          <w:numId w:val="93"/>
        </w:numPr>
        <w:ind w:leftChars="0"/>
      </w:pPr>
      <w:r>
        <w:t>Every slot re-evaluation enhance</w:t>
      </w:r>
      <w:r w:rsidR="00783121">
        <w:t>s</w:t>
      </w:r>
      <w:r>
        <w:t xml:space="preserve"> latency</w:t>
      </w:r>
      <w:r w:rsidR="00783121">
        <w:t xml:space="preserve">, as </w:t>
      </w:r>
      <w:r w:rsidR="00A561F8">
        <w:t>shown</w:t>
      </w:r>
      <w:r w:rsidR="00783121">
        <w:t xml:space="preserve"> </w:t>
      </w:r>
      <w:r w:rsidR="00A561F8">
        <w:t>in</w:t>
      </w:r>
      <w:r w:rsidR="00783121">
        <w:t xml:space="preserve"> </w:t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t xml:space="preserve"> </w:t>
      </w:r>
      <w:r w:rsidR="00783121">
        <w:t>evaluation results</w:t>
      </w:r>
    </w:p>
    <w:p w14:paraId="37E95D3E" w14:textId="2A63A010" w:rsidR="00783121" w:rsidRPr="002D4913" w:rsidRDefault="00783121" w:rsidP="003968AF">
      <w:pPr>
        <w:pStyle w:val="ListParagraph"/>
        <w:numPr>
          <w:ilvl w:val="0"/>
          <w:numId w:val="93"/>
        </w:numPr>
        <w:ind w:leftChars="0"/>
      </w:pPr>
      <w:r>
        <w:t xml:space="preserve">Every slot re-evaluation enhances PRR, as </w:t>
      </w:r>
      <w:r w:rsidR="00A561F8">
        <w:t>shown in</w:t>
      </w:r>
      <w:r>
        <w:t xml:space="preserve"> </w:t>
      </w:r>
      <w:r w:rsidR="00A561F8">
        <w:fldChar w:fldCharType="begin"/>
      </w:r>
      <w:r w:rsidR="00A561F8">
        <w:instrText xml:space="preserve"> REF _Ref38267660 \r \h </w:instrText>
      </w:r>
      <w:r w:rsidR="00A561F8">
        <w:fldChar w:fldCharType="separate"/>
      </w:r>
      <w:r w:rsidR="00A561F8">
        <w:t>[27]</w:t>
      </w:r>
      <w:r w:rsidR="00A561F8">
        <w:fldChar w:fldCharType="end"/>
      </w:r>
      <w:r w:rsidR="00A561F8">
        <w:t xml:space="preserve"> </w:t>
      </w:r>
      <w:r>
        <w:t>evaluation results</w:t>
      </w:r>
    </w:p>
    <w:p w14:paraId="38BEFA8F" w14:textId="5E3627DE" w:rsidR="002D4913" w:rsidRPr="002D4913" w:rsidRDefault="002D4913" w:rsidP="000167F5"/>
    <w:p w14:paraId="5043EE79" w14:textId="2EA01E83" w:rsidR="00A87145" w:rsidRPr="00004BE3" w:rsidRDefault="00BB7BD2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Q2</w:t>
      </w:r>
      <w:r w:rsidRPr="00004BE3">
        <w:rPr>
          <w:b/>
          <w:bCs/>
          <w:lang w:val="en-US"/>
        </w:rPr>
        <w:t>: Whether the FFS to mandate a UE to perform Step 1 checking every slot before ‘m-T3’ can be positively confirmed or not?</w:t>
      </w:r>
    </w:p>
    <w:p w14:paraId="5FAD068D" w14:textId="0BE1344E" w:rsidR="00BB7BD2" w:rsidRDefault="00BB7BD2" w:rsidP="000167F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67"/>
        <w:gridCol w:w="4856"/>
        <w:gridCol w:w="1803"/>
      </w:tblGrid>
      <w:tr w:rsidR="00A561F8" w14:paraId="35EFF249" w14:textId="77777777" w:rsidTr="00A561F8">
        <w:tc>
          <w:tcPr>
            <w:tcW w:w="1505" w:type="dxa"/>
          </w:tcPr>
          <w:p w14:paraId="715EEC40" w14:textId="77777777" w:rsidR="00A561F8" w:rsidRDefault="00A561F8" w:rsidP="00850B83">
            <w:r>
              <w:t>Source</w:t>
            </w:r>
          </w:p>
        </w:tc>
        <w:tc>
          <w:tcPr>
            <w:tcW w:w="1467" w:type="dxa"/>
          </w:tcPr>
          <w:p w14:paraId="21343B98" w14:textId="66938561" w:rsidR="00A561F8" w:rsidRDefault="00A561F8" w:rsidP="00850B83">
            <w:r>
              <w:t>Support or not</w:t>
            </w:r>
          </w:p>
        </w:tc>
        <w:tc>
          <w:tcPr>
            <w:tcW w:w="4856" w:type="dxa"/>
          </w:tcPr>
          <w:p w14:paraId="619A5805" w14:textId="436BFF76" w:rsidR="00A561F8" w:rsidRDefault="00A561F8" w:rsidP="00850B83">
            <w:r>
              <w:t>Comment</w:t>
            </w:r>
          </w:p>
        </w:tc>
        <w:tc>
          <w:tcPr>
            <w:tcW w:w="1803" w:type="dxa"/>
          </w:tcPr>
          <w:p w14:paraId="792FB2EC" w14:textId="77777777" w:rsidR="00A561F8" w:rsidRDefault="00A561F8" w:rsidP="00850B83"/>
        </w:tc>
      </w:tr>
      <w:tr w:rsidR="00A561F8" w14:paraId="3D81D867" w14:textId="77777777" w:rsidTr="00A561F8">
        <w:tc>
          <w:tcPr>
            <w:tcW w:w="1505" w:type="dxa"/>
          </w:tcPr>
          <w:p w14:paraId="512E9962" w14:textId="0B040641" w:rsidR="00A561F8" w:rsidRDefault="000D1247" w:rsidP="00850B83">
            <w:r>
              <w:t>Ericsson</w:t>
            </w:r>
          </w:p>
        </w:tc>
        <w:tc>
          <w:tcPr>
            <w:tcW w:w="1467" w:type="dxa"/>
          </w:tcPr>
          <w:p w14:paraId="636A2FCE" w14:textId="6554E165" w:rsidR="00A561F8" w:rsidRDefault="000D1247" w:rsidP="00850B83">
            <w:r>
              <w:t>Do not support</w:t>
            </w:r>
          </w:p>
        </w:tc>
        <w:tc>
          <w:tcPr>
            <w:tcW w:w="4856" w:type="dxa"/>
          </w:tcPr>
          <w:p w14:paraId="03BF2DA8" w14:textId="53E501A0" w:rsidR="00A561F8" w:rsidRDefault="000D1247" w:rsidP="00850B83">
            <w:r>
              <w:t>We do not see in point in evaluating multiple times it the last evaluation overwrites all previous evaluations. Leaving it up to UE implementation (as per current agreements) is enough.</w:t>
            </w:r>
            <w:bookmarkStart w:id="6" w:name="_GoBack"/>
            <w:bookmarkEnd w:id="6"/>
          </w:p>
        </w:tc>
        <w:tc>
          <w:tcPr>
            <w:tcW w:w="1803" w:type="dxa"/>
          </w:tcPr>
          <w:p w14:paraId="58472C78" w14:textId="77777777" w:rsidR="00A561F8" w:rsidRDefault="00A561F8" w:rsidP="00850B83"/>
        </w:tc>
      </w:tr>
      <w:tr w:rsidR="00A561F8" w14:paraId="486230B6" w14:textId="77777777" w:rsidTr="00A561F8">
        <w:tc>
          <w:tcPr>
            <w:tcW w:w="1505" w:type="dxa"/>
          </w:tcPr>
          <w:p w14:paraId="3957B4F8" w14:textId="77777777" w:rsidR="00A561F8" w:rsidRDefault="00A561F8" w:rsidP="00850B83"/>
        </w:tc>
        <w:tc>
          <w:tcPr>
            <w:tcW w:w="1467" w:type="dxa"/>
          </w:tcPr>
          <w:p w14:paraId="7FD70A90" w14:textId="77777777" w:rsidR="00A561F8" w:rsidRDefault="00A561F8" w:rsidP="00850B83"/>
        </w:tc>
        <w:tc>
          <w:tcPr>
            <w:tcW w:w="4856" w:type="dxa"/>
          </w:tcPr>
          <w:p w14:paraId="74C667DB" w14:textId="7BB8E932" w:rsidR="00A561F8" w:rsidRDefault="00A561F8" w:rsidP="00850B83"/>
        </w:tc>
        <w:tc>
          <w:tcPr>
            <w:tcW w:w="1803" w:type="dxa"/>
          </w:tcPr>
          <w:p w14:paraId="7A8B2D9F" w14:textId="77777777" w:rsidR="00A561F8" w:rsidRDefault="00A561F8" w:rsidP="00850B83"/>
        </w:tc>
      </w:tr>
    </w:tbl>
    <w:p w14:paraId="59A04916" w14:textId="77777777" w:rsidR="00BB7BD2" w:rsidRPr="00444B41" w:rsidRDefault="00BB7BD2" w:rsidP="000167F5">
      <w:pPr>
        <w:rPr>
          <w:lang w:val="en-US"/>
        </w:rPr>
      </w:pPr>
    </w:p>
    <w:p w14:paraId="1F622B1D" w14:textId="367D90B8" w:rsidR="001A1933" w:rsidRDefault="00746444" w:rsidP="0000254F">
      <w:pPr>
        <w:pStyle w:val="3GPPH1"/>
      </w:pPr>
      <w:bookmarkStart w:id="7" w:name="_Ref37777332"/>
      <w:r>
        <w:t>S</w:t>
      </w:r>
      <w:r w:rsidR="001A086B">
        <w:t xml:space="preserve">ummary of proposals on the </w:t>
      </w:r>
      <w:bookmarkEnd w:id="7"/>
      <w:r>
        <w:t>relevant issues</w:t>
      </w:r>
    </w:p>
    <w:p w14:paraId="0FB294F1" w14:textId="1EE6C1AE" w:rsidR="00C64357" w:rsidRDefault="00C64357" w:rsidP="00C64357">
      <w:pPr>
        <w:rPr>
          <w:lang w:eastAsia="x-none"/>
        </w:rPr>
      </w:pPr>
      <w:r>
        <w:rPr>
          <w:lang w:eastAsia="x-none"/>
        </w:rPr>
        <w:t>Finalization of re-evaluation and pre-emption requires closure of the following items, where some issues have contribution sources listed:</w:t>
      </w:r>
    </w:p>
    <w:p w14:paraId="46433552" w14:textId="392B16A3" w:rsidR="00933301" w:rsidRDefault="00933301" w:rsidP="00264B4C">
      <w:pPr>
        <w:pStyle w:val="ListParagraph"/>
        <w:numPr>
          <w:ilvl w:val="0"/>
          <w:numId w:val="74"/>
        </w:numPr>
        <w:ind w:leftChars="0"/>
      </w:pPr>
      <w:r>
        <w:t>Ensure the timing restrictions or not</w:t>
      </w:r>
    </w:p>
    <w:p w14:paraId="45103193" w14:textId="3C114725" w:rsidR="007E351D" w:rsidRDefault="007E351D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_Ref38267844 \r \h </w:instrText>
      </w:r>
      <w:r w:rsidR="00A561F8">
        <w:fldChar w:fldCharType="separate"/>
      </w:r>
      <w:r w:rsidR="00A561F8">
        <w:t>[7]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_Ref38267852 \r \h </w:instrText>
      </w:r>
      <w:r w:rsidR="00A561F8">
        <w:fldChar w:fldCharType="separate"/>
      </w:r>
      <w:r w:rsidR="00A561F8">
        <w:t>[16]</w:t>
      </w:r>
      <w:r w:rsidR="00A561F8">
        <w:fldChar w:fldCharType="end"/>
      </w:r>
    </w:p>
    <w:p w14:paraId="493A9DE3" w14:textId="0A102DDA" w:rsidR="003E685A" w:rsidRDefault="003E685A" w:rsidP="00264B4C">
      <w:pPr>
        <w:pStyle w:val="ListParagraph"/>
        <w:numPr>
          <w:ilvl w:val="1"/>
          <w:numId w:val="74"/>
        </w:numPr>
        <w:ind w:leftChars="0"/>
      </w:pPr>
      <w:r>
        <w:t>Not</w:t>
      </w:r>
      <w:r w:rsidR="002C2C40">
        <w:t xml:space="preserve"> supported</w:t>
      </w:r>
      <w:r>
        <w:t xml:space="preserve">: </w:t>
      </w:r>
      <w:r w:rsidR="00A561F8">
        <w:fldChar w:fldCharType="begin"/>
      </w:r>
      <w:r w:rsidR="00A561F8">
        <w:instrText xml:space="preserve"> REF _Ref38267869 \r \h </w:instrText>
      </w:r>
      <w:r w:rsidR="00A561F8">
        <w:fldChar w:fldCharType="separate"/>
      </w:r>
      <w:r w:rsidR="00A561F8">
        <w:t>[11]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</w:p>
    <w:p w14:paraId="4C98D82B" w14:textId="7C7BB85F" w:rsidR="00933301" w:rsidRDefault="00D84E59" w:rsidP="00BB7BD2">
      <w:pPr>
        <w:pStyle w:val="ListParagraph"/>
        <w:ind w:leftChars="0" w:left="720"/>
      </w:pPr>
      <w:r>
        <w:t>C</w:t>
      </w:r>
      <w:r w:rsidR="00933301">
        <w:t>hange of pre-selected resources</w:t>
      </w:r>
    </w:p>
    <w:p w14:paraId="2C481979" w14:textId="3715B295" w:rsidR="0008332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A561F8">
        <w:fldChar w:fldCharType="begin"/>
      </w:r>
      <w:r w:rsidR="00A561F8">
        <w:instrText xml:space="preserve"> REF _Ref38267893 \r \h </w:instrText>
      </w:r>
      <w:r w:rsidR="00A561F8">
        <w:fldChar w:fldCharType="separate"/>
      </w:r>
      <w:r w:rsidR="00A561F8">
        <w:t>[1]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_Ref38267906 \r \h </w:instrText>
      </w:r>
      <w:r w:rsidR="00A561F8">
        <w:fldChar w:fldCharType="separate"/>
      </w:r>
      <w:r w:rsidR="00A561F8">
        <w:t>[6]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_Ref38267844 \r \h </w:instrText>
      </w:r>
      <w:r w:rsidR="00A561F8">
        <w:fldChar w:fldCharType="separate"/>
      </w:r>
      <w:r w:rsidR="00A561F8">
        <w:t>[7]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_Ref38267920 \r \h </w:instrText>
      </w:r>
      <w:r w:rsidR="00A561F8">
        <w:fldChar w:fldCharType="separate"/>
      </w:r>
      <w:r w:rsidR="00A561F8">
        <w:t>[17]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_Ref38267927 \r \h </w:instrText>
      </w:r>
      <w:r w:rsidR="00A561F8">
        <w:fldChar w:fldCharType="separate"/>
      </w:r>
      <w:r w:rsidR="00A561F8">
        <w:t>[19]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_Ref38267935 \r \h </w:instrText>
      </w:r>
      <w:r w:rsidR="00A561F8">
        <w:fldChar w:fldCharType="separate"/>
      </w:r>
      <w:r w:rsidR="00A561F8">
        <w:t>[24]</w:t>
      </w:r>
      <w:r w:rsidR="00A561F8">
        <w:fldChar w:fldCharType="end"/>
      </w:r>
    </w:p>
    <w:p w14:paraId="1DD5D9F0" w14:textId="51DDA812" w:rsidR="00D84E5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Not supported: </w:t>
      </w:r>
      <w:r w:rsidR="00A561F8">
        <w:fldChar w:fldCharType="begin"/>
      </w:r>
      <w:r w:rsidR="00A561F8">
        <w:instrText xml:space="preserve"> REF _Ref38267949 \r \h </w:instrText>
      </w:r>
      <w:r w:rsidR="00A561F8">
        <w:fldChar w:fldCharType="separate"/>
      </w:r>
      <w:r w:rsidR="00A561F8">
        <w:t>[3]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</w:p>
    <w:p w14:paraId="3549CC39" w14:textId="77777777" w:rsidR="0054310F" w:rsidRDefault="0054310F" w:rsidP="0054310F">
      <w:pPr>
        <w:pStyle w:val="ListParagraph"/>
        <w:numPr>
          <w:ilvl w:val="0"/>
          <w:numId w:val="74"/>
        </w:numPr>
        <w:ind w:leftChars="0"/>
      </w:pPr>
      <w:r>
        <w:t>Every slot re-evaluation</w:t>
      </w:r>
    </w:p>
    <w:p w14:paraId="064EB43D" w14:textId="06C7ED87" w:rsidR="00A561F8" w:rsidRDefault="0054310F" w:rsidP="0054310F">
      <w:pPr>
        <w:pStyle w:val="ListParagraph"/>
        <w:numPr>
          <w:ilvl w:val="1"/>
          <w:numId w:val="74"/>
        </w:numPr>
        <w:ind w:leftChars="0"/>
      </w:pPr>
      <w:r>
        <w:t>Up to UE implementation:</w:t>
      </w:r>
      <w:r w:rsidR="00A561F8">
        <w:t xml:space="preserve"> </w:t>
      </w:r>
      <w:r w:rsidR="00A561F8">
        <w:fldChar w:fldCharType="begin"/>
      </w:r>
      <w:r w:rsidR="00A561F8">
        <w:instrText xml:space="preserve"> REF _Ref38267949 \r \h </w:instrText>
      </w:r>
      <w:r w:rsidR="00A561F8">
        <w:fldChar w:fldCharType="separate"/>
      </w:r>
      <w:r w:rsidR="00A561F8">
        <w:t>[3]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_Ref38267971 \r \h </w:instrText>
      </w:r>
      <w:r w:rsidR="00A561F8">
        <w:fldChar w:fldCharType="separate"/>
      </w:r>
      <w:r w:rsidR="00A561F8">
        <w:t>[4]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_Ref38267983 \r \h </w:instrText>
      </w:r>
      <w:r w:rsidR="00A561F8">
        <w:fldChar w:fldCharType="separate"/>
      </w:r>
      <w:r w:rsidR="00A561F8">
        <w:t>[8]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_Ref38267988 \r \h </w:instrText>
      </w:r>
      <w:r w:rsidR="00A561F8">
        <w:fldChar w:fldCharType="separate"/>
      </w:r>
      <w:r w:rsidR="00A561F8">
        <w:t>[9]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_Ref38267869 \r \h </w:instrText>
      </w:r>
      <w:r w:rsidR="00A561F8">
        <w:fldChar w:fldCharType="separate"/>
      </w:r>
      <w:r w:rsidR="00A561F8">
        <w:t>[11]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_Ref38267852 \r \h </w:instrText>
      </w:r>
      <w:r w:rsidR="00A561F8">
        <w:fldChar w:fldCharType="separate"/>
      </w:r>
      <w:r w:rsidR="00A561F8">
        <w:t>[16]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_Ref38267920 \r \h </w:instrText>
      </w:r>
      <w:r w:rsidR="00A561F8">
        <w:fldChar w:fldCharType="separate"/>
      </w:r>
      <w:r w:rsidR="00A561F8">
        <w:t>[17]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_Ref38267927 \r \h </w:instrText>
      </w:r>
      <w:r w:rsidR="00A561F8">
        <w:fldChar w:fldCharType="separate"/>
      </w:r>
      <w:r w:rsidR="00A561F8">
        <w:t>[19]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_Ref38268015 \r \h </w:instrText>
      </w:r>
      <w:r w:rsidR="00A561F8">
        <w:fldChar w:fldCharType="separate"/>
      </w:r>
      <w:r w:rsidR="00A561F8">
        <w:t>[21]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_Ref38267935 \r \h </w:instrText>
      </w:r>
      <w:r w:rsidR="00A561F8">
        <w:fldChar w:fldCharType="separate"/>
      </w:r>
      <w:r w:rsidR="00A561F8">
        <w:t>[24]</w:t>
      </w:r>
      <w:r w:rsidR="00A561F8">
        <w:fldChar w:fldCharType="end"/>
      </w:r>
    </w:p>
    <w:p w14:paraId="25F5E4E7" w14:textId="6F201A24" w:rsidR="0054310F" w:rsidRDefault="0054310F" w:rsidP="0054310F">
      <w:pPr>
        <w:pStyle w:val="ListParagraph"/>
        <w:numPr>
          <w:ilvl w:val="1"/>
          <w:numId w:val="74"/>
        </w:numPr>
        <w:ind w:leftChars="0"/>
      </w:pPr>
      <w:r>
        <w:t xml:space="preserve">Mandatory: </w:t>
      </w:r>
      <w:r w:rsidR="00A561F8">
        <w:fldChar w:fldCharType="begin"/>
      </w:r>
      <w:r w:rsidR="00A561F8">
        <w:instrText xml:space="preserve"> REF _Ref38267893 \r \h </w:instrText>
      </w:r>
      <w:r w:rsidR="00A561F8">
        <w:fldChar w:fldCharType="separate"/>
      </w:r>
      <w:r w:rsidR="00A561F8">
        <w:t>[1]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_Ref38268058 \r \h </w:instrText>
      </w:r>
      <w:r w:rsidR="00A561F8">
        <w:fldChar w:fldCharType="separate"/>
      </w:r>
      <w:r w:rsidR="00A561F8">
        <w:t>[15]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_Ref38267660 \r \h </w:instrText>
      </w:r>
      <w:r w:rsidR="00A561F8">
        <w:fldChar w:fldCharType="separate"/>
      </w:r>
      <w:r w:rsidR="00A561F8">
        <w:t>[27]</w:t>
      </w:r>
      <w:r w:rsidR="00A561F8">
        <w:fldChar w:fldCharType="end"/>
      </w:r>
    </w:p>
    <w:p w14:paraId="655B3E6B" w14:textId="7655ABFB" w:rsidR="0054310F" w:rsidRDefault="00A561F8" w:rsidP="0054310F">
      <w:pPr>
        <w:pStyle w:val="ListParagraph"/>
        <w:numPr>
          <w:ilvl w:val="2"/>
          <w:numId w:val="74"/>
        </w:numPr>
        <w:ind w:leftChars="0"/>
      </w:pPr>
      <w:r>
        <w:fldChar w:fldCharType="begin"/>
      </w:r>
      <w:r>
        <w:instrText xml:space="preserve"> REF _Ref38267652 \r \h </w:instrText>
      </w:r>
      <w:r>
        <w:fldChar w:fldCharType="separate"/>
      </w:r>
      <w:r>
        <w:t>[13]</w:t>
      </w:r>
      <w:r>
        <w:fldChar w:fldCharType="end"/>
      </w:r>
      <w:r>
        <w:t xml:space="preserve"> </w:t>
      </w:r>
      <w:r w:rsidR="0054310F">
        <w:t xml:space="preserve">and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 w:rsidR="0054310F">
        <w:t xml:space="preserve"> show results in support if it</w:t>
      </w:r>
    </w:p>
    <w:p w14:paraId="1167A107" w14:textId="4C9A279C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lastRenderedPageBreak/>
        <w:t>References</w:t>
      </w:r>
    </w:p>
    <w:p w14:paraId="28B8DBA1" w14:textId="56CE6B5B" w:rsidR="00000FB2" w:rsidRDefault="00000FB2" w:rsidP="00000FB2">
      <w:pPr>
        <w:rPr>
          <w:lang w:eastAsia="x-none"/>
        </w:rPr>
      </w:pPr>
    </w:p>
    <w:bookmarkStart w:id="8" w:name="_Ref38267893"/>
    <w:p w14:paraId="1CAA82A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>Huawei, HiSilicon</w:t>
      </w:r>
      <w:bookmarkEnd w:id="8"/>
    </w:p>
    <w:p w14:paraId="54641165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9" w:history="1">
        <w:r w:rsidR="00000FB2">
          <w:rPr>
            <w:rStyle w:val="Hyperlink"/>
          </w:rPr>
          <w:t>R1-2001661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issues on mode 2 resource allocation mechanism</w:t>
      </w:r>
      <w:r w:rsidR="00000FB2">
        <w:rPr>
          <w:lang w:eastAsia="x-none"/>
        </w:rPr>
        <w:tab/>
        <w:t>vivo</w:t>
      </w:r>
    </w:p>
    <w:bookmarkStart w:id="9" w:name="_Ref38267949"/>
    <w:p w14:paraId="1DFC34C6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9"/>
    </w:p>
    <w:bookmarkStart w:id="10" w:name="_Ref38267971"/>
    <w:p w14:paraId="6F8144AD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10"/>
    </w:p>
    <w:bookmarkStart w:id="11" w:name="_Ref38267838"/>
    <w:p w14:paraId="4D349C41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11"/>
    </w:p>
    <w:bookmarkStart w:id="12" w:name="_Ref38267906"/>
    <w:p w14:paraId="765B49B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12"/>
    </w:p>
    <w:bookmarkStart w:id="13" w:name="_Ref38267844"/>
    <w:p w14:paraId="2728FFF3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13"/>
    </w:p>
    <w:bookmarkStart w:id="14" w:name="_Ref38267983"/>
    <w:p w14:paraId="6AEFE5EA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>ZTE, Sanechips</w:t>
      </w:r>
      <w:bookmarkEnd w:id="14"/>
    </w:p>
    <w:bookmarkStart w:id="15" w:name="_Ref38267988"/>
    <w:p w14:paraId="10543DA5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15"/>
    </w:p>
    <w:p w14:paraId="0ACD8B55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0" w:history="1">
        <w:r w:rsidR="00000FB2">
          <w:rPr>
            <w:rStyle w:val="Hyperlink"/>
          </w:rPr>
          <w:t>R1-2001964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rPr>
          <w:lang w:eastAsia="x-none"/>
        </w:rPr>
        <w:t xml:space="preserve"> allocation for NR sidelink Mode 2</w:t>
      </w:r>
      <w:r w:rsidR="00000FB2">
        <w:rPr>
          <w:lang w:eastAsia="x-none"/>
        </w:rPr>
        <w:tab/>
        <w:t>TCL Communication Ltd.</w:t>
      </w:r>
    </w:p>
    <w:bookmarkStart w:id="16" w:name="_Ref38267869"/>
    <w:p w14:paraId="0A66EBB0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16"/>
    </w:p>
    <w:p w14:paraId="296C6E12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1" w:history="1">
        <w:r w:rsidR="00000FB2">
          <w:rPr>
            <w:rStyle w:val="Hyperlink"/>
          </w:rPr>
          <w:t>R1-2001978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Issues in Resource Allocation for Mode 2 NR V2X</w:t>
      </w:r>
      <w:r w:rsidR="00000FB2">
        <w:rPr>
          <w:lang w:eastAsia="x-none"/>
        </w:rPr>
        <w:tab/>
        <w:t>Fraunhofer HHI, Fraunhofer IIS</w:t>
      </w:r>
    </w:p>
    <w:bookmarkStart w:id="17" w:name="_Ref38267652"/>
    <w:p w14:paraId="3FC765A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17"/>
    </w:p>
    <w:p w14:paraId="5F94A671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2" w:history="1">
        <w:r w:rsidR="00000FB2">
          <w:rPr>
            <w:rStyle w:val="Hyperlink"/>
          </w:rPr>
          <w:t>R1-2002041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Remianing</w:t>
      </w:r>
      <w:r w:rsidR="00000FB2">
        <w:rPr>
          <w:lang w:eastAsia="x-none"/>
        </w:rPr>
        <w:t xml:space="preserve"> details on mode-2 resource allocation</w:t>
      </w:r>
      <w:r w:rsidR="00000FB2">
        <w:rPr>
          <w:lang w:eastAsia="x-none"/>
        </w:rPr>
        <w:tab/>
        <w:t>Futurewei</w:t>
      </w:r>
    </w:p>
    <w:bookmarkStart w:id="18" w:name="_Ref38268058"/>
    <w:p w14:paraId="64C21BE8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18"/>
    </w:p>
    <w:bookmarkStart w:id="19" w:name="_Ref38267852"/>
    <w:p w14:paraId="05B591D7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19"/>
    </w:p>
    <w:bookmarkStart w:id="20" w:name="_Ref38267920"/>
    <w:p w14:paraId="21A89091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20"/>
    </w:p>
    <w:bookmarkStart w:id="21" w:name="_Ref38267882"/>
    <w:p w14:paraId="5ABECBA3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  <w:t>Spreadtrum Communications</w:t>
      </w:r>
      <w:bookmarkEnd w:id="21"/>
    </w:p>
    <w:bookmarkStart w:id="22" w:name="_Ref38267927"/>
    <w:p w14:paraId="6497188F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  <w:t>InterDigital, Inc.</w:t>
      </w:r>
      <w:bookmarkEnd w:id="22"/>
    </w:p>
    <w:p w14:paraId="139618D1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3" w:history="1">
        <w:r w:rsidR="00000FB2">
          <w:rPr>
            <w:rStyle w:val="Hyperlink"/>
          </w:rPr>
          <w:t>R1-2002325</w:t>
        </w:r>
      </w:hyperlink>
      <w:r w:rsidR="00000FB2">
        <w:rPr>
          <w:lang w:eastAsia="x-none"/>
        </w:rPr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Details of Mode 2 Resource Allocation</w:t>
      </w:r>
      <w:r w:rsidR="00000FB2">
        <w:rPr>
          <w:lang w:eastAsia="x-none"/>
        </w:rPr>
        <w:tab/>
        <w:t>Apple</w:t>
      </w:r>
    </w:p>
    <w:bookmarkStart w:id="23" w:name="_Ref38268015"/>
    <w:p w14:paraId="0042CEDD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23"/>
    </w:p>
    <w:p w14:paraId="1E06ABF6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4" w:history="1">
        <w:r w:rsidR="00000FB2">
          <w:rPr>
            <w:rStyle w:val="Hyperlink"/>
          </w:rPr>
          <w:t>R1-2002388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issues on resource allocation mode 2 for NR sidelink</w:t>
      </w:r>
      <w:r w:rsidR="00000FB2">
        <w:rPr>
          <w:lang w:eastAsia="x-none"/>
        </w:rPr>
        <w:tab/>
        <w:t>Sharp</w:t>
      </w:r>
    </w:p>
    <w:p w14:paraId="00FFAE46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5" w:history="1">
        <w:r w:rsidR="00000FB2">
          <w:rPr>
            <w:rStyle w:val="Hyperlink"/>
          </w:rPr>
          <w:t>R1-2002402</w:t>
        </w:r>
      </w:hyperlink>
      <w:r w:rsidR="00000FB2">
        <w:rPr>
          <w:lang w:eastAsia="x-none"/>
        </w:rPr>
        <w:tab/>
        <w:t>On resource reservation in Mode 2 resource allocation</w:t>
      </w:r>
      <w:r w:rsidR="00000FB2">
        <w:rPr>
          <w:lang w:eastAsia="x-none"/>
        </w:rPr>
        <w:tab/>
        <w:t>Xiaomi Communications</w:t>
      </w:r>
    </w:p>
    <w:bookmarkStart w:id="24" w:name="_Ref38267935"/>
    <w:p w14:paraId="6BCD743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24"/>
    </w:p>
    <w:p w14:paraId="43F14CEF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6" w:history="1">
        <w:r w:rsidR="00000FB2">
          <w:rPr>
            <w:rStyle w:val="Hyperlink"/>
          </w:rPr>
          <w:t>R1-2002487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000FB2">
        <w:rPr>
          <w:lang w:eastAsia="x-none"/>
        </w:rPr>
        <w:t xml:space="preserve"> details on mode-2 resource allocation for NR V2X</w:t>
      </w:r>
      <w:r w:rsidR="00000FB2">
        <w:rPr>
          <w:lang w:eastAsia="x-none"/>
        </w:rPr>
        <w:tab/>
        <w:t>ITL</w:t>
      </w:r>
    </w:p>
    <w:p w14:paraId="1B214D1C" w14:textId="77777777" w:rsidR="00000FB2" w:rsidRDefault="008E3D69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7" w:history="1">
        <w:r w:rsidR="00000FB2">
          <w:rPr>
            <w:rStyle w:val="Hyperlink"/>
          </w:rPr>
          <w:t>R1-2002489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issue for Mode 2 resource allocation in NR V2X</w:t>
      </w:r>
      <w:r w:rsidR="00000FB2">
        <w:rPr>
          <w:lang w:eastAsia="x-none"/>
        </w:rPr>
        <w:tab/>
        <w:t>ASUSTeK</w:t>
      </w:r>
    </w:p>
    <w:bookmarkStart w:id="25" w:name="_Ref38267660"/>
    <w:p w14:paraId="6797EE4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25"/>
    </w:p>
    <w:p w14:paraId="47F960EB" w14:textId="77777777" w:rsidR="00000FB2" w:rsidRPr="00000FB2" w:rsidRDefault="00000FB2" w:rsidP="00000FB2">
      <w:pPr>
        <w:rPr>
          <w:lang w:eastAsia="x-none"/>
        </w:rPr>
      </w:pPr>
    </w:p>
    <w:sectPr w:rsidR="00000FB2" w:rsidRPr="00000FB2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4CCB4" w14:textId="77777777" w:rsidR="008E3D69" w:rsidRDefault="008E3D69">
      <w:r>
        <w:separator/>
      </w:r>
    </w:p>
  </w:endnote>
  <w:endnote w:type="continuationSeparator" w:id="0">
    <w:p w14:paraId="4031DF99" w14:textId="77777777" w:rsidR="008E3D69" w:rsidRDefault="008E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753F" w14:textId="77777777" w:rsidR="008E3D69" w:rsidRDefault="008E3D69">
      <w:r>
        <w:separator/>
      </w:r>
    </w:p>
  </w:footnote>
  <w:footnote w:type="continuationSeparator" w:id="0">
    <w:p w14:paraId="0D345653" w14:textId="77777777" w:rsidR="008E3D69" w:rsidRDefault="008E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397DC0"/>
    <w:multiLevelType w:val="hybridMultilevel"/>
    <w:tmpl w:val="45DECBBC"/>
    <w:lvl w:ilvl="0" w:tplc="DCEE1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5D"/>
    <w:multiLevelType w:val="hybridMultilevel"/>
    <w:tmpl w:val="5B5EB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B26504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4705D"/>
    <w:multiLevelType w:val="hybridMultilevel"/>
    <w:tmpl w:val="C7E2C492"/>
    <w:lvl w:ilvl="0" w:tplc="04090005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8" w15:restartNumberingAfterBreak="0">
    <w:nsid w:val="0A11592B"/>
    <w:multiLevelType w:val="hybridMultilevel"/>
    <w:tmpl w:val="2474BEAA"/>
    <w:lvl w:ilvl="0" w:tplc="4994380A">
      <w:start w:val="5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B143987"/>
    <w:multiLevelType w:val="hybridMultilevel"/>
    <w:tmpl w:val="53D47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22E0A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E4082"/>
    <w:multiLevelType w:val="hybridMultilevel"/>
    <w:tmpl w:val="19227A0E"/>
    <w:lvl w:ilvl="0" w:tplc="35AC7AE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E2EC6"/>
    <w:multiLevelType w:val="hybridMultilevel"/>
    <w:tmpl w:val="2B6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317B8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02907"/>
    <w:multiLevelType w:val="hybridMultilevel"/>
    <w:tmpl w:val="ECA299A6"/>
    <w:lvl w:ilvl="0" w:tplc="010EE8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96A3B"/>
    <w:multiLevelType w:val="hybridMultilevel"/>
    <w:tmpl w:val="2C3C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05B33"/>
    <w:multiLevelType w:val="hybridMultilevel"/>
    <w:tmpl w:val="3E767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BA29E3"/>
    <w:multiLevelType w:val="hybridMultilevel"/>
    <w:tmpl w:val="CB0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5F5F0D"/>
    <w:multiLevelType w:val="hybridMultilevel"/>
    <w:tmpl w:val="A3300504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7E02754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C8A0DD8"/>
    <w:multiLevelType w:val="hybridMultilevel"/>
    <w:tmpl w:val="8C5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364739"/>
    <w:multiLevelType w:val="hybridMultilevel"/>
    <w:tmpl w:val="586A5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6237AE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8D6948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93148D"/>
    <w:multiLevelType w:val="hybridMultilevel"/>
    <w:tmpl w:val="3BD834CA"/>
    <w:lvl w:ilvl="0" w:tplc="32A20062">
      <w:start w:val="10"/>
      <w:numFmt w:val="bullet"/>
      <w:lvlText w:val="─"/>
      <w:lvlJc w:val="left"/>
      <w:pPr>
        <w:ind w:left="1680" w:hanging="42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AD4DC6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D6512"/>
    <w:multiLevelType w:val="hybridMultilevel"/>
    <w:tmpl w:val="53A8DA40"/>
    <w:lvl w:ilvl="0" w:tplc="EFFE7C04">
      <w:start w:val="1"/>
      <w:numFmt w:val="bullet"/>
      <w:lvlText w:val="•"/>
      <w:lvlJc w:val="left"/>
      <w:pPr>
        <w:ind w:left="800" w:hanging="400"/>
      </w:pPr>
      <w:rPr>
        <w:rFonts w:ascii="Batang" w:eastAsia="Batang" w:hAnsi="Batang" w:hint="eastAsia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11121BAA">
      <w:start w:val="1"/>
      <w:numFmt w:val="bullet"/>
      <w:lvlText w:val="-"/>
      <w:lvlJc w:val="left"/>
      <w:pPr>
        <w:ind w:left="1600" w:hanging="400"/>
      </w:pPr>
      <w:rPr>
        <w:rFonts w:ascii="Courier New" w:hAnsi="Courier New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4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53574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769BA"/>
    <w:multiLevelType w:val="hybridMultilevel"/>
    <w:tmpl w:val="B80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DC2E59"/>
    <w:multiLevelType w:val="hybridMultilevel"/>
    <w:tmpl w:val="A86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F576D"/>
    <w:multiLevelType w:val="hybridMultilevel"/>
    <w:tmpl w:val="6EC8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316FF3"/>
    <w:multiLevelType w:val="hybridMultilevel"/>
    <w:tmpl w:val="14428C48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4F9607E"/>
    <w:multiLevelType w:val="hybridMultilevel"/>
    <w:tmpl w:val="FDAA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1341D9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93883"/>
    <w:multiLevelType w:val="hybridMultilevel"/>
    <w:tmpl w:val="18F8221A"/>
    <w:lvl w:ilvl="0" w:tplc="6060B10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3E32BE"/>
    <w:multiLevelType w:val="hybridMultilevel"/>
    <w:tmpl w:val="89560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791A2C"/>
    <w:multiLevelType w:val="hybridMultilevel"/>
    <w:tmpl w:val="A8AA08AA"/>
    <w:lvl w:ilvl="0" w:tplc="F43C309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267240D"/>
    <w:multiLevelType w:val="hybridMultilevel"/>
    <w:tmpl w:val="ACB070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A4171A"/>
    <w:multiLevelType w:val="hybridMultilevel"/>
    <w:tmpl w:val="B6DCA1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441474"/>
    <w:multiLevelType w:val="hybridMultilevel"/>
    <w:tmpl w:val="3842CD72"/>
    <w:lvl w:ilvl="0" w:tplc="6E9A909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A53BAD"/>
    <w:multiLevelType w:val="hybridMultilevel"/>
    <w:tmpl w:val="09D80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0092AA9"/>
    <w:multiLevelType w:val="hybridMultilevel"/>
    <w:tmpl w:val="D0C0F3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2763B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0B61B8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63692F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8D81F0F"/>
    <w:multiLevelType w:val="hybridMultilevel"/>
    <w:tmpl w:val="5002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2B7E4B"/>
    <w:multiLevelType w:val="hybridMultilevel"/>
    <w:tmpl w:val="51B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4E1617"/>
    <w:multiLevelType w:val="hybridMultilevel"/>
    <w:tmpl w:val="20D85944"/>
    <w:lvl w:ilvl="0" w:tplc="AE22B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CB5E00"/>
    <w:multiLevelType w:val="hybridMultilevel"/>
    <w:tmpl w:val="90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0B6DC9"/>
    <w:multiLevelType w:val="hybridMultilevel"/>
    <w:tmpl w:val="FF24B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49625BE"/>
    <w:multiLevelType w:val="hybridMultilevel"/>
    <w:tmpl w:val="EB22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BF39A9"/>
    <w:multiLevelType w:val="hybridMultilevel"/>
    <w:tmpl w:val="9C9EF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985CED"/>
    <w:multiLevelType w:val="hybridMultilevel"/>
    <w:tmpl w:val="19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932FBB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F67D0A"/>
    <w:multiLevelType w:val="hybridMultilevel"/>
    <w:tmpl w:val="ADE846B4"/>
    <w:lvl w:ilvl="0" w:tplc="66F2E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4836A3"/>
    <w:multiLevelType w:val="hybridMultilevel"/>
    <w:tmpl w:val="833AE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FA43A40"/>
    <w:multiLevelType w:val="hybridMultilevel"/>
    <w:tmpl w:val="F252D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AA742B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B92FB7"/>
    <w:multiLevelType w:val="hybridMultilevel"/>
    <w:tmpl w:val="7DC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9A6949"/>
    <w:multiLevelType w:val="hybridMultilevel"/>
    <w:tmpl w:val="CED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3F03AF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7BE74A0"/>
    <w:multiLevelType w:val="hybridMultilevel"/>
    <w:tmpl w:val="FB4C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AC68B7"/>
    <w:multiLevelType w:val="hybridMultilevel"/>
    <w:tmpl w:val="2216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B539F3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DF589D"/>
    <w:multiLevelType w:val="hybridMultilevel"/>
    <w:tmpl w:val="8358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6" w15:restartNumberingAfterBreak="0">
    <w:nsid w:val="7EF55E4E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3"/>
  </w:num>
  <w:num w:numId="3">
    <w:abstractNumId w:val="85"/>
  </w:num>
  <w:num w:numId="4">
    <w:abstractNumId w:val="83"/>
  </w:num>
  <w:num w:numId="5">
    <w:abstractNumId w:val="75"/>
  </w:num>
  <w:num w:numId="6">
    <w:abstractNumId w:val="47"/>
  </w:num>
  <w:num w:numId="7">
    <w:abstractNumId w:val="21"/>
  </w:num>
  <w:num w:numId="8">
    <w:abstractNumId w:val="87"/>
  </w:num>
  <w:num w:numId="9">
    <w:abstractNumId w:val="30"/>
  </w:num>
  <w:num w:numId="10">
    <w:abstractNumId w:val="76"/>
  </w:num>
  <w:num w:numId="11">
    <w:abstractNumId w:val="45"/>
  </w:num>
  <w:num w:numId="12">
    <w:abstractNumId w:val="5"/>
  </w:num>
  <w:num w:numId="13">
    <w:abstractNumId w:val="19"/>
  </w:num>
  <w:num w:numId="14">
    <w:abstractNumId w:val="84"/>
  </w:num>
  <w:num w:numId="15">
    <w:abstractNumId w:val="37"/>
  </w:num>
  <w:num w:numId="16">
    <w:abstractNumId w:val="77"/>
  </w:num>
  <w:num w:numId="17">
    <w:abstractNumId w:val="33"/>
  </w:num>
  <w:num w:numId="18">
    <w:abstractNumId w:val="67"/>
  </w:num>
  <w:num w:numId="19">
    <w:abstractNumId w:val="67"/>
  </w:num>
  <w:num w:numId="20">
    <w:abstractNumId w:val="67"/>
  </w:num>
  <w:num w:numId="21">
    <w:abstractNumId w:val="61"/>
  </w:num>
  <w:num w:numId="22">
    <w:abstractNumId w:val="16"/>
  </w:num>
  <w:num w:numId="23">
    <w:abstractNumId w:val="25"/>
  </w:num>
  <w:num w:numId="24">
    <w:abstractNumId w:val="20"/>
  </w:num>
  <w:num w:numId="25">
    <w:abstractNumId w:val="67"/>
  </w:num>
  <w:num w:numId="26">
    <w:abstractNumId w:val="60"/>
  </w:num>
  <w:num w:numId="27">
    <w:abstractNumId w:val="69"/>
  </w:num>
  <w:num w:numId="28">
    <w:abstractNumId w:val="36"/>
  </w:num>
  <w:num w:numId="29">
    <w:abstractNumId w:val="3"/>
  </w:num>
  <w:num w:numId="30">
    <w:abstractNumId w:val="38"/>
  </w:num>
  <w:num w:numId="31">
    <w:abstractNumId w:val="65"/>
  </w:num>
  <w:num w:numId="32">
    <w:abstractNumId w:val="15"/>
  </w:num>
  <w:num w:numId="33">
    <w:abstractNumId w:val="44"/>
  </w:num>
  <w:num w:numId="34">
    <w:abstractNumId w:val="46"/>
  </w:num>
  <w:num w:numId="35">
    <w:abstractNumId w:val="65"/>
  </w:num>
  <w:num w:numId="36">
    <w:abstractNumId w:val="28"/>
  </w:num>
  <w:num w:numId="37">
    <w:abstractNumId w:val="48"/>
  </w:num>
  <w:num w:numId="38">
    <w:abstractNumId w:val="67"/>
  </w:num>
  <w:num w:numId="39">
    <w:abstractNumId w:val="17"/>
  </w:num>
  <w:num w:numId="40">
    <w:abstractNumId w:val="68"/>
  </w:num>
  <w:num w:numId="41">
    <w:abstractNumId w:val="52"/>
  </w:num>
  <w:num w:numId="42">
    <w:abstractNumId w:val="32"/>
  </w:num>
  <w:num w:numId="43">
    <w:abstractNumId w:val="8"/>
  </w:num>
  <w:num w:numId="44">
    <w:abstractNumId w:val="7"/>
  </w:num>
  <w:num w:numId="45">
    <w:abstractNumId w:val="54"/>
  </w:num>
  <w:num w:numId="46">
    <w:abstractNumId w:val="59"/>
  </w:num>
  <w:num w:numId="47">
    <w:abstractNumId w:val="78"/>
  </w:num>
  <w:num w:numId="48">
    <w:abstractNumId w:val="62"/>
  </w:num>
  <w:num w:numId="49">
    <w:abstractNumId w:val="18"/>
  </w:num>
  <w:num w:numId="50">
    <w:abstractNumId w:val="63"/>
  </w:num>
  <w:num w:numId="51">
    <w:abstractNumId w:val="34"/>
  </w:num>
  <w:num w:numId="52">
    <w:abstractNumId w:val="49"/>
  </w:num>
  <w:num w:numId="53">
    <w:abstractNumId w:val="73"/>
  </w:num>
  <w:num w:numId="54">
    <w:abstractNumId w:val="9"/>
  </w:num>
  <w:num w:numId="55">
    <w:abstractNumId w:val="39"/>
  </w:num>
  <w:num w:numId="56">
    <w:abstractNumId w:val="22"/>
  </w:num>
  <w:num w:numId="57">
    <w:abstractNumId w:val="29"/>
  </w:num>
  <w:num w:numId="58">
    <w:abstractNumId w:val="24"/>
  </w:num>
  <w:num w:numId="59">
    <w:abstractNumId w:val="51"/>
  </w:num>
  <w:num w:numId="60">
    <w:abstractNumId w:val="72"/>
  </w:num>
  <w:num w:numId="61">
    <w:abstractNumId w:val="50"/>
  </w:num>
  <w:num w:numId="62">
    <w:abstractNumId w:val="11"/>
  </w:num>
  <w:num w:numId="63">
    <w:abstractNumId w:val="81"/>
  </w:num>
  <w:num w:numId="64">
    <w:abstractNumId w:val="41"/>
  </w:num>
  <w:num w:numId="65">
    <w:abstractNumId w:val="43"/>
  </w:num>
  <w:num w:numId="66">
    <w:abstractNumId w:val="56"/>
  </w:num>
  <w:num w:numId="67">
    <w:abstractNumId w:val="10"/>
  </w:num>
  <w:num w:numId="68">
    <w:abstractNumId w:val="35"/>
  </w:num>
  <w:num w:numId="69">
    <w:abstractNumId w:val="13"/>
  </w:num>
  <w:num w:numId="70">
    <w:abstractNumId w:val="55"/>
  </w:num>
  <w:num w:numId="71">
    <w:abstractNumId w:val="74"/>
  </w:num>
  <w:num w:numId="72">
    <w:abstractNumId w:val="66"/>
  </w:num>
  <w:num w:numId="73">
    <w:abstractNumId w:val="31"/>
  </w:num>
  <w:num w:numId="74">
    <w:abstractNumId w:val="70"/>
  </w:num>
  <w:num w:numId="75">
    <w:abstractNumId w:val="6"/>
  </w:num>
  <w:num w:numId="76">
    <w:abstractNumId w:val="26"/>
  </w:num>
  <w:num w:numId="77">
    <w:abstractNumId w:val="57"/>
  </w:num>
  <w:num w:numId="78">
    <w:abstractNumId w:val="58"/>
  </w:num>
  <w:num w:numId="79">
    <w:abstractNumId w:val="14"/>
  </w:num>
  <w:num w:numId="80">
    <w:abstractNumId w:val="27"/>
  </w:num>
  <w:num w:numId="81">
    <w:abstractNumId w:val="40"/>
  </w:num>
  <w:num w:numId="82">
    <w:abstractNumId w:val="2"/>
  </w:num>
  <w:num w:numId="83">
    <w:abstractNumId w:val="71"/>
  </w:num>
  <w:num w:numId="84">
    <w:abstractNumId w:val="64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</w:num>
  <w:num w:numId="93">
    <w:abstractNumId w:val="42"/>
  </w:num>
  <w:num w:numId="94">
    <w:abstractNumId w:val="8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0FB2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E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247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AD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03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6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1F8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D23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E4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7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0b\Docs\R1-200232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0b\Docs\R1-2002041.zip" TargetMode="External"/><Relationship Id="rId17" Type="http://schemas.openxmlformats.org/officeDocument/2006/relationships/hyperlink" Target="file:///C:\Users\wanshic\OneDrive%20-%20Qualcomm\Documents\Standards\3GPP%20Standards\Meeting%20Documents\TSGR1_100b\Docs\R1-2002489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0b\Docs\R1-200248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0b\Docs\R1-2001978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0b\Docs\R1-2002402.zip" TargetMode="External"/><Relationship Id="rId10" Type="http://schemas.openxmlformats.org/officeDocument/2006/relationships/hyperlink" Target="file:///C:\Users\wanshic\OneDrive%20-%20Qualcomm\Documents\Standards\3GPP%20Standards\Meeting%20Documents\TSGR1_100b\Docs\R1-2001964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1661.zip" TargetMode="External"/><Relationship Id="rId14" Type="http://schemas.openxmlformats.org/officeDocument/2006/relationships/hyperlink" Target="file:///C:\Users\wanshic\OneDrive%20-%20Qualcomm\Documents\Standards\3GPP%20Standards\Meeting%20Documents\TSGR1_100b\Docs\R1-200238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92F7-1CCD-4EED-B893-CD5EC9E4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710</TotalTime>
  <Pages>3</Pages>
  <Words>1472</Words>
  <Characters>11925</Characters>
  <Application>Microsoft Office Word</Application>
  <DocSecurity>0</DocSecurity>
  <Lines>99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13371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Ricardo Blasco</cp:lastModifiedBy>
  <cp:revision>32</cp:revision>
  <cp:lastPrinted>2013-05-13T15:37:00Z</cp:lastPrinted>
  <dcterms:created xsi:type="dcterms:W3CDTF">2020-04-17T08:49:00Z</dcterms:created>
  <dcterms:modified xsi:type="dcterms:W3CDTF">2020-04-20T09:46:00Z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507fff30-11c8-4c68-b9f8-55235b2d9288</vt:lpwstr>
  </property>
  <property fmtid="{D5CDD505-2E9C-101B-9397-08002B2CF9AE}" pid="3" name="CTP_TimeStamp">
    <vt:lpwstr>2020-04-20 06:41:21Z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