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69CEFD5F" w:rsidR="0051424F" w:rsidRDefault="003327F3" w:rsidP="003327F3">
      <w:pPr>
        <w:pStyle w:val="BodyText"/>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Heading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proofErr w:type="spellStart"/>
      <w:r w:rsidR="000114C1" w:rsidRPr="007918EB">
        <w:rPr>
          <w:rFonts w:asciiTheme="minorHAnsi" w:hAnsiTheme="minorHAnsi" w:cstheme="minorHAnsi"/>
          <w:b/>
          <w:i/>
          <w:iCs/>
          <w:sz w:val="28"/>
          <w:szCs w:val="28"/>
          <w:lang w:val="en-GB"/>
        </w:rPr>
        <w:t>tdd</w:t>
      </w:r>
      <w:proofErr w:type="spellEnd"/>
      <w:r w:rsidR="000114C1" w:rsidRPr="007918EB">
        <w:rPr>
          <w:rFonts w:asciiTheme="minorHAnsi" w:hAnsiTheme="minorHAnsi" w:cstheme="minorHAnsi"/>
          <w:b/>
          <w:i/>
          <w:iCs/>
          <w:sz w:val="28"/>
          <w:szCs w:val="28"/>
          <w:lang w:val="en-GB"/>
        </w:rPr>
        <w:t>-UL-DL-</w:t>
      </w:r>
      <w:proofErr w:type="spellStart"/>
      <w:r w:rsidR="000114C1" w:rsidRPr="007918EB">
        <w:rPr>
          <w:rFonts w:asciiTheme="minorHAnsi" w:hAnsiTheme="minorHAnsi" w:cstheme="minorHAnsi"/>
          <w:b/>
          <w:i/>
          <w:iCs/>
          <w:sz w:val="28"/>
          <w:szCs w:val="28"/>
          <w:lang w:val="en-GB"/>
        </w:rPr>
        <w:t>ConfigDedicated</w:t>
      </w:r>
      <w:proofErr w:type="spellEnd"/>
      <w:r w:rsidR="000114C1" w:rsidRPr="007918EB">
        <w:rPr>
          <w:rFonts w:asciiTheme="minorHAnsi" w:hAnsiTheme="minorHAnsi" w:cstheme="minorHAnsi"/>
          <w:b/>
          <w:i/>
          <w:iCs/>
          <w:sz w:val="28"/>
          <w:szCs w:val="28"/>
          <w:lang w:val="en-GB"/>
        </w:rPr>
        <w:t>-IAB-MT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for an IAB-node MT is similar to 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ConfigurationDedicated</w:t>
      </w:r>
      <w:proofErr w:type="spellEnd"/>
      <w:r w:rsidR="004B017D" w:rsidRPr="00190804">
        <w:rPr>
          <w:rFonts w:ascii="Calibri" w:eastAsia="Calibri" w:hAnsi="Calibri"/>
          <w:sz w:val="22"/>
          <w:szCs w:val="22"/>
        </w:rPr>
        <w:t xml:space="preserve"> for a UE in Section 11 of TS 38.213 except that new slot formats for an IAB-node MT can be indicated by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are described. However, though it may be straightforward, the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have not been captured. Consequently, when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w:t>
            </w:r>
            <w:r>
              <w:rPr>
                <w:rFonts w:ascii="Calibri" w:eastAsia="Calibri" w:hAnsi="Calibri"/>
                <w:sz w:val="22"/>
                <w:szCs w:val="22"/>
              </w:rPr>
              <w:t>and</w:t>
            </w:r>
            <w:r w:rsidRPr="00190804">
              <w:rPr>
                <w:rFonts w:ascii="Calibri" w:eastAsia="Calibri" w:hAnsi="Calibri"/>
                <w:sz w:val="22"/>
                <w:szCs w:val="22"/>
              </w:rPr>
              <w:t xml:space="preserve">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r w:rsidR="00D10A74" w14:paraId="42D5F971" w14:textId="77777777" w:rsidTr="00777ADF">
        <w:tc>
          <w:tcPr>
            <w:tcW w:w="1696" w:type="dxa"/>
          </w:tcPr>
          <w:p w14:paraId="55AD9657" w14:textId="757D7383" w:rsidR="00D10A74" w:rsidRPr="00D10A74" w:rsidRDefault="00D10A74" w:rsidP="00DA4E5D">
            <w:pPr>
              <w:rPr>
                <w:rFonts w:ascii="Calibri" w:eastAsia="Calibri" w:hAnsi="Calibri"/>
                <w:sz w:val="22"/>
                <w:szCs w:val="22"/>
              </w:rPr>
            </w:pPr>
            <w:r w:rsidRPr="00D10A74">
              <w:rPr>
                <w:rFonts w:ascii="Calibri" w:eastAsia="Calibri" w:hAnsi="Calibri"/>
                <w:sz w:val="22"/>
                <w:szCs w:val="22"/>
              </w:rPr>
              <w:t>Huawei</w:t>
            </w:r>
          </w:p>
        </w:tc>
        <w:tc>
          <w:tcPr>
            <w:tcW w:w="2265" w:type="dxa"/>
          </w:tcPr>
          <w:p w14:paraId="7F6D6590" w14:textId="5D2FBAF5" w:rsidR="00D10A74" w:rsidRPr="00D10A74" w:rsidRDefault="00D10A74" w:rsidP="00DA4E5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22DE3CFA" w14:textId="54C509E5" w:rsidR="00D10A74" w:rsidRPr="00D10A74" w:rsidRDefault="00D10A74" w:rsidP="00D10A74">
            <w:pPr>
              <w:rPr>
                <w:rFonts w:ascii="Calibri" w:eastAsiaTheme="minorEastAsia" w:hAnsi="Calibri"/>
                <w:sz w:val="22"/>
                <w:szCs w:val="22"/>
                <w:lang w:eastAsia="zh-CN"/>
              </w:rPr>
            </w:pPr>
            <w:r>
              <w:rPr>
                <w:rFonts w:ascii="Calibri" w:eastAsia="Calibri" w:hAnsi="Calibri"/>
                <w:sz w:val="22"/>
                <w:szCs w:val="22"/>
              </w:rPr>
              <w:t>T</w:t>
            </w:r>
            <w:r w:rsidRPr="00190804">
              <w:rPr>
                <w:rFonts w:ascii="Calibri" w:eastAsia="Calibri" w:hAnsi="Calibri"/>
                <w:sz w:val="22"/>
                <w:szCs w:val="22"/>
              </w:rPr>
              <w:t xml:space="preserve">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w:t>
            </w:r>
            <w:r>
              <w:rPr>
                <w:rFonts w:ascii="Calibri" w:eastAsia="Calibri" w:hAnsi="Calibri"/>
                <w:sz w:val="22"/>
                <w:szCs w:val="22"/>
              </w:rPr>
              <w:t>d</w:t>
            </w:r>
            <w:proofErr w:type="spellEnd"/>
            <w:r>
              <w:rPr>
                <w:rFonts w:ascii="Calibri" w:eastAsia="Calibri" w:hAnsi="Calibri"/>
                <w:sz w:val="22"/>
                <w:szCs w:val="22"/>
              </w:rPr>
              <w:t xml:space="preserve">-IAB-MT have not been captured in the </w:t>
            </w:r>
            <w:r w:rsidR="00477242" w:rsidRPr="00477242">
              <w:rPr>
                <w:rFonts w:ascii="Calibri" w:eastAsia="Calibri" w:hAnsi="Calibri" w:hint="eastAsia"/>
                <w:sz w:val="22"/>
                <w:szCs w:val="22"/>
              </w:rPr>
              <w:t>current</w:t>
            </w:r>
            <w:r w:rsidR="00477242" w:rsidRPr="00477242">
              <w:rPr>
                <w:rFonts w:ascii="Calibri" w:eastAsia="Calibri" w:hAnsi="Calibri"/>
                <w:sz w:val="22"/>
                <w:szCs w:val="22"/>
              </w:rPr>
              <w:t xml:space="preserve"> </w:t>
            </w:r>
            <w:r>
              <w:rPr>
                <w:rFonts w:ascii="Calibri" w:eastAsia="Calibri" w:hAnsi="Calibri"/>
                <w:sz w:val="22"/>
                <w:szCs w:val="22"/>
              </w:rPr>
              <w:t>spec.</w:t>
            </w:r>
          </w:p>
        </w:tc>
      </w:tr>
      <w:tr w:rsidR="00C96348" w14:paraId="5CD960BC" w14:textId="77777777" w:rsidTr="00777ADF">
        <w:tc>
          <w:tcPr>
            <w:tcW w:w="1696" w:type="dxa"/>
          </w:tcPr>
          <w:p w14:paraId="57846AA2" w14:textId="79B0FB66" w:rsidR="00C96348" w:rsidRPr="00D10A74" w:rsidRDefault="00C96348" w:rsidP="00DA4E5D">
            <w:pPr>
              <w:rPr>
                <w:rFonts w:ascii="Calibri" w:eastAsia="Calibri" w:hAnsi="Calibri"/>
                <w:sz w:val="22"/>
                <w:szCs w:val="22"/>
              </w:rPr>
            </w:pPr>
            <w:proofErr w:type="spellStart"/>
            <w:r>
              <w:rPr>
                <w:rFonts w:ascii="Calibri" w:eastAsia="Calibri" w:hAnsi="Calibri"/>
                <w:sz w:val="22"/>
                <w:szCs w:val="22"/>
              </w:rPr>
              <w:t>Qualcomnm</w:t>
            </w:r>
            <w:proofErr w:type="spellEnd"/>
          </w:p>
        </w:tc>
        <w:tc>
          <w:tcPr>
            <w:tcW w:w="2265" w:type="dxa"/>
          </w:tcPr>
          <w:p w14:paraId="0DFBA2C5" w14:textId="4D4F6D91" w:rsidR="00C96348" w:rsidRDefault="0064431F" w:rsidP="00DA4E5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9A011D9" w14:textId="4E768A38" w:rsidR="00C96348" w:rsidRDefault="00587D18" w:rsidP="00D10A74">
            <w:pPr>
              <w:rPr>
                <w:rFonts w:ascii="Calibri" w:eastAsia="Calibri" w:hAnsi="Calibri"/>
                <w:sz w:val="22"/>
                <w:szCs w:val="22"/>
              </w:rPr>
            </w:pPr>
            <w:r>
              <w:rPr>
                <w:rFonts w:ascii="Calibri" w:eastAsia="Calibri" w:hAnsi="Calibri"/>
                <w:sz w:val="22"/>
                <w:szCs w:val="22"/>
              </w:rPr>
              <w:t>Agree with AT&amp;T’s guidance on scope of the discussion.</w:t>
            </w:r>
          </w:p>
        </w:tc>
      </w:tr>
      <w:tr w:rsidR="00F77560" w14:paraId="48BD4D58" w14:textId="77777777" w:rsidTr="00777ADF">
        <w:tc>
          <w:tcPr>
            <w:tcW w:w="1696" w:type="dxa"/>
          </w:tcPr>
          <w:p w14:paraId="0E7D7A02" w14:textId="0FEB69CB" w:rsidR="00F77560" w:rsidRDefault="00F77560" w:rsidP="00DA4E5D">
            <w:pPr>
              <w:rPr>
                <w:rFonts w:ascii="Calibri" w:eastAsia="Calibri" w:hAnsi="Calibri"/>
                <w:sz w:val="22"/>
                <w:szCs w:val="22"/>
              </w:rPr>
            </w:pPr>
            <w:r>
              <w:rPr>
                <w:rFonts w:ascii="Calibri" w:eastAsia="Calibri" w:hAnsi="Calibri"/>
                <w:sz w:val="22"/>
                <w:szCs w:val="22"/>
              </w:rPr>
              <w:t>Sharp</w:t>
            </w:r>
          </w:p>
        </w:tc>
        <w:tc>
          <w:tcPr>
            <w:tcW w:w="2265" w:type="dxa"/>
          </w:tcPr>
          <w:p w14:paraId="7EBE4636" w14:textId="08C95C90" w:rsidR="00F77560" w:rsidRDefault="00F77560" w:rsidP="00DA4E5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4987B41" w14:textId="38A89020" w:rsidR="00F77560" w:rsidRDefault="00F77560" w:rsidP="00D10A74">
            <w:pPr>
              <w:rPr>
                <w:rFonts w:ascii="Calibri" w:eastAsia="Calibri" w:hAnsi="Calibri"/>
                <w:sz w:val="22"/>
                <w:szCs w:val="22"/>
              </w:rPr>
            </w:pPr>
            <w:r>
              <w:rPr>
                <w:rFonts w:ascii="Calibri" w:eastAsia="Calibri" w:hAnsi="Calibri"/>
                <w:sz w:val="22"/>
                <w:szCs w:val="22"/>
              </w:rPr>
              <w:t>We also agree with ATT’s comments/guidance here.</w:t>
            </w:r>
          </w:p>
        </w:tc>
      </w:tr>
    </w:tbl>
    <w:p w14:paraId="4BF99447" w14:textId="77777777" w:rsidR="00B16D0D" w:rsidRPr="00B16D0D" w:rsidRDefault="00B16D0D" w:rsidP="005560AC">
      <w:pPr>
        <w:rPr>
          <w:rFonts w:asciiTheme="minorHAnsi" w:hAnsiTheme="minorHAnsi" w:cstheme="minorHAnsi"/>
          <w:bCs/>
          <w:lang w:val="en-GB"/>
        </w:rPr>
      </w:pPr>
    </w:p>
    <w:p w14:paraId="4B2A272C" w14:textId="0A2AEEDE" w:rsidR="00BD1C69" w:rsidRDefault="00B71C8B" w:rsidP="000114C1">
      <w:pPr>
        <w:rPr>
          <w:rFonts w:asciiTheme="minorHAnsi" w:hAnsiTheme="minorHAnsi" w:cstheme="minorHAnsi"/>
          <w:b/>
          <w:lang w:val="en-GB"/>
        </w:rPr>
      </w:pPr>
      <w:r w:rsidRPr="000114C1">
        <w:rPr>
          <w:rFonts w:asciiTheme="minorHAnsi" w:hAnsiTheme="minorHAnsi" w:cstheme="minorHAnsi"/>
          <w:b/>
          <w:highlight w:val="yellow"/>
          <w:lang w:val="en-GB"/>
        </w:rPr>
        <w:t>Summary</w:t>
      </w:r>
      <w:r w:rsidR="000114C1">
        <w:rPr>
          <w:rFonts w:asciiTheme="minorHAnsi" w:hAnsiTheme="minorHAnsi" w:cstheme="minorHAnsi"/>
          <w:b/>
          <w:highlight w:val="yellow"/>
          <w:lang w:val="en-GB"/>
        </w:rPr>
        <w:t xml:space="preserve"> 2.1.1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w:t>
      </w:r>
      <w:proofErr w:type="spellStart"/>
      <w:r>
        <w:rPr>
          <w:rFonts w:ascii="Calibri" w:eastAsia="Calibri" w:hAnsi="Calibri"/>
          <w:sz w:val="22"/>
          <w:szCs w:val="22"/>
        </w:rPr>
        <w:t>MTs.</w:t>
      </w:r>
      <w:proofErr w:type="spellEnd"/>
      <w:r>
        <w:rPr>
          <w:rFonts w:ascii="Calibri" w:eastAsia="Calibri" w:hAnsi="Calibri"/>
          <w:sz w:val="22"/>
          <w:szCs w:val="22"/>
        </w:rPr>
        <w:t xml:space="preserve">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37C7B47" w14:textId="77777777" w:rsidTr="002262C8">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2262C8">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the maximum size of commonSearchSpaceListIAB-v16xy = 4</w:t>
            </w:r>
            <w:r w:rsidR="00574A72">
              <w:rPr>
                <w:rFonts w:ascii="Calibri" w:eastAsia="Calibri" w:hAnsi="Calibri"/>
                <w:sz w:val="22"/>
                <w:szCs w:val="22"/>
              </w:rPr>
              <w:t xml:space="preserve"> and inform RAN2</w:t>
            </w:r>
          </w:p>
        </w:tc>
      </w:tr>
      <w:tr w:rsidR="00D10A74" w14:paraId="42A571D3" w14:textId="77777777" w:rsidTr="002262C8">
        <w:tc>
          <w:tcPr>
            <w:tcW w:w="1696" w:type="dxa"/>
          </w:tcPr>
          <w:p w14:paraId="11394F52" w14:textId="6649C194" w:rsidR="00D10A74" w:rsidRPr="00D10A74" w:rsidRDefault="00D10A74" w:rsidP="00EF0778">
            <w:pPr>
              <w:rPr>
                <w:rFonts w:ascii="Calibri" w:eastAsia="Calibri" w:hAnsi="Calibri"/>
                <w:sz w:val="22"/>
                <w:szCs w:val="22"/>
              </w:rPr>
            </w:pPr>
            <w:r w:rsidRPr="00D10A74">
              <w:rPr>
                <w:rFonts w:ascii="Calibri" w:eastAsia="Calibri" w:hAnsi="Calibri" w:hint="eastAsia"/>
                <w:sz w:val="22"/>
                <w:szCs w:val="22"/>
              </w:rPr>
              <w:t>H</w:t>
            </w:r>
            <w:r w:rsidRPr="00D10A74">
              <w:rPr>
                <w:rFonts w:ascii="Calibri" w:eastAsia="Calibri" w:hAnsi="Calibri"/>
                <w:sz w:val="22"/>
                <w:szCs w:val="22"/>
              </w:rPr>
              <w:t>uawei</w:t>
            </w:r>
          </w:p>
        </w:tc>
        <w:tc>
          <w:tcPr>
            <w:tcW w:w="2265" w:type="dxa"/>
          </w:tcPr>
          <w:p w14:paraId="5EA4C7DE" w14:textId="6BD71445" w:rsidR="00D10A74" w:rsidRPr="008264A4" w:rsidRDefault="00D10A74" w:rsidP="00EF0778">
            <w:pPr>
              <w:rPr>
                <w:rFonts w:ascii="Calibri" w:eastAsia="Calibri" w:hAnsi="Calibri"/>
                <w:sz w:val="22"/>
                <w:szCs w:val="22"/>
              </w:rPr>
            </w:pPr>
            <w:r w:rsidRPr="00D10A74">
              <w:rPr>
                <w:rFonts w:ascii="Calibri" w:eastAsia="Calibri" w:hAnsi="Calibri"/>
                <w:sz w:val="22"/>
                <w:szCs w:val="22"/>
              </w:rPr>
              <w:t>Yes</w:t>
            </w:r>
          </w:p>
        </w:tc>
        <w:tc>
          <w:tcPr>
            <w:tcW w:w="6109" w:type="dxa"/>
          </w:tcPr>
          <w:p w14:paraId="729469A2" w14:textId="384A47FA" w:rsidR="00D10A74" w:rsidRPr="008264A4" w:rsidRDefault="00B663EB" w:rsidP="00EF0778">
            <w:pPr>
              <w:rPr>
                <w:rFonts w:ascii="Calibri" w:eastAsia="Calibri" w:hAnsi="Calibri"/>
                <w:sz w:val="22"/>
                <w:szCs w:val="22"/>
              </w:rPr>
            </w:pPr>
            <w:r w:rsidRPr="000E3AA1">
              <w:rPr>
                <w:rFonts w:ascii="Calibri" w:eastAsia="Calibri" w:hAnsi="Calibri"/>
                <w:sz w:val="22"/>
                <w:szCs w:val="22"/>
              </w:rPr>
              <w:t xml:space="preserve">RAN1 can agree on the number of </w:t>
            </w:r>
            <w:r w:rsidR="000E3AA1">
              <w:rPr>
                <w:rFonts w:ascii="Calibri" w:eastAsia="Calibri" w:hAnsi="Calibri"/>
                <w:sz w:val="22"/>
                <w:szCs w:val="22"/>
              </w:rPr>
              <w:t xml:space="preserve">common search spaces for IAB-MT and signaling </w:t>
            </w:r>
            <w:r w:rsidR="00477242">
              <w:rPr>
                <w:rFonts w:ascii="Calibri" w:eastAsia="Calibri" w:hAnsi="Calibri"/>
                <w:sz w:val="22"/>
                <w:szCs w:val="22"/>
              </w:rPr>
              <w:t xml:space="preserve">details </w:t>
            </w:r>
            <w:r w:rsidR="000E3AA1">
              <w:rPr>
                <w:rFonts w:ascii="Calibri" w:eastAsia="Calibri" w:hAnsi="Calibri"/>
                <w:sz w:val="22"/>
                <w:szCs w:val="22"/>
              </w:rPr>
              <w:t xml:space="preserve">can be up to RAN2, e.g. whether it should be in </w:t>
            </w:r>
            <w:proofErr w:type="spellStart"/>
            <w:r w:rsidR="000E3AA1" w:rsidRPr="000E3AA1">
              <w:rPr>
                <w:rFonts w:ascii="Calibri" w:eastAsia="Calibri" w:hAnsi="Calibri"/>
                <w:i/>
                <w:sz w:val="22"/>
                <w:szCs w:val="22"/>
              </w:rPr>
              <w:t>PDCCHConfigCommon</w:t>
            </w:r>
            <w:proofErr w:type="spellEnd"/>
            <w:r w:rsidR="000E3AA1">
              <w:rPr>
                <w:rFonts w:ascii="Calibri" w:eastAsia="Calibri" w:hAnsi="Calibri"/>
                <w:sz w:val="22"/>
                <w:szCs w:val="22"/>
              </w:rPr>
              <w:t xml:space="preserve"> or </w:t>
            </w:r>
            <w:r w:rsidR="000E3AA1" w:rsidRPr="000E3AA1">
              <w:rPr>
                <w:rFonts w:ascii="Calibri" w:eastAsia="Calibri" w:hAnsi="Calibri"/>
                <w:i/>
                <w:sz w:val="22"/>
                <w:szCs w:val="22"/>
              </w:rPr>
              <w:t>PDCCH-</w:t>
            </w:r>
            <w:proofErr w:type="spellStart"/>
            <w:r w:rsidR="000E3AA1" w:rsidRPr="000E3AA1">
              <w:rPr>
                <w:rFonts w:ascii="Calibri" w:eastAsia="Calibri" w:hAnsi="Calibri"/>
                <w:i/>
                <w:sz w:val="22"/>
                <w:szCs w:val="22"/>
              </w:rPr>
              <w:t>ServingCellConfig</w:t>
            </w:r>
            <w:proofErr w:type="spellEnd"/>
          </w:p>
        </w:tc>
      </w:tr>
      <w:tr w:rsidR="001D1FC3" w14:paraId="2B66A1AF" w14:textId="77777777" w:rsidTr="002262C8">
        <w:tc>
          <w:tcPr>
            <w:tcW w:w="1696" w:type="dxa"/>
          </w:tcPr>
          <w:p w14:paraId="58D098EA" w14:textId="3CBFCD13" w:rsidR="001D1FC3" w:rsidRPr="00D10A74" w:rsidRDefault="001D1FC3" w:rsidP="00EF0778">
            <w:pPr>
              <w:rPr>
                <w:rFonts w:ascii="Calibri" w:eastAsia="Calibri" w:hAnsi="Calibri"/>
                <w:sz w:val="22"/>
                <w:szCs w:val="22"/>
              </w:rPr>
            </w:pPr>
            <w:r>
              <w:rPr>
                <w:rFonts w:ascii="Calibri" w:eastAsia="Calibri" w:hAnsi="Calibri"/>
                <w:sz w:val="22"/>
                <w:szCs w:val="22"/>
              </w:rPr>
              <w:t>Qualcomm</w:t>
            </w:r>
          </w:p>
        </w:tc>
        <w:tc>
          <w:tcPr>
            <w:tcW w:w="2265" w:type="dxa"/>
          </w:tcPr>
          <w:p w14:paraId="5587350E" w14:textId="00B497CA" w:rsidR="001D1FC3" w:rsidRPr="00D10A74" w:rsidRDefault="001D1FC3" w:rsidP="00EF0778">
            <w:pPr>
              <w:rPr>
                <w:rFonts w:ascii="Calibri" w:eastAsia="Calibri" w:hAnsi="Calibri"/>
                <w:sz w:val="22"/>
                <w:szCs w:val="22"/>
              </w:rPr>
            </w:pPr>
            <w:r>
              <w:rPr>
                <w:rFonts w:ascii="Calibri" w:eastAsia="Calibri" w:hAnsi="Calibri"/>
                <w:sz w:val="22"/>
                <w:szCs w:val="22"/>
              </w:rPr>
              <w:t>Yes</w:t>
            </w:r>
          </w:p>
        </w:tc>
        <w:tc>
          <w:tcPr>
            <w:tcW w:w="6109" w:type="dxa"/>
          </w:tcPr>
          <w:p w14:paraId="3F0B3114" w14:textId="3B017D0F" w:rsidR="001D1FC3" w:rsidRPr="000E3AA1" w:rsidRDefault="001D1FC3" w:rsidP="00EF0778">
            <w:pPr>
              <w:rPr>
                <w:rFonts w:ascii="Calibri" w:eastAsia="Calibri" w:hAnsi="Calibri"/>
                <w:sz w:val="22"/>
                <w:szCs w:val="22"/>
              </w:rPr>
            </w:pPr>
            <w:r>
              <w:rPr>
                <w:rFonts w:ascii="Calibri" w:eastAsia="Calibri" w:hAnsi="Calibri"/>
                <w:sz w:val="22"/>
                <w:szCs w:val="22"/>
              </w:rPr>
              <w:t>Agree with AT&amp;T’s guidance on scope of the discussion.</w:t>
            </w:r>
          </w:p>
        </w:tc>
      </w:tr>
      <w:tr w:rsidR="00F77560" w14:paraId="0B21B7BB" w14:textId="77777777" w:rsidTr="002262C8">
        <w:tc>
          <w:tcPr>
            <w:tcW w:w="1696" w:type="dxa"/>
          </w:tcPr>
          <w:p w14:paraId="72FA241F" w14:textId="3693E600" w:rsidR="00F77560" w:rsidRDefault="00F77560" w:rsidP="00EF0778">
            <w:pPr>
              <w:rPr>
                <w:rFonts w:ascii="Calibri" w:eastAsia="Calibri" w:hAnsi="Calibri"/>
                <w:sz w:val="22"/>
                <w:szCs w:val="22"/>
              </w:rPr>
            </w:pPr>
            <w:r>
              <w:rPr>
                <w:rFonts w:ascii="Calibri" w:eastAsia="Calibri" w:hAnsi="Calibri"/>
                <w:sz w:val="22"/>
                <w:szCs w:val="22"/>
              </w:rPr>
              <w:t>Sharp</w:t>
            </w:r>
          </w:p>
        </w:tc>
        <w:tc>
          <w:tcPr>
            <w:tcW w:w="2265" w:type="dxa"/>
          </w:tcPr>
          <w:p w14:paraId="01489CFF" w14:textId="6B2D5905" w:rsidR="00F77560" w:rsidRDefault="00F77560" w:rsidP="00EF0778">
            <w:pPr>
              <w:rPr>
                <w:rFonts w:ascii="Calibri" w:eastAsia="Calibri" w:hAnsi="Calibri"/>
                <w:sz w:val="22"/>
                <w:szCs w:val="22"/>
              </w:rPr>
            </w:pPr>
            <w:r>
              <w:rPr>
                <w:rFonts w:ascii="Calibri" w:eastAsia="Calibri" w:hAnsi="Calibri"/>
                <w:sz w:val="22"/>
                <w:szCs w:val="22"/>
              </w:rPr>
              <w:t>Yes</w:t>
            </w:r>
          </w:p>
        </w:tc>
        <w:tc>
          <w:tcPr>
            <w:tcW w:w="6109" w:type="dxa"/>
          </w:tcPr>
          <w:p w14:paraId="59BB8D1F" w14:textId="24355A97" w:rsidR="00F77560" w:rsidRDefault="00F77560" w:rsidP="00EF0778">
            <w:pPr>
              <w:rPr>
                <w:rFonts w:ascii="Calibri" w:eastAsia="Calibri" w:hAnsi="Calibri"/>
                <w:sz w:val="22"/>
                <w:szCs w:val="22"/>
              </w:rPr>
            </w:pPr>
            <w:r>
              <w:rPr>
                <w:rFonts w:ascii="Calibri" w:eastAsia="Calibri" w:hAnsi="Calibri"/>
                <w:sz w:val="22"/>
                <w:szCs w:val="22"/>
              </w:rPr>
              <w:t>We also think that a limit on the number of CSSs should be determined, and inform RAN2</w:t>
            </w:r>
          </w:p>
        </w:tc>
      </w:tr>
    </w:tbl>
    <w:p w14:paraId="57939639" w14:textId="77777777" w:rsidR="00C34602" w:rsidRDefault="00C34602" w:rsidP="00C34602">
      <w:pPr>
        <w:rPr>
          <w:rFonts w:asciiTheme="minorHAnsi" w:hAnsiTheme="minorHAnsi" w:cstheme="minorHAnsi"/>
          <w:b/>
          <w:lang w:val="en-GB"/>
        </w:rPr>
      </w:pPr>
    </w:p>
    <w:p w14:paraId="53F6F162" w14:textId="15E5A408"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2.1.2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w:t>
      </w:r>
      <w:proofErr w:type="gramStart"/>
      <w:r w:rsidRPr="008D7B30">
        <w:rPr>
          <w:rFonts w:ascii="Calibri" w:eastAsia="Calibri" w:hAnsi="Calibri"/>
          <w:i/>
          <w:iCs/>
          <w:sz w:val="22"/>
          <w:szCs w:val="22"/>
        </w:rPr>
        <w:t>xy</w:t>
      </w:r>
      <w:r w:rsidRPr="008D7B30">
        <w:rPr>
          <w:rFonts w:ascii="Calibri" w:eastAsia="Calibri" w:hAnsi="Calibri"/>
          <w:sz w:val="22"/>
          <w:szCs w:val="22"/>
        </w:rPr>
        <w:t xml:space="preserve">  lists</w:t>
      </w:r>
      <w:proofErr w:type="gramEnd"/>
      <w:r w:rsidRPr="008D7B30">
        <w:rPr>
          <w:rFonts w:ascii="Calibri" w:eastAsia="Calibri" w:hAnsi="Calibri"/>
          <w:sz w:val="22"/>
          <w:szCs w:val="22"/>
        </w:rPr>
        <w:t xml:space="preserve">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E303B7C" w14:textId="77777777" w:rsidTr="002262C8">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2262C8">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 xml:space="preserve">RAN1 should confirm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w:t>
            </w:r>
            <w:proofErr w:type="gramStart"/>
            <w:r w:rsidRPr="005108FA">
              <w:rPr>
                <w:rFonts w:ascii="Calibri" w:eastAsia="Calibri" w:hAnsi="Calibri"/>
                <w:sz w:val="22"/>
                <w:szCs w:val="22"/>
              </w:rPr>
              <w:t>a</w:t>
            </w:r>
            <w:proofErr w:type="gramEnd"/>
            <w:r w:rsidRPr="005108FA">
              <w:rPr>
                <w:rFonts w:ascii="Calibri" w:eastAsia="Calibri" w:hAnsi="Calibri"/>
                <w:sz w:val="22"/>
                <w:szCs w:val="22"/>
              </w:rPr>
              <w:t xml:space="preserve">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 and inform RAN2.</w:t>
            </w:r>
          </w:p>
        </w:tc>
      </w:tr>
      <w:tr w:rsidR="000E3AA1" w14:paraId="4BD502A6" w14:textId="77777777" w:rsidTr="002262C8">
        <w:tc>
          <w:tcPr>
            <w:tcW w:w="1696" w:type="dxa"/>
          </w:tcPr>
          <w:p w14:paraId="0D6AFEBD" w14:textId="6665E1B2"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5CBB45C4" w14:textId="2BF4C5F1"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7705762" w14:textId="7AD5159B" w:rsidR="000E3AA1" w:rsidRPr="000E3AA1" w:rsidRDefault="000E3AA1" w:rsidP="000E3AA1">
            <w:p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AN1 should discuss the </w:t>
            </w:r>
            <w:r w:rsidR="00477242">
              <w:rPr>
                <w:rFonts w:ascii="Calibri" w:eastAsiaTheme="minorEastAsia" w:hAnsi="Calibri"/>
                <w:sz w:val="22"/>
                <w:szCs w:val="22"/>
                <w:lang w:eastAsia="zh-CN"/>
              </w:rPr>
              <w:t xml:space="preserve">following issues: the </w:t>
            </w:r>
            <w:r>
              <w:rPr>
                <w:rFonts w:ascii="Calibri" w:eastAsiaTheme="minorEastAsia" w:hAnsi="Calibri"/>
                <w:sz w:val="22"/>
                <w:szCs w:val="22"/>
                <w:lang w:eastAsia="zh-CN"/>
              </w:rPr>
              <w:t xml:space="preserve">search space for DCI format 2_5, the need of MT specific search space and the possible aggregation levels and number of candidates for DCI format 2_5. </w:t>
            </w:r>
          </w:p>
        </w:tc>
      </w:tr>
      <w:tr w:rsidR="001D1FC3" w14:paraId="1F191458" w14:textId="77777777" w:rsidTr="002262C8">
        <w:tc>
          <w:tcPr>
            <w:tcW w:w="1696" w:type="dxa"/>
          </w:tcPr>
          <w:p w14:paraId="4663F5CF" w14:textId="12543550"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3D9F0C0" w14:textId="01C6EF87"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AF5B477" w14:textId="5D95BC12" w:rsidR="001D1FC3" w:rsidRDefault="001D1FC3" w:rsidP="000E3AA1">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F77560" w14:paraId="78B246EA" w14:textId="77777777" w:rsidTr="002262C8">
        <w:tc>
          <w:tcPr>
            <w:tcW w:w="1696" w:type="dxa"/>
          </w:tcPr>
          <w:p w14:paraId="1A2CF8C2" w14:textId="50417343" w:rsidR="00F77560" w:rsidRDefault="00F77560" w:rsidP="00EF0778">
            <w:pPr>
              <w:rPr>
                <w:rFonts w:ascii="Calibri" w:eastAsiaTheme="minorEastAsia" w:hAnsi="Calibri"/>
                <w:sz w:val="22"/>
                <w:szCs w:val="22"/>
                <w:lang w:eastAsia="zh-CN"/>
              </w:rPr>
            </w:pPr>
            <w:r>
              <w:rPr>
                <w:rFonts w:ascii="Calibri" w:eastAsiaTheme="minorEastAsia" w:hAnsi="Calibri"/>
                <w:sz w:val="22"/>
                <w:szCs w:val="22"/>
                <w:lang w:eastAsia="zh-CN"/>
              </w:rPr>
              <w:t xml:space="preserve">Sharp </w:t>
            </w:r>
          </w:p>
        </w:tc>
        <w:tc>
          <w:tcPr>
            <w:tcW w:w="2265" w:type="dxa"/>
          </w:tcPr>
          <w:p w14:paraId="4A4FDA35" w14:textId="786DF48C" w:rsidR="00F77560" w:rsidRDefault="00F77560"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472F1C7" w14:textId="47A1B4A3" w:rsidR="00F77560" w:rsidRDefault="00F77560" w:rsidP="000E3AA1">
            <w:pPr>
              <w:rPr>
                <w:rFonts w:ascii="Calibri" w:eastAsia="Calibri" w:hAnsi="Calibri"/>
                <w:sz w:val="22"/>
                <w:szCs w:val="22"/>
              </w:rPr>
            </w:pPr>
            <w:r>
              <w:rPr>
                <w:rFonts w:ascii="Calibri" w:eastAsia="Calibri" w:hAnsi="Calibri"/>
                <w:sz w:val="22"/>
                <w:szCs w:val="22"/>
              </w:rPr>
              <w:t>Yes, as per AT&amp;T’s guidance on the scope.</w:t>
            </w:r>
          </w:p>
        </w:tc>
      </w:tr>
    </w:tbl>
    <w:p w14:paraId="19081E65" w14:textId="77777777" w:rsidR="00C34602" w:rsidRDefault="00C34602" w:rsidP="00C34602">
      <w:pPr>
        <w:rPr>
          <w:rFonts w:asciiTheme="minorHAnsi" w:hAnsiTheme="minorHAnsi" w:cstheme="minorHAnsi"/>
          <w:b/>
          <w:lang w:val="en-GB"/>
        </w:rPr>
      </w:pPr>
    </w:p>
    <w:p w14:paraId="6782C1C9" w14:textId="518F194B"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E8245F">
        <w:rPr>
          <w:rFonts w:asciiTheme="minorHAnsi" w:hAnsiTheme="minorHAnsi" w:cstheme="minorHAnsi"/>
          <w:b/>
          <w:highlight w:val="yellow"/>
          <w:lang w:val="en-GB"/>
        </w:rPr>
        <w:t>1</w:t>
      </w:r>
      <w:r>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Heading2"/>
      </w:pPr>
      <w:r>
        <w:lastRenderedPageBreak/>
        <w:t>Guard symbols for transitions between IAB-MT and IAB-DU</w:t>
      </w:r>
    </w:p>
    <w:p w14:paraId="5AF94F84" w14:textId="35A10054" w:rsidR="00C1230D" w:rsidRPr="00600AC9" w:rsidRDefault="00C1230D" w:rsidP="00600AC9">
      <w:pPr>
        <w:pStyle w:val="ListParagraph"/>
        <w:numPr>
          <w:ilvl w:val="2"/>
          <w:numId w:val="44"/>
        </w:numPr>
        <w:rPr>
          <w:rFonts w:asciiTheme="minorHAnsi" w:hAnsiTheme="minorHAnsi" w:cstheme="minorHAnsi"/>
          <w:b/>
          <w:lang w:val="en-GB"/>
        </w:rPr>
      </w:pPr>
      <w:r w:rsidRPr="00600AC9">
        <w:rPr>
          <w:rFonts w:asciiTheme="minorHAnsi" w:hAnsiTheme="minorHAnsi" w:cstheme="minorHAnsi"/>
          <w:b/>
          <w:i/>
          <w:iCs/>
          <w:sz w:val="28"/>
          <w:szCs w:val="28"/>
          <w:lang w:val="en-GB"/>
        </w:rPr>
        <w:t>Determination of transition location</w:t>
      </w:r>
      <w:r w:rsidR="004611E6" w:rsidRPr="00600AC9">
        <w:rPr>
          <w:rFonts w:asciiTheme="minorHAnsi" w:hAnsiTheme="minorHAnsi" w:cstheme="minorHAnsi"/>
          <w:b/>
          <w:i/>
          <w:iCs/>
          <w:sz w:val="28"/>
          <w:szCs w:val="28"/>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C1230D" w:rsidRPr="008040F5" w14:paraId="1CC8BD40" w14:textId="77777777" w:rsidTr="002262C8">
        <w:tc>
          <w:tcPr>
            <w:tcW w:w="1696" w:type="dxa"/>
          </w:tcPr>
          <w:p w14:paraId="2950CDC8" w14:textId="77777777" w:rsidR="00C1230D" w:rsidRPr="00585761" w:rsidRDefault="00C1230D" w:rsidP="002262C8">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2262C8">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2262C8">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2262C8">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2262C8">
        <w:tc>
          <w:tcPr>
            <w:tcW w:w="1696" w:type="dxa"/>
          </w:tcPr>
          <w:p w14:paraId="5C10F573" w14:textId="71BD09C6" w:rsidR="00C1230D" w:rsidRPr="00574A72" w:rsidRDefault="00574A72" w:rsidP="002262C8">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2262C8">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2262C8">
            <w:pPr>
              <w:rPr>
                <w:i/>
                <w:iCs/>
              </w:rPr>
            </w:pPr>
            <w:r w:rsidRPr="00147151">
              <w:rPr>
                <w:rFonts w:ascii="Calibri" w:eastAsia="Calibri" w:hAnsi="Calibri"/>
                <w:sz w:val="22"/>
                <w:szCs w:val="22"/>
              </w:rPr>
              <w:t>While we u</w:t>
            </w:r>
            <w:r>
              <w:rPr>
                <w:rFonts w:ascii="Calibri" w:eastAsia="Calibri" w:hAnsi="Calibri"/>
                <w:sz w:val="22"/>
                <w:szCs w:val="22"/>
              </w:rPr>
              <w:t>nderstand there may be scenarios where this issue may cause sub-optimal performance we are not sure if it is a critical maintenance issue for Rel-16, or should be handled in Rel-17 as an enhancement to the existing feature (and also considering new scenarios)</w:t>
            </w:r>
          </w:p>
        </w:tc>
      </w:tr>
      <w:tr w:rsidR="00600AC9" w14:paraId="0E4BB97A" w14:textId="77777777" w:rsidTr="002262C8">
        <w:tc>
          <w:tcPr>
            <w:tcW w:w="1696" w:type="dxa"/>
          </w:tcPr>
          <w:p w14:paraId="260E380E" w14:textId="0B357088" w:rsidR="00600AC9" w:rsidRPr="00600AC9" w:rsidRDefault="00600AC9" w:rsidP="002262C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0A892D1B" w14:textId="01A31641" w:rsidR="00600AC9" w:rsidRDefault="00600AC9" w:rsidP="002262C8">
            <w:pPr>
              <w:rPr>
                <w:rFonts w:ascii="Calibri" w:eastAsia="Calibri" w:hAnsi="Calibri"/>
                <w:sz w:val="22"/>
                <w:szCs w:val="22"/>
              </w:rPr>
            </w:pPr>
            <w:r>
              <w:rPr>
                <w:rFonts w:ascii="Calibri" w:eastAsia="Calibri" w:hAnsi="Calibri"/>
                <w:sz w:val="22"/>
                <w:szCs w:val="22"/>
              </w:rPr>
              <w:t>Not sure</w:t>
            </w:r>
          </w:p>
        </w:tc>
        <w:tc>
          <w:tcPr>
            <w:tcW w:w="6109" w:type="dxa"/>
          </w:tcPr>
          <w:p w14:paraId="4B942B3E" w14:textId="3F562332" w:rsidR="00600AC9" w:rsidRPr="00600AC9" w:rsidRDefault="00600AC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there spec is clear </w:t>
            </w:r>
            <w:r w:rsidR="001950A7">
              <w:rPr>
                <w:rFonts w:ascii="Calibri" w:eastAsiaTheme="minorEastAsia" w:hAnsi="Calibri"/>
                <w:sz w:val="22"/>
                <w:szCs w:val="22"/>
                <w:lang w:eastAsia="zh-CN"/>
              </w:rPr>
              <w:t>that the guard symbols are expected by the IAB-MT for the MT/DU transition. The spec has also captured the usage of Hard resources or soft resources that are indicated available. Hence the transition location</w:t>
            </w:r>
            <w:r w:rsidR="00477242">
              <w:rPr>
                <w:rFonts w:ascii="Calibri" w:eastAsiaTheme="minorEastAsia" w:hAnsi="Calibri"/>
                <w:sz w:val="22"/>
                <w:szCs w:val="22"/>
                <w:lang w:eastAsia="zh-CN"/>
              </w:rPr>
              <w:t>s between MT and DU have</w:t>
            </w:r>
            <w:r w:rsidR="001950A7">
              <w:rPr>
                <w:rFonts w:ascii="Calibri" w:eastAsiaTheme="minorEastAsia" w:hAnsi="Calibri"/>
                <w:sz w:val="22"/>
                <w:szCs w:val="22"/>
                <w:lang w:eastAsia="zh-CN"/>
              </w:rPr>
              <w:t xml:space="preserve"> been implicitly captured in the spec. We are not sure whether any further clarification is needed.</w:t>
            </w:r>
          </w:p>
        </w:tc>
      </w:tr>
      <w:tr w:rsidR="001D1FC3" w14:paraId="1E2C454E" w14:textId="77777777" w:rsidTr="002262C8">
        <w:tc>
          <w:tcPr>
            <w:tcW w:w="1696" w:type="dxa"/>
          </w:tcPr>
          <w:p w14:paraId="6057BCB3" w14:textId="5725189D" w:rsidR="001D1FC3" w:rsidRDefault="001D1FC3" w:rsidP="002262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0EF1591" w14:textId="07153274" w:rsidR="001D1FC3" w:rsidRDefault="001D1FC3" w:rsidP="002262C8">
            <w:pPr>
              <w:rPr>
                <w:rFonts w:ascii="Calibri" w:eastAsia="Calibri" w:hAnsi="Calibri"/>
                <w:sz w:val="22"/>
                <w:szCs w:val="22"/>
              </w:rPr>
            </w:pPr>
            <w:r>
              <w:rPr>
                <w:rFonts w:ascii="Calibri" w:eastAsia="Calibri" w:hAnsi="Calibri"/>
                <w:sz w:val="22"/>
                <w:szCs w:val="22"/>
              </w:rPr>
              <w:t>Yes</w:t>
            </w:r>
          </w:p>
        </w:tc>
        <w:tc>
          <w:tcPr>
            <w:tcW w:w="6109" w:type="dxa"/>
          </w:tcPr>
          <w:p w14:paraId="1A5323A9" w14:textId="540F607C" w:rsidR="00C63729" w:rsidRDefault="001D1FC3" w:rsidP="00477242">
            <w:pPr>
              <w:rPr>
                <w:rFonts w:ascii="Calibri" w:eastAsiaTheme="minorEastAsia" w:hAnsi="Calibri"/>
                <w:sz w:val="22"/>
                <w:szCs w:val="22"/>
                <w:lang w:eastAsia="zh-CN"/>
              </w:rPr>
            </w:pPr>
            <w:r>
              <w:rPr>
                <w:rFonts w:ascii="Calibri" w:eastAsiaTheme="minorEastAsia" w:hAnsi="Calibri"/>
                <w:sz w:val="22"/>
                <w:szCs w:val="22"/>
                <w:lang w:eastAsia="zh-CN"/>
              </w:rPr>
              <w:t>The introduction of guard symbols for MT</w:t>
            </w:r>
            <w:r w:rsidRPr="001D1FC3">
              <w:rPr>
                <w:rFonts w:ascii="Calibri" w:eastAsiaTheme="minorEastAsia" w:hAnsi="Calibri"/>
                <w:sz w:val="22"/>
                <w:szCs w:val="22"/>
                <w:lang w:eastAsia="zh-CN"/>
              </w:rPr>
              <w:sym w:font="Wingdings" w:char="F0DF"/>
            </w:r>
            <w:r w:rsidRPr="001D1FC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was introduced as an optimization. We think that if we want this optimization to be meaningful</w:t>
            </w:r>
            <w:r w:rsidR="0076300A">
              <w:rPr>
                <w:rFonts w:ascii="Calibri" w:eastAsiaTheme="minorEastAsia" w:hAnsi="Calibri"/>
                <w:sz w:val="22"/>
                <w:szCs w:val="22"/>
                <w:lang w:eastAsia="zh-CN"/>
              </w:rPr>
              <w:t>, then it should be complete.</w:t>
            </w:r>
          </w:p>
          <w:p w14:paraId="50DA9A5C" w14:textId="2011A983" w:rsidR="001D1FC3"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Our understanding is that a Vendor A parent node may have a different view from a Vendor B child node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occurring</w:t>
            </w:r>
            <w:r w:rsidR="00C63729">
              <w:rPr>
                <w:rFonts w:ascii="Calibri" w:eastAsiaTheme="minorEastAsia" w:hAnsi="Calibri"/>
                <w:sz w:val="22"/>
                <w:szCs w:val="22"/>
                <w:lang w:eastAsia="zh-CN"/>
              </w:rPr>
              <w:t xml:space="preserve"> at the child node</w:t>
            </w:r>
            <w:r>
              <w:rPr>
                <w:rFonts w:ascii="Calibri" w:eastAsiaTheme="minorEastAsia" w:hAnsi="Calibri"/>
                <w:sz w:val="22"/>
                <w:szCs w:val="22"/>
                <w:lang w:eastAsia="zh-CN"/>
              </w:rPr>
              <w:t>, and hence on when guard symbols need to be applied.</w:t>
            </w:r>
          </w:p>
          <w:p w14:paraId="0F1B1CCB" w14:textId="782B4DE5" w:rsidR="0076300A"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Perhaps the discussion can focus on companies stating </w:t>
            </w:r>
            <w:r w:rsidR="00C63729">
              <w:rPr>
                <w:rFonts w:ascii="Calibri" w:eastAsiaTheme="minorEastAsia" w:hAnsi="Calibri"/>
                <w:sz w:val="22"/>
                <w:szCs w:val="22"/>
                <w:lang w:eastAsia="zh-CN"/>
              </w:rPr>
              <w:t xml:space="preserve">explicitly </w:t>
            </w:r>
            <w:r>
              <w:rPr>
                <w:rFonts w:ascii="Calibri" w:eastAsiaTheme="minorEastAsia" w:hAnsi="Calibri"/>
                <w:sz w:val="22"/>
                <w:szCs w:val="22"/>
                <w:lang w:eastAsia="zh-CN"/>
              </w:rPr>
              <w:t>their understanding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happening at a node</w:t>
            </w:r>
            <w:r w:rsidR="00C63729">
              <w:rPr>
                <w:rFonts w:ascii="Calibri" w:eastAsiaTheme="minorEastAsia" w:hAnsi="Calibri"/>
                <w:sz w:val="22"/>
                <w:szCs w:val="22"/>
                <w:lang w:eastAsia="zh-CN"/>
              </w:rPr>
              <w:t xml:space="preserve"> (this should be </w:t>
            </w:r>
            <w:r>
              <w:rPr>
                <w:rFonts w:ascii="Calibri" w:eastAsiaTheme="minorEastAsia" w:hAnsi="Calibri"/>
                <w:sz w:val="22"/>
                <w:szCs w:val="22"/>
                <w:lang w:eastAsia="zh-CN"/>
              </w:rPr>
              <w:t>based solely on the information available at both the node and its parent node</w:t>
            </w:r>
            <w:r w:rsidR="00C63729">
              <w:rPr>
                <w:rFonts w:ascii="Calibri" w:eastAsiaTheme="minorEastAsia" w:hAnsi="Calibri"/>
                <w:sz w:val="22"/>
                <w:szCs w:val="22"/>
                <w:lang w:eastAsia="zh-CN"/>
              </w:rPr>
              <w:t>)</w:t>
            </w:r>
            <w:r>
              <w:rPr>
                <w:rFonts w:ascii="Calibri" w:eastAsiaTheme="minorEastAsia" w:hAnsi="Calibri"/>
                <w:sz w:val="22"/>
                <w:szCs w:val="22"/>
                <w:lang w:eastAsia="zh-CN"/>
              </w:rPr>
              <w:t xml:space="preserve">. Alternatively, since R1-2002535 provides explicitly one view of such understanding, companies can simply comment on whether their understanding aligns with that or not. </w:t>
            </w:r>
            <w:r w:rsidR="00C63729">
              <w:rPr>
                <w:rFonts w:ascii="Calibri" w:eastAsiaTheme="minorEastAsia" w:hAnsi="Calibri"/>
                <w:sz w:val="22"/>
                <w:szCs w:val="22"/>
                <w:lang w:eastAsia="zh-CN"/>
              </w:rPr>
              <w:t xml:space="preserve">If there is </w:t>
            </w:r>
            <w:proofErr w:type="gramStart"/>
            <w:r w:rsidR="00C63729">
              <w:rPr>
                <w:rFonts w:ascii="Calibri" w:eastAsiaTheme="minorEastAsia" w:hAnsi="Calibri"/>
                <w:sz w:val="22"/>
                <w:szCs w:val="22"/>
                <w:lang w:eastAsia="zh-CN"/>
              </w:rPr>
              <w:t>alignment</w:t>
            </w:r>
            <w:proofErr w:type="gramEnd"/>
            <w:r w:rsidR="00C63729">
              <w:rPr>
                <w:rFonts w:ascii="Calibri" w:eastAsiaTheme="minorEastAsia" w:hAnsi="Calibri"/>
                <w:sz w:val="22"/>
                <w:szCs w:val="22"/>
                <w:lang w:eastAsia="zh-CN"/>
              </w:rPr>
              <w:t xml:space="preserve"> then no further action would be strictly needed. If not, then we </w:t>
            </w:r>
            <w:r w:rsidR="00C63729">
              <w:rPr>
                <w:rFonts w:ascii="Calibri" w:eastAsiaTheme="minorEastAsia" w:hAnsi="Calibri"/>
                <w:sz w:val="22"/>
                <w:szCs w:val="22"/>
                <w:lang w:eastAsia="zh-CN"/>
              </w:rPr>
              <w:lastRenderedPageBreak/>
              <w:t>can determine whether it is worth to attempt to address in Rel-16 or accept that this optimization is likely not going to be working effectively in a multi-vendor environment.</w:t>
            </w:r>
          </w:p>
        </w:tc>
      </w:tr>
      <w:tr w:rsidR="00F77560" w14:paraId="5B6379CA" w14:textId="77777777" w:rsidTr="002262C8">
        <w:tc>
          <w:tcPr>
            <w:tcW w:w="1696" w:type="dxa"/>
          </w:tcPr>
          <w:p w14:paraId="556ED3FB" w14:textId="42C84AD3" w:rsidR="00F77560" w:rsidRDefault="00F77560" w:rsidP="002262C8">
            <w:pPr>
              <w:rPr>
                <w:rFonts w:ascii="Calibri" w:eastAsiaTheme="minorEastAsia" w:hAnsi="Calibri"/>
                <w:sz w:val="22"/>
                <w:szCs w:val="22"/>
                <w:lang w:eastAsia="zh-CN"/>
              </w:rPr>
            </w:pPr>
            <w:r>
              <w:rPr>
                <w:rFonts w:ascii="Calibri" w:eastAsiaTheme="minorEastAsia" w:hAnsi="Calibri"/>
                <w:sz w:val="22"/>
                <w:szCs w:val="22"/>
                <w:lang w:eastAsia="zh-CN"/>
              </w:rPr>
              <w:lastRenderedPageBreak/>
              <w:t>Sharp</w:t>
            </w:r>
          </w:p>
        </w:tc>
        <w:tc>
          <w:tcPr>
            <w:tcW w:w="2265" w:type="dxa"/>
          </w:tcPr>
          <w:p w14:paraId="17C721FF" w14:textId="06591620" w:rsidR="00F77560" w:rsidRDefault="00F77560" w:rsidP="002262C8">
            <w:pPr>
              <w:rPr>
                <w:rFonts w:ascii="Calibri" w:eastAsia="Calibri" w:hAnsi="Calibri"/>
                <w:sz w:val="22"/>
                <w:szCs w:val="22"/>
              </w:rPr>
            </w:pPr>
            <w:r>
              <w:rPr>
                <w:rFonts w:ascii="Calibri" w:eastAsia="Calibri" w:hAnsi="Calibri"/>
                <w:sz w:val="22"/>
                <w:szCs w:val="22"/>
              </w:rPr>
              <w:t>Not really.</w:t>
            </w:r>
          </w:p>
        </w:tc>
        <w:tc>
          <w:tcPr>
            <w:tcW w:w="6109" w:type="dxa"/>
          </w:tcPr>
          <w:p w14:paraId="4D6FF6FF" w14:textId="7FDB6FAD" w:rsidR="00F77560" w:rsidRDefault="00F77560" w:rsidP="00477242">
            <w:pPr>
              <w:rPr>
                <w:rFonts w:ascii="Calibri" w:eastAsiaTheme="minorEastAsia" w:hAnsi="Calibri"/>
                <w:sz w:val="22"/>
                <w:szCs w:val="22"/>
                <w:lang w:eastAsia="zh-CN"/>
              </w:rPr>
            </w:pPr>
            <w:r>
              <w:rPr>
                <w:rFonts w:ascii="Calibri" w:eastAsiaTheme="minorEastAsia" w:hAnsi="Calibri"/>
                <w:sz w:val="22"/>
                <w:szCs w:val="22"/>
                <w:lang w:eastAsia="zh-CN"/>
              </w:rPr>
              <w:t>We believe this issue can be addressed at least for Rel-16 by implementation, even though, as AT&amp;T points out, there could be sup-optimal performance in certain scenarios.</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B16D0D" w:rsidRDefault="00C1230D" w:rsidP="00C1230D">
      <w:pPr>
        <w:rPr>
          <w:rFonts w:asciiTheme="minorHAnsi" w:hAnsiTheme="minorHAnsi" w:cstheme="minorHAnsi"/>
          <w:bCs/>
          <w:lang w:val="en-GB"/>
        </w:rPr>
      </w:pPr>
    </w:p>
    <w:p w14:paraId="72EAF6D7" w14:textId="77777777"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68CFD9F8" w14:textId="77777777" w:rsidR="00C1230D" w:rsidRDefault="00C1230D" w:rsidP="00C1230D">
      <w:pPr>
        <w:rPr>
          <w:rFonts w:asciiTheme="minorHAnsi" w:hAnsiTheme="minorHAnsi" w:cstheme="minorHAnsi"/>
          <w:b/>
          <w:lang w:val="en-GB"/>
        </w:rPr>
      </w:pPr>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ABAA596" w14:textId="77777777" w:rsidTr="002262C8">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2262C8">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r w:rsidR="001950A7" w14:paraId="4FF034FA" w14:textId="77777777" w:rsidTr="002262C8">
        <w:tc>
          <w:tcPr>
            <w:tcW w:w="1696" w:type="dxa"/>
          </w:tcPr>
          <w:p w14:paraId="4CF39AB3" w14:textId="6EA150E0"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882A47D" w14:textId="5180D61A"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6ED12A0" w14:textId="6C858CF1" w:rsidR="001950A7" w:rsidRPr="001950A7" w:rsidRDefault="001950A7" w:rsidP="00477242">
            <w:pPr>
              <w:rPr>
                <w:rFonts w:ascii="Calibri" w:eastAsiaTheme="minorEastAsia" w:hAnsi="Calibri"/>
                <w:sz w:val="22"/>
                <w:szCs w:val="22"/>
                <w:lang w:eastAsia="zh-CN"/>
              </w:rPr>
            </w:pPr>
            <w:proofErr w:type="gramStart"/>
            <w:r>
              <w:rPr>
                <w:rFonts w:ascii="Calibri" w:eastAsiaTheme="minorEastAsia" w:hAnsi="Calibri"/>
                <w:sz w:val="22"/>
                <w:szCs w:val="22"/>
                <w:lang w:eastAsia="zh-CN"/>
              </w:rPr>
              <w:t>First</w:t>
            </w:r>
            <w:proofErr w:type="gramEnd"/>
            <w:r>
              <w:rPr>
                <w:rFonts w:ascii="Calibri" w:eastAsiaTheme="minorEastAsia" w:hAnsi="Calibri"/>
                <w:sz w:val="22"/>
                <w:szCs w:val="22"/>
                <w:lang w:eastAsia="zh-CN"/>
              </w:rPr>
              <w:t xml:space="preserve"> we think this is not a corner case since DU can be configured with flexible symbols in each slot. Second, we think the main problem without specifying the assumption is either performance waste or resource collision. Third, we think a simple rule will suffice to solve the probl</w:t>
            </w:r>
            <w:r w:rsidR="00477242">
              <w:rPr>
                <w:rFonts w:ascii="Calibri" w:eastAsiaTheme="minorEastAsia" w:hAnsi="Calibri"/>
                <w:sz w:val="22"/>
                <w:szCs w:val="22"/>
                <w:lang w:eastAsia="zh-CN"/>
              </w:rPr>
              <w:t>em without additional signaling.</w:t>
            </w:r>
          </w:p>
        </w:tc>
      </w:tr>
      <w:tr w:rsidR="00F2694E" w14:paraId="29353A80" w14:textId="77777777" w:rsidTr="002262C8">
        <w:tc>
          <w:tcPr>
            <w:tcW w:w="1696" w:type="dxa"/>
          </w:tcPr>
          <w:p w14:paraId="57B38619" w14:textId="23EAC482"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D2C46B3" w14:textId="68F6D623"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6A0FDCB" w14:textId="41242C03" w:rsidR="00F2694E" w:rsidRDefault="00F2694E" w:rsidP="00477242">
            <w:pPr>
              <w:rPr>
                <w:rFonts w:ascii="Calibri" w:eastAsiaTheme="minorEastAsia" w:hAnsi="Calibri"/>
                <w:sz w:val="22"/>
                <w:szCs w:val="22"/>
                <w:lang w:eastAsia="zh-CN"/>
              </w:rPr>
            </w:pPr>
            <w:r>
              <w:rPr>
                <w:rFonts w:ascii="Calibri" w:eastAsiaTheme="minorEastAsia" w:hAnsi="Calibri"/>
                <w:sz w:val="22"/>
                <w:szCs w:val="22"/>
                <w:lang w:eastAsia="zh-CN"/>
              </w:rPr>
              <w:t>While we agree this is an issue and have proposed a solution, we deem the priority of this issue lower than issue 2.2.1, so if we are constrained, our preference is to make sure we discuss 2.2.1 before we get to 2.2.2.</w:t>
            </w:r>
          </w:p>
        </w:tc>
      </w:tr>
      <w:tr w:rsidR="00F77560" w14:paraId="1AE1973F" w14:textId="77777777" w:rsidTr="002262C8">
        <w:tc>
          <w:tcPr>
            <w:tcW w:w="1696" w:type="dxa"/>
          </w:tcPr>
          <w:p w14:paraId="4ECB66DA" w14:textId="06328B5C" w:rsidR="00F77560" w:rsidRDefault="00F77560" w:rsidP="00574A72">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6C3589F7" w14:textId="06EEFB66" w:rsidR="00F77560" w:rsidRDefault="00F77560" w:rsidP="00574A72">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5CFAC197" w14:textId="5CE19CC5" w:rsidR="00F77560" w:rsidRDefault="00F77560" w:rsidP="00477242">
            <w:pPr>
              <w:rPr>
                <w:rFonts w:ascii="Calibri" w:eastAsiaTheme="minorEastAsia" w:hAnsi="Calibri"/>
                <w:sz w:val="22"/>
                <w:szCs w:val="22"/>
                <w:lang w:eastAsia="zh-CN"/>
              </w:rPr>
            </w:pPr>
            <w:r>
              <w:rPr>
                <w:rFonts w:ascii="Calibri" w:eastAsiaTheme="minorEastAsia" w:hAnsi="Calibri"/>
                <w:sz w:val="22"/>
                <w:szCs w:val="22"/>
                <w:lang w:eastAsia="zh-CN"/>
              </w:rPr>
              <w:t>We believe that this might be left to implementation.</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Strong"/>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 xml:space="preserve">In the current TS 38.213 specifications the </w:t>
      </w:r>
      <w:proofErr w:type="spellStart"/>
      <w:r w:rsidR="00221F1A" w:rsidRPr="00221F1A">
        <w:rPr>
          <w:rFonts w:asciiTheme="minorHAnsi" w:hAnsiTheme="minorHAnsi" w:cstheme="minorHAnsi"/>
          <w:bCs/>
          <w:lang w:val="en-GB"/>
        </w:rPr>
        <w:t>behavior</w:t>
      </w:r>
      <w:proofErr w:type="spellEnd"/>
      <w:r w:rsidR="00221F1A" w:rsidRPr="00221F1A">
        <w:rPr>
          <w:rFonts w:asciiTheme="minorHAnsi" w:hAnsiTheme="minorHAnsi" w:cstheme="minorHAnsi"/>
          <w:bCs/>
          <w:lang w:val="en-GB"/>
        </w:rPr>
        <w:t xml:space="preserve"> related to the guard symbols is described as follows:</w:t>
      </w:r>
    </w:p>
    <w:p w14:paraId="645ACE1C" w14:textId="77777777" w:rsidR="00221F1A" w:rsidRDefault="00221F1A" w:rsidP="00221F1A">
      <w:pPr>
        <w:rPr>
          <w:rStyle w:val="Strong"/>
          <w:b w:val="0"/>
          <w:bCs w:val="0"/>
        </w:rPr>
      </w:pPr>
    </w:p>
    <w:tbl>
      <w:tblPr>
        <w:tblStyle w:val="TableGrid"/>
        <w:tblW w:w="0" w:type="auto"/>
        <w:tblLook w:val="04A0" w:firstRow="1" w:lastRow="0" w:firstColumn="1" w:lastColumn="0" w:noHBand="0" w:noVBand="1"/>
      </w:tblPr>
      <w:tblGrid>
        <w:gridCol w:w="9629"/>
      </w:tblGrid>
      <w:tr w:rsidR="00221F1A" w14:paraId="022E5ED3" w14:textId="77777777" w:rsidTr="002262C8">
        <w:tc>
          <w:tcPr>
            <w:tcW w:w="9629" w:type="dxa"/>
          </w:tcPr>
          <w:p w14:paraId="0AA1F486" w14:textId="77777777" w:rsidR="00221F1A" w:rsidRDefault="00221F1A" w:rsidP="002262C8">
            <w:pPr>
              <w:rPr>
                <w:rStyle w:val="Strong"/>
                <w:b w:val="0"/>
                <w:bCs w:val="0"/>
              </w:rPr>
            </w:pPr>
            <w:r>
              <w:rPr>
                <w:rFonts w:eastAsia="SimSun"/>
                <w:lang w:eastAsia="zh-CN"/>
              </w:rPr>
              <w:t>For a serving cell of an IAB-node MT</w:t>
            </w:r>
            <w:r>
              <w:t>,</w:t>
            </w:r>
            <w:r w:rsidRPr="009861A4">
              <w:rPr>
                <w:rFonts w:eastAsia="SimSun"/>
                <w:lang w:eastAsia="zh-CN"/>
              </w:rPr>
              <w:t xml:space="preserve"> </w:t>
            </w:r>
            <w:r>
              <w:rPr>
                <w:rFonts w:eastAsia="SimSun"/>
                <w:lang w:eastAsia="zh-CN"/>
              </w:rPr>
              <w:t>the</w:t>
            </w:r>
            <w:r w:rsidRPr="009861A4">
              <w:rPr>
                <w:rFonts w:eastAsia="SimSun"/>
                <w:lang w:eastAsia="zh-CN"/>
              </w:rPr>
              <w:t xml:space="preserve"> IAB-node MT can be provided by </w:t>
            </w:r>
            <w:r w:rsidRPr="009861A4">
              <w:rPr>
                <w:rFonts w:eastAsia="SimSun"/>
                <w:i/>
                <w:iCs/>
                <w:lang w:eastAsia="zh-CN"/>
              </w:rPr>
              <w:t>guard-</w:t>
            </w:r>
            <w:proofErr w:type="spellStart"/>
            <w:r w:rsidRPr="009861A4">
              <w:rPr>
                <w:rFonts w:eastAsia="SimSun"/>
                <w:i/>
                <w:iCs/>
                <w:lang w:eastAsia="zh-CN"/>
              </w:rPr>
              <w:t>SymbolsProvided</w:t>
            </w:r>
            <w:proofErr w:type="spellEnd"/>
            <w:r w:rsidRPr="009861A4">
              <w:rPr>
                <w:rFonts w:eastAsia="SimSun"/>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Strong"/>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23D8FDA5" w14:textId="77777777" w:rsidTr="002262C8">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2262C8">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r w:rsidR="001950A7" w14:paraId="5F2A63C3" w14:textId="77777777" w:rsidTr="002262C8">
        <w:tc>
          <w:tcPr>
            <w:tcW w:w="1696" w:type="dxa"/>
          </w:tcPr>
          <w:p w14:paraId="7FC973F9" w14:textId="006357D6"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E7318DB" w14:textId="2AC05953"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508D7E12" w14:textId="54A4D350" w:rsidR="001950A7" w:rsidRPr="001950A7" w:rsidRDefault="001950A7" w:rsidP="00EF0778">
            <w:pPr>
              <w:rPr>
                <w:rFonts w:ascii="Calibri" w:eastAsiaTheme="minorEastAsia" w:hAnsi="Calibri"/>
                <w:sz w:val="22"/>
                <w:szCs w:val="22"/>
                <w:lang w:eastAsia="zh-CN"/>
              </w:rPr>
            </w:pPr>
            <w:r>
              <w:rPr>
                <w:rFonts w:ascii="Calibri" w:eastAsiaTheme="minorEastAsia" w:hAnsi="Calibri"/>
                <w:sz w:val="22"/>
                <w:szCs w:val="22"/>
                <w:lang w:eastAsia="zh-CN"/>
              </w:rPr>
              <w:t>Agree with AT&amp;T.</w:t>
            </w:r>
          </w:p>
        </w:tc>
      </w:tr>
      <w:tr w:rsidR="00A9439C" w14:paraId="2E8F739D" w14:textId="77777777" w:rsidTr="002262C8">
        <w:tc>
          <w:tcPr>
            <w:tcW w:w="1696" w:type="dxa"/>
          </w:tcPr>
          <w:p w14:paraId="309D53BE" w14:textId="428DFA2A"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EA25D9E" w14:textId="44330DC3"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5EE35B6" w14:textId="5B76E489"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In case of semi-persistent allocations it may not be easy to avoid conflicts between MT allocations and guard symbols</w:t>
            </w:r>
            <w:r w:rsidR="000C1B2A">
              <w:rPr>
                <w:rFonts w:ascii="Calibri" w:eastAsiaTheme="minorEastAsia" w:hAnsi="Calibri"/>
                <w:sz w:val="22"/>
                <w:szCs w:val="22"/>
                <w:lang w:eastAsia="zh-CN"/>
              </w:rPr>
              <w:t xml:space="preserve">, and in some cases it may not even be </w:t>
            </w:r>
            <w:proofErr w:type="gramStart"/>
            <w:r w:rsidR="000C1B2A">
              <w:rPr>
                <w:rFonts w:ascii="Calibri" w:eastAsiaTheme="minorEastAsia" w:hAnsi="Calibri"/>
                <w:sz w:val="22"/>
                <w:szCs w:val="22"/>
                <w:lang w:eastAsia="zh-CN"/>
              </w:rPr>
              <w:t>guaranteed,</w:t>
            </w:r>
            <w:r>
              <w:rPr>
                <w:rFonts w:ascii="Calibri" w:eastAsiaTheme="minorEastAsia" w:hAnsi="Calibri"/>
                <w:sz w:val="22"/>
                <w:szCs w:val="22"/>
                <w:lang w:eastAsia="zh-CN"/>
              </w:rPr>
              <w:t>.</w:t>
            </w:r>
            <w:proofErr w:type="gramEnd"/>
            <w:r>
              <w:rPr>
                <w:rFonts w:ascii="Calibri" w:eastAsiaTheme="minorEastAsia" w:hAnsi="Calibri"/>
                <w:sz w:val="22"/>
                <w:szCs w:val="22"/>
                <w:lang w:eastAsia="zh-CN"/>
              </w:rPr>
              <w:t xml:space="preserve"> Following the same principle we used in other similar contexts when conflicts could arise (e.g. conflicts of special signals/channels with NA resources at the DU, or what Rel-15 specifies for UEs in the context of downlink channels allocations that overlap with U symbols) the either we specify some rules to handle such scenarios or we should state clearly that the MT </w:t>
            </w:r>
            <w:r w:rsidRPr="00A9439C">
              <w:rPr>
                <w:rFonts w:ascii="Calibri" w:eastAsiaTheme="minorEastAsia" w:hAnsi="Calibri"/>
                <w:sz w:val="22"/>
                <w:szCs w:val="22"/>
                <w:lang w:eastAsia="zh-CN"/>
              </w:rPr>
              <w:t>does not expect to receive a schedule that (even partially) overlaps with the provided guard symbols</w:t>
            </w:r>
            <w:r>
              <w:rPr>
                <w:rFonts w:ascii="Calibri" w:eastAsiaTheme="minorEastAsia" w:hAnsi="Calibri"/>
                <w:sz w:val="22"/>
                <w:szCs w:val="22"/>
                <w:lang w:eastAsia="zh-CN"/>
              </w:rPr>
              <w:t xml:space="preserve">. Unless we want to leave the behavior to be undefined and left to the implementation, which could lead to </w:t>
            </w:r>
            <w:r w:rsidR="0035436B">
              <w:rPr>
                <w:rFonts w:ascii="Calibri" w:eastAsiaTheme="minorEastAsia" w:hAnsi="Calibri"/>
                <w:sz w:val="22"/>
                <w:szCs w:val="22"/>
                <w:lang w:eastAsia="zh-CN"/>
              </w:rPr>
              <w:t>system inefficiencies</w:t>
            </w:r>
            <w:r>
              <w:rPr>
                <w:rFonts w:ascii="Calibri" w:eastAsiaTheme="minorEastAsia" w:hAnsi="Calibri"/>
                <w:sz w:val="22"/>
                <w:szCs w:val="22"/>
                <w:lang w:eastAsia="zh-CN"/>
              </w:rPr>
              <w:t xml:space="preserve"> when parent and child nodes are from</w:t>
            </w:r>
            <w:r w:rsidR="0035436B">
              <w:rPr>
                <w:rFonts w:ascii="Calibri" w:eastAsiaTheme="minorEastAsia" w:hAnsi="Calibri"/>
                <w:sz w:val="22"/>
                <w:szCs w:val="22"/>
                <w:lang w:eastAsia="zh-CN"/>
              </w:rPr>
              <w:t xml:space="preserve"> different vendors.</w:t>
            </w:r>
          </w:p>
        </w:tc>
      </w:tr>
      <w:tr w:rsidR="00F77560" w14:paraId="07DC68B9" w14:textId="77777777" w:rsidTr="002262C8">
        <w:tc>
          <w:tcPr>
            <w:tcW w:w="1696" w:type="dxa"/>
          </w:tcPr>
          <w:p w14:paraId="5A7948E3" w14:textId="14E9DFF4" w:rsidR="00F77560" w:rsidRDefault="00F77560" w:rsidP="00EF0778">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79EE215A" w14:textId="44F87D0D" w:rsidR="00F77560" w:rsidRDefault="00F77560" w:rsidP="00EF0778">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3F826152" w14:textId="7EE33374" w:rsidR="00F77560" w:rsidRDefault="00F77560" w:rsidP="00EF0778">
            <w:pPr>
              <w:rPr>
                <w:rFonts w:ascii="Calibri" w:eastAsiaTheme="minorEastAsia" w:hAnsi="Calibri"/>
                <w:sz w:val="22"/>
                <w:szCs w:val="22"/>
                <w:lang w:eastAsia="zh-CN"/>
              </w:rPr>
            </w:pPr>
            <w:r>
              <w:rPr>
                <w:rFonts w:ascii="Calibri" w:eastAsiaTheme="minorEastAsia" w:hAnsi="Calibri"/>
                <w:sz w:val="22"/>
                <w:szCs w:val="22"/>
                <w:lang w:eastAsia="zh-CN"/>
              </w:rPr>
              <w:t>We share AT&amp;T’s position.</w:t>
            </w:r>
          </w:p>
        </w:tc>
      </w:tr>
    </w:tbl>
    <w:p w14:paraId="2F478C91" w14:textId="77777777"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F950C0A"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w:t>
      </w:r>
      <w:r w:rsidR="00C1230D">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Heading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 xml:space="preserve">RRC parameter spreadsheet the following parameter </w:t>
      </w:r>
      <w:proofErr w:type="spellStart"/>
      <w:r w:rsidR="00C34602" w:rsidRPr="00080B65">
        <w:rPr>
          <w:rFonts w:ascii="Calibri" w:eastAsia="Calibri" w:hAnsi="Calibri"/>
          <w:sz w:val="22"/>
          <w:szCs w:val="22"/>
        </w:rPr>
        <w:t>positionInDCI</w:t>
      </w:r>
      <w:proofErr w:type="spellEnd"/>
      <w:r w:rsidR="00C34602" w:rsidRPr="00080B65">
        <w:rPr>
          <w:rFonts w:ascii="Calibri" w:eastAsia="Calibri" w:hAnsi="Calibri"/>
          <w:sz w:val="22"/>
          <w:szCs w:val="22"/>
        </w:rPr>
        <w:t xml:space="preserve">-AI was defined as the (starting) position (bit) of the </w:t>
      </w:r>
      <w:proofErr w:type="spellStart"/>
      <w:r w:rsidR="00C34602" w:rsidRPr="00080B65">
        <w:rPr>
          <w:rFonts w:ascii="Calibri" w:eastAsia="Calibri" w:hAnsi="Calibri"/>
          <w:sz w:val="22"/>
          <w:szCs w:val="22"/>
        </w:rPr>
        <w:t>availabilityCombinationId</w:t>
      </w:r>
      <w:proofErr w:type="spellEnd"/>
      <w:r w:rsidR="00C34602" w:rsidRPr="00080B65">
        <w:rPr>
          <w:rFonts w:ascii="Calibri" w:eastAsia="Calibri" w:hAnsi="Calibri"/>
          <w:sz w:val="22"/>
          <w:szCs w:val="22"/>
        </w:rPr>
        <w:t xml:space="preserve"> (AI-Index) for the indicated IAB-DU cell (</w:t>
      </w:r>
      <w:proofErr w:type="spellStart"/>
      <w:r w:rsidR="00C34602" w:rsidRPr="00080B65">
        <w:rPr>
          <w:rFonts w:ascii="Calibri" w:eastAsia="Calibri" w:hAnsi="Calibri"/>
          <w:sz w:val="22"/>
          <w:szCs w:val="22"/>
        </w:rPr>
        <w:t>iabDuCellId</w:t>
      </w:r>
      <w:proofErr w:type="spellEnd"/>
      <w:r w:rsidR="00C34602" w:rsidRPr="00080B65">
        <w:rPr>
          <w:rFonts w:ascii="Calibri" w:eastAsia="Calibri" w:hAnsi="Calibri"/>
          <w:sz w:val="22"/>
          <w:szCs w:val="22"/>
        </w:rPr>
        <w:t xml:space="preserve">-AI) within the DCI payload. It has a value range of </w:t>
      </w:r>
      <w:proofErr w:type="gramStart"/>
      <w:r w:rsidR="00C34602" w:rsidRPr="00080B65">
        <w:rPr>
          <w:rFonts w:ascii="Calibri" w:eastAsia="Calibri" w:hAnsi="Calibri"/>
          <w:sz w:val="22"/>
          <w:szCs w:val="22"/>
        </w:rPr>
        <w:t>INTEGER(</w:t>
      </w:r>
      <w:proofErr w:type="gramEnd"/>
      <w:r w:rsidR="00C34602" w:rsidRPr="00080B65">
        <w:rPr>
          <w:rFonts w:ascii="Calibri" w:eastAsia="Calibri" w:hAnsi="Calibri"/>
          <w:sz w:val="22"/>
          <w:szCs w:val="22"/>
        </w:rPr>
        <w:t xml:space="preserve">0..maxAI-DCI-PayloadSize-1), however </w:t>
      </w:r>
      <w:proofErr w:type="spellStart"/>
      <w:r w:rsidR="00C34602" w:rsidRPr="00080B65">
        <w:rPr>
          <w:rFonts w:ascii="Calibri" w:eastAsia="Calibri" w:hAnsi="Calibri"/>
          <w:sz w:val="22"/>
          <w:szCs w:val="22"/>
        </w:rPr>
        <w:t>maxAI</w:t>
      </w:r>
      <w:proofErr w:type="spellEnd"/>
      <w:r w:rsidR="00C34602" w:rsidRPr="00080B65">
        <w:rPr>
          <w:rFonts w:ascii="Calibri" w:eastAsia="Calibri" w:hAnsi="Calibri"/>
          <w:sz w:val="22"/>
          <w:szCs w:val="22"/>
        </w:rPr>
        <w:t>-DCI-</w:t>
      </w:r>
      <w:proofErr w:type="spellStart"/>
      <w:r w:rsidR="00C34602" w:rsidRPr="00080B65">
        <w:rPr>
          <w:rFonts w:ascii="Calibri" w:eastAsia="Calibri" w:hAnsi="Calibri"/>
          <w:sz w:val="22"/>
          <w:szCs w:val="22"/>
        </w:rPr>
        <w:t>PayloadSize</w:t>
      </w:r>
      <w:proofErr w:type="spellEnd"/>
      <w:r w:rsidR="00C34602" w:rsidRPr="00080B65">
        <w:rPr>
          <w:rFonts w:ascii="Calibri" w:eastAsia="Calibri" w:hAnsi="Calibri"/>
          <w:sz w:val="22"/>
          <w:szCs w:val="22"/>
        </w:rPr>
        <w:t xml:space="preserv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6CBB1A1" w14:textId="77777777" w:rsidTr="002262C8">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2262C8">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 xml:space="preserve">RAN1 should clarify confirm </w:t>
            </w:r>
            <w:proofErr w:type="spellStart"/>
            <w:r w:rsidRPr="005108FA">
              <w:rPr>
                <w:rFonts w:ascii="Calibri" w:eastAsia="Calibri" w:hAnsi="Calibri"/>
                <w:sz w:val="22"/>
                <w:szCs w:val="22"/>
              </w:rPr>
              <w:t>maxAI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w:t>
            </w:r>
            <w:proofErr w:type="spellStart"/>
            <w:r w:rsidRPr="005108FA">
              <w:rPr>
                <w:rFonts w:ascii="Calibri" w:eastAsia="Calibri" w:hAnsi="Calibri"/>
                <w:sz w:val="22"/>
                <w:szCs w:val="22"/>
              </w:rPr>
              <w:t>maxSFI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128 and inform RAN2.</w:t>
            </w:r>
          </w:p>
        </w:tc>
      </w:tr>
      <w:tr w:rsidR="00F10FFC" w14:paraId="04B31D21" w14:textId="77777777" w:rsidTr="002262C8">
        <w:tc>
          <w:tcPr>
            <w:tcW w:w="1696" w:type="dxa"/>
          </w:tcPr>
          <w:p w14:paraId="714D9B38" w14:textId="0A1650E2"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948B81E" w14:textId="3E7CB9AD"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5CC2BA5" w14:textId="3C8125A7"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64431F" w14:paraId="57E6F3CE" w14:textId="77777777" w:rsidTr="002262C8">
        <w:tc>
          <w:tcPr>
            <w:tcW w:w="1696" w:type="dxa"/>
          </w:tcPr>
          <w:p w14:paraId="31B12592" w14:textId="5B681051"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73FB27AE" w14:textId="027DF7FC"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52E2FA8" w14:textId="1058725C" w:rsidR="0064431F" w:rsidRDefault="0064431F" w:rsidP="0064431F">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F77560" w14:paraId="734B8150" w14:textId="77777777" w:rsidTr="002262C8">
        <w:tc>
          <w:tcPr>
            <w:tcW w:w="1696" w:type="dxa"/>
          </w:tcPr>
          <w:p w14:paraId="5EA846EE" w14:textId="00646D3C" w:rsidR="00F77560" w:rsidRDefault="00F77560" w:rsidP="0064431F">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78B61284" w14:textId="59CFBBF5" w:rsidR="00F77560" w:rsidRDefault="00F77560" w:rsidP="0064431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BF14E08" w14:textId="259A777A" w:rsidR="00F77560" w:rsidRDefault="00F77560" w:rsidP="0064431F">
            <w:pPr>
              <w:rPr>
                <w:rFonts w:ascii="Calibri" w:eastAsia="Calibri" w:hAnsi="Calibri"/>
                <w:sz w:val="22"/>
                <w:szCs w:val="22"/>
              </w:rPr>
            </w:pPr>
            <w:r>
              <w:rPr>
                <w:rFonts w:ascii="Calibri" w:eastAsia="Calibri" w:hAnsi="Calibri"/>
                <w:sz w:val="22"/>
                <w:szCs w:val="22"/>
              </w:rPr>
              <w:t>Agree with AT&amp;T</w:t>
            </w:r>
          </w:p>
        </w:tc>
      </w:tr>
    </w:tbl>
    <w:p w14:paraId="6FD141D6" w14:textId="77777777" w:rsidR="00BD1C69" w:rsidRDefault="00BD1C69" w:rsidP="00BD1C69">
      <w:pPr>
        <w:rPr>
          <w:rFonts w:asciiTheme="minorHAnsi" w:hAnsiTheme="minorHAnsi" w:cstheme="minorHAnsi"/>
          <w:b/>
          <w:lang w:val="en-GB"/>
        </w:rPr>
      </w:pPr>
    </w:p>
    <w:p w14:paraId="49D793AC" w14:textId="31A9CCDD" w:rsidR="00BD1C69" w:rsidRDefault="00BD1C69" w:rsidP="00BD1C6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127FA">
        <w:rPr>
          <w:rFonts w:asciiTheme="minorHAnsi" w:hAnsiTheme="minorHAnsi" w:cstheme="minorHAnsi"/>
          <w:b/>
          <w:highlight w:val="yellow"/>
          <w:lang w:val="en-GB"/>
        </w:rPr>
        <w:t>3.</w:t>
      </w:r>
      <w:r>
        <w:rPr>
          <w:rFonts w:asciiTheme="minorHAnsi" w:hAnsiTheme="minorHAnsi" w:cstheme="minorHAnsi"/>
          <w:b/>
          <w:highlight w:val="yellow"/>
          <w:lang w:val="en-GB"/>
        </w:rPr>
        <w:t>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proofErr w:type="spellStart"/>
      <w:r w:rsidRPr="004C776D">
        <w:rPr>
          <w:rFonts w:asciiTheme="minorHAnsi" w:hAnsiTheme="minorHAnsi" w:cstheme="minorHAnsi"/>
          <w:b/>
          <w:i/>
          <w:iCs/>
          <w:sz w:val="28"/>
          <w:szCs w:val="28"/>
          <w:lang w:val="en-GB"/>
        </w:rPr>
        <w:t>resourceAvailability</w:t>
      </w:r>
      <w:proofErr w:type="spellEnd"/>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R1-2001882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w:t>
      </w:r>
      <w:proofErr w:type="spellStart"/>
      <w:r w:rsidRPr="00346E98">
        <w:rPr>
          <w:rFonts w:ascii="Calibri" w:eastAsia="Calibri" w:hAnsi="Calibri" w:hint="eastAsia"/>
          <w:sz w:val="22"/>
          <w:szCs w:val="22"/>
        </w:rPr>
        <w:t>resourceAvailability</w:t>
      </w:r>
      <w:proofErr w:type="spellEnd"/>
      <w:r w:rsidRPr="00346E98">
        <w:rPr>
          <w:rFonts w:ascii="Calibri" w:eastAsia="Calibri" w:hAnsi="Calibri" w:hint="eastAsia"/>
          <w:sz w:val="22"/>
          <w:szCs w:val="22"/>
        </w:rPr>
        <w:t xml:space="preserve"> in </w:t>
      </w:r>
      <w:proofErr w:type="spellStart"/>
      <w:r w:rsidRPr="00346E98">
        <w:rPr>
          <w:rFonts w:ascii="Calibri" w:eastAsia="Calibri" w:hAnsi="Calibri"/>
          <w:i/>
          <w:iCs/>
          <w:sz w:val="22"/>
          <w:szCs w:val="22"/>
        </w:rPr>
        <w:t>AvailabilityCombination</w:t>
      </w:r>
      <w:proofErr w:type="spellEnd"/>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w:t>
      </w:r>
      <w:proofErr w:type="spellStart"/>
      <w:r w:rsidRPr="00346E98">
        <w:rPr>
          <w:rFonts w:ascii="Calibri" w:eastAsia="Calibri" w:hAnsi="Calibri"/>
          <w:sz w:val="22"/>
          <w:szCs w:val="22"/>
        </w:rPr>
        <w:t>slotFormats</w:t>
      </w:r>
      <w:proofErr w:type="spellEnd"/>
      <w:r w:rsidRPr="00346E98">
        <w:rPr>
          <w:rFonts w:ascii="Calibri" w:eastAsia="Calibri" w:hAnsi="Calibri"/>
          <w:sz w:val="22"/>
          <w:szCs w:val="22"/>
        </w:rPr>
        <w:t>” to “</w:t>
      </w:r>
      <w:proofErr w:type="spellStart"/>
      <w:r w:rsidRPr="00346E98">
        <w:rPr>
          <w:rFonts w:ascii="Calibri" w:eastAsia="Calibri" w:hAnsi="Calibri"/>
          <w:i/>
          <w:iCs/>
          <w:sz w:val="22"/>
          <w:szCs w:val="22"/>
        </w:rPr>
        <w:t>resourceAvailability</w:t>
      </w:r>
      <w:proofErr w:type="spellEnd"/>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serving cell by </w:t>
      </w:r>
      <w:proofErr w:type="spellStart"/>
      <w:r>
        <w:rPr>
          <w:rStyle w:val="fontstyle01"/>
        </w:rPr>
        <w:t>iabDuCellId</w:t>
      </w:r>
      <w:proofErr w:type="spellEnd"/>
      <w:r>
        <w:rPr>
          <w:rStyle w:val="fontstyle01"/>
        </w:rPr>
        <w:t>-AI</w:t>
      </w:r>
    </w:p>
    <w:p w14:paraId="27ACF9B2" w14:textId="77777777" w:rsidR="004C776D" w:rsidRDefault="004C776D" w:rsidP="004C776D">
      <w:pPr>
        <w:pStyle w:val="B1"/>
        <w:spacing w:before="120" w:after="120"/>
      </w:pPr>
      <w:r>
        <w:t>-</w:t>
      </w:r>
      <w:r>
        <w:tab/>
        <w:t xml:space="preserve">a location of an availability indicator (AI) index field in DCI format 2_5 by </w:t>
      </w:r>
      <w:proofErr w:type="spellStart"/>
      <w:r>
        <w:rPr>
          <w:rStyle w:val="fontstyle01"/>
        </w:rPr>
        <w:t>positionInDCI</w:t>
      </w:r>
      <w:proofErr w:type="spellEnd"/>
      <w:r>
        <w:rPr>
          <w:rStyle w:val="fontstyle01"/>
        </w:rPr>
        <w:t>-AI</w:t>
      </w:r>
    </w:p>
    <w:p w14:paraId="31F3FC1B" w14:textId="77777777" w:rsidR="004C776D" w:rsidRDefault="004C776D" w:rsidP="004C776D">
      <w:pPr>
        <w:pStyle w:val="B1"/>
        <w:spacing w:before="120" w:after="120"/>
      </w:pPr>
      <w:r>
        <w:t>-</w:t>
      </w:r>
      <w:r>
        <w:tab/>
        <w:t xml:space="preserve">a set of availability combinations by </w:t>
      </w:r>
      <w:proofErr w:type="spellStart"/>
      <w:r>
        <w:rPr>
          <w:rStyle w:val="fontstyle01"/>
        </w:rPr>
        <w:t>availabilityCombinations</w:t>
      </w:r>
      <w:proofErr w:type="spellEnd"/>
      <w:r>
        <w:t>, where each availability combination in the set of availability combinations includes</w:t>
      </w:r>
    </w:p>
    <w:p w14:paraId="36C6C797" w14:textId="77777777" w:rsidR="002F01FC" w:rsidRDefault="004C776D" w:rsidP="002F01FC">
      <w:pPr>
        <w:pStyle w:val="B2"/>
        <w:spacing w:before="120" w:after="120"/>
      </w:pPr>
      <w:r>
        <w:t>-</w:t>
      </w:r>
      <w:r>
        <w:tab/>
      </w:r>
      <w:proofErr w:type="spellStart"/>
      <w:r>
        <w:rPr>
          <w:rStyle w:val="fontstyle01"/>
        </w:rPr>
        <w:t>resourceAvailability</w:t>
      </w:r>
      <w:proofErr w:type="spellEnd"/>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proofErr w:type="spellStart"/>
      <w:r w:rsidR="004C776D" w:rsidRPr="00860A0F">
        <w:rPr>
          <w:rStyle w:val="fontstyle01"/>
        </w:rPr>
        <w:t>Availability</w:t>
      </w:r>
      <w:r w:rsidR="004C776D" w:rsidRPr="004C776D">
        <w:rPr>
          <w:rStyle w:val="fontstyle01"/>
          <w:color w:val="000000" w:themeColor="text1"/>
        </w:rPr>
        <w:t>Combination</w:t>
      </w:r>
      <w:proofErr w:type="spellEnd"/>
      <w:r w:rsidR="004C776D" w:rsidRPr="00860A0F">
        <w:t xml:space="preserve"> to a corresponding AI index field value in DCI format 2_5 provided by </w:t>
      </w:r>
      <w:proofErr w:type="spellStart"/>
      <w:r w:rsidR="004C776D" w:rsidRPr="00860A0F">
        <w:rPr>
          <w:rStyle w:val="fontstyle01"/>
        </w:rPr>
        <w:t>availabilityCombinationId</w:t>
      </w:r>
      <w:proofErr w:type="spellEnd"/>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1AD86D8" w14:textId="77777777" w:rsidTr="002262C8">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2262C8">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r w:rsidR="00F10FFC" w14:paraId="2E247175" w14:textId="77777777" w:rsidTr="002262C8">
        <w:tc>
          <w:tcPr>
            <w:tcW w:w="1696" w:type="dxa"/>
          </w:tcPr>
          <w:p w14:paraId="5DEE28BE" w14:textId="1CDEAAE8"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tcPr>
          <w:p w14:paraId="149DDD90" w14:textId="12C30B44"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07499D4E" w14:textId="3CA11B6C"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This can be an editorial </w:t>
            </w:r>
            <w:r w:rsidR="00BE235E">
              <w:rPr>
                <w:rFonts w:ascii="Calibri" w:eastAsiaTheme="minorEastAsia" w:hAnsi="Calibri"/>
                <w:sz w:val="22"/>
                <w:szCs w:val="22"/>
                <w:lang w:eastAsia="zh-CN"/>
              </w:rPr>
              <w:t>change</w:t>
            </w:r>
          </w:p>
        </w:tc>
      </w:tr>
      <w:tr w:rsidR="0064431F" w14:paraId="43681BF0" w14:textId="77777777" w:rsidTr="002262C8">
        <w:tc>
          <w:tcPr>
            <w:tcW w:w="1696" w:type="dxa"/>
          </w:tcPr>
          <w:p w14:paraId="3CA20198" w14:textId="53F50EFC"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E240A33" w14:textId="1004650D"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37A8022C" w14:textId="2934882F"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The identified problem needs to be addressed, however, since it should not be controversial, it could indeed possibly be included as part of a list of editorial corrections.</w:t>
            </w:r>
          </w:p>
        </w:tc>
      </w:tr>
      <w:tr w:rsidR="00F77560" w14:paraId="4D5F90F8" w14:textId="77777777" w:rsidTr="002262C8">
        <w:tc>
          <w:tcPr>
            <w:tcW w:w="1696" w:type="dxa"/>
          </w:tcPr>
          <w:p w14:paraId="4BF29B06" w14:textId="59277906" w:rsidR="00F77560" w:rsidRDefault="00F77560" w:rsidP="002F01FC">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3532080D" w14:textId="3B6F17F8" w:rsidR="00F77560" w:rsidRDefault="00F77560" w:rsidP="002F01FC">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5B6BB084" w14:textId="0A7FDDE3" w:rsidR="00F77560" w:rsidRDefault="00F77560" w:rsidP="002F01FC">
            <w:pPr>
              <w:rPr>
                <w:rFonts w:ascii="Calibri" w:eastAsiaTheme="minorEastAsia" w:hAnsi="Calibri"/>
                <w:sz w:val="22"/>
                <w:szCs w:val="22"/>
                <w:lang w:eastAsia="zh-CN"/>
              </w:rPr>
            </w:pPr>
            <w:r>
              <w:rPr>
                <w:rFonts w:ascii="Calibri" w:eastAsiaTheme="minorEastAsia" w:hAnsi="Calibri"/>
                <w:sz w:val="22"/>
                <w:szCs w:val="22"/>
                <w:lang w:eastAsia="zh-CN"/>
              </w:rPr>
              <w:t>We share Qualcomm’s view.</w:t>
            </w:r>
          </w:p>
        </w:tc>
      </w:tr>
    </w:tbl>
    <w:p w14:paraId="5915ECD8" w14:textId="77777777" w:rsidR="004C776D" w:rsidRDefault="004C776D" w:rsidP="004C776D">
      <w:pPr>
        <w:rPr>
          <w:rFonts w:asciiTheme="minorHAnsi" w:hAnsiTheme="minorHAnsi" w:cstheme="minorHAnsi"/>
          <w:b/>
          <w:lang w:val="en-GB"/>
        </w:rPr>
      </w:pPr>
    </w:p>
    <w:p w14:paraId="392BFC2D" w14:textId="14787466" w:rsidR="004C776D" w:rsidRDefault="004C776D" w:rsidP="004C776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2.3.2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Heading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2262C8">
        <w:tc>
          <w:tcPr>
            <w:tcW w:w="9837" w:type="dxa"/>
            <w:shd w:val="clear" w:color="auto" w:fill="auto"/>
          </w:tcPr>
          <w:p w14:paraId="6F04D080" w14:textId="77777777" w:rsidR="00EF0F5A" w:rsidRPr="00C52FE2" w:rsidRDefault="00EF0F5A" w:rsidP="002262C8">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26BFB9D5" w14:textId="77777777" w:rsidR="00EF0F5A" w:rsidRPr="00C52FE2" w:rsidRDefault="00EF0F5A" w:rsidP="002262C8">
            <w:pPr>
              <w:spacing w:after="180"/>
              <w:rPr>
                <w:rFonts w:eastAsia="Yu Mincho"/>
                <w:sz w:val="20"/>
              </w:rPr>
            </w:pPr>
            <w:r w:rsidRPr="00C52FE2">
              <w:rPr>
                <w:rFonts w:eastAsia="Yu Mincho"/>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1E9D090D" w14:textId="77777777" w:rsidR="00EF0F5A" w:rsidRPr="00C52FE2" w:rsidRDefault="00EF0F5A" w:rsidP="002262C8">
            <w:pPr>
              <w:spacing w:before="180"/>
              <w:rPr>
                <w:rFonts w:eastAsia="SimSun"/>
                <w:sz w:val="20"/>
              </w:rPr>
            </w:pPr>
            <w:r w:rsidRPr="00C52FE2">
              <w:rPr>
                <w:rFonts w:eastAsia="Yu Mincho"/>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however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A9EC2A6" w14:textId="77777777" w:rsidTr="002262C8">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2262C8">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r w:rsidR="00BE235E" w14:paraId="7751D250" w14:textId="77777777" w:rsidTr="002262C8">
        <w:tc>
          <w:tcPr>
            <w:tcW w:w="1696" w:type="dxa"/>
          </w:tcPr>
          <w:p w14:paraId="45E1B6F5" w14:textId="52D04D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H</w:t>
            </w:r>
            <w:r>
              <w:rPr>
                <w:rFonts w:asciiTheme="minorHAnsi" w:eastAsiaTheme="minorEastAsia" w:hAnsiTheme="minorHAnsi" w:cstheme="minorHAnsi"/>
                <w:bCs/>
                <w:lang w:val="en-GB" w:eastAsia="zh-CN"/>
              </w:rPr>
              <w:t>uawei</w:t>
            </w:r>
          </w:p>
        </w:tc>
        <w:tc>
          <w:tcPr>
            <w:tcW w:w="2265" w:type="dxa"/>
          </w:tcPr>
          <w:p w14:paraId="7F34BCB3" w14:textId="1D800A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5382E38" w14:textId="4E278D10" w:rsidR="00F0410C" w:rsidRPr="00BE235E" w:rsidRDefault="00BE235E" w:rsidP="00F0410C">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Some</w:t>
            </w:r>
            <w:r>
              <w:rPr>
                <w:rFonts w:asciiTheme="minorHAnsi" w:eastAsiaTheme="minorEastAsia" w:hAnsiTheme="minorHAnsi" w:cstheme="minorHAnsi"/>
                <w:bCs/>
                <w:lang w:val="en-GB" w:eastAsia="zh-CN"/>
              </w:rPr>
              <w:t xml:space="preserve"> discussion is needed on whether restricting to slot-level configuration for paired spectrum is acceptable.</w:t>
            </w:r>
            <w:r w:rsidR="00F0410C">
              <w:rPr>
                <w:rFonts w:asciiTheme="minorHAnsi" w:eastAsiaTheme="minorEastAsia" w:hAnsiTheme="minorHAnsi" w:cstheme="minorHAnsi"/>
                <w:bCs/>
                <w:lang w:val="en-GB" w:eastAsia="zh-CN"/>
              </w:rPr>
              <w:t xml:space="preserve"> And how to extend AI-DCI to paired spectrum may need some discussion since this involves both uplink and downlink similar to DCI format 2_0.</w:t>
            </w:r>
          </w:p>
        </w:tc>
      </w:tr>
      <w:tr w:rsidR="000B29C2" w14:paraId="25654274" w14:textId="77777777" w:rsidTr="002262C8">
        <w:tc>
          <w:tcPr>
            <w:tcW w:w="1696" w:type="dxa"/>
          </w:tcPr>
          <w:p w14:paraId="0AF17ABD" w14:textId="36539E7F"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Qualcomm</w:t>
            </w:r>
          </w:p>
        </w:tc>
        <w:tc>
          <w:tcPr>
            <w:tcW w:w="2265" w:type="dxa"/>
          </w:tcPr>
          <w:p w14:paraId="6CFE6266" w14:textId="01704C12"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7611D6AB" w14:textId="770E19BE" w:rsidR="000B29C2" w:rsidRDefault="000B29C2" w:rsidP="00F0410C">
            <w:pPr>
              <w:rPr>
                <w:rFonts w:asciiTheme="minorHAnsi" w:eastAsiaTheme="minorEastAsia" w:hAnsiTheme="minorHAnsi" w:cstheme="minorHAnsi"/>
                <w:bCs/>
                <w:lang w:val="en-GB" w:eastAsia="zh-CN"/>
              </w:rPr>
            </w:pPr>
            <w:r>
              <w:rPr>
                <w:rFonts w:ascii="Calibri" w:eastAsia="Calibri" w:hAnsi="Calibri"/>
                <w:sz w:val="22"/>
                <w:szCs w:val="22"/>
              </w:rPr>
              <w:t>Agree with AT&amp;T’s guidance on scope of the discussion.</w:t>
            </w:r>
          </w:p>
        </w:tc>
      </w:tr>
      <w:tr w:rsidR="00F77560" w14:paraId="084DB6F2" w14:textId="77777777" w:rsidTr="002262C8">
        <w:tc>
          <w:tcPr>
            <w:tcW w:w="1696" w:type="dxa"/>
          </w:tcPr>
          <w:p w14:paraId="784DACEE" w14:textId="54F2029A" w:rsidR="00F77560" w:rsidRDefault="00F77560"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Sharp</w:t>
            </w:r>
          </w:p>
        </w:tc>
        <w:tc>
          <w:tcPr>
            <w:tcW w:w="2265" w:type="dxa"/>
          </w:tcPr>
          <w:p w14:paraId="56F01701" w14:textId="1EC01E62" w:rsidR="00F77560" w:rsidRDefault="00F77560"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53AF549C" w14:textId="10FA1127" w:rsidR="00F77560" w:rsidRDefault="00F77560" w:rsidP="00F0410C">
            <w:pPr>
              <w:rPr>
                <w:rFonts w:ascii="Calibri" w:eastAsia="Calibri" w:hAnsi="Calibri"/>
                <w:sz w:val="22"/>
                <w:szCs w:val="22"/>
              </w:rPr>
            </w:pPr>
            <w:r>
              <w:rPr>
                <w:rFonts w:ascii="Calibri" w:eastAsia="Calibri" w:hAnsi="Calibri"/>
                <w:sz w:val="22"/>
                <w:szCs w:val="22"/>
              </w:rPr>
              <w:t>Agree with AT&amp;T’s guidance here.</w:t>
            </w:r>
          </w:p>
        </w:tc>
      </w:tr>
    </w:tbl>
    <w:p w14:paraId="74C65E81" w14:textId="77777777" w:rsidR="00EF0F5A" w:rsidRDefault="00EF0F5A" w:rsidP="00EF0F5A">
      <w:pPr>
        <w:rPr>
          <w:rFonts w:asciiTheme="minorHAnsi" w:hAnsiTheme="minorHAnsi" w:cstheme="minorHAnsi"/>
          <w:b/>
          <w:lang w:val="en-GB"/>
        </w:rPr>
      </w:pPr>
    </w:p>
    <w:p w14:paraId="792481E2" w14:textId="61AD6EC7"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4C910FCA" w14:textId="77777777" w:rsidTr="002262C8">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2262C8">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r w:rsidR="00BE235E" w14:paraId="4B01C417" w14:textId="77777777" w:rsidTr="002262C8">
        <w:tc>
          <w:tcPr>
            <w:tcW w:w="1696" w:type="dxa"/>
          </w:tcPr>
          <w:p w14:paraId="152421C7" w14:textId="485A5FD4"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Huawei</w:t>
            </w:r>
          </w:p>
        </w:tc>
        <w:tc>
          <w:tcPr>
            <w:tcW w:w="2265" w:type="dxa"/>
          </w:tcPr>
          <w:p w14:paraId="263094E7" w14:textId="06838D72"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N</w:t>
            </w:r>
            <w:r w:rsidR="00F0410C">
              <w:rPr>
                <w:rFonts w:asciiTheme="minorHAnsi" w:hAnsiTheme="minorHAnsi" w:cstheme="minorHAnsi" w:hint="eastAsia"/>
                <w:bCs/>
                <w:lang w:val="en-GB"/>
              </w:rPr>
              <w:t>o</w:t>
            </w:r>
          </w:p>
        </w:tc>
        <w:tc>
          <w:tcPr>
            <w:tcW w:w="6109" w:type="dxa"/>
          </w:tcPr>
          <w:p w14:paraId="30CD31F1" w14:textId="38426245" w:rsidR="00BE235E" w:rsidRPr="00BE235E" w:rsidRDefault="00F0410C"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The 8 states</w:t>
            </w:r>
            <w:r w:rsidR="008A629B">
              <w:rPr>
                <w:rFonts w:asciiTheme="minorHAnsi" w:eastAsiaTheme="minorEastAsia" w:hAnsiTheme="minorHAnsi" w:cstheme="minorHAnsi"/>
                <w:bCs/>
                <w:lang w:val="en-GB" w:eastAsia="zh-CN"/>
              </w:rPr>
              <w:t xml:space="preserve"> defined</w:t>
            </w:r>
            <w:r>
              <w:rPr>
                <w:rFonts w:asciiTheme="minorHAnsi" w:eastAsiaTheme="minorEastAsia" w:hAnsiTheme="minorHAnsi" w:cstheme="minorHAnsi"/>
                <w:bCs/>
                <w:lang w:val="en-GB" w:eastAsia="zh-CN"/>
              </w:rPr>
              <w:t xml:space="preserve"> in current specification are sufficient since even in TDD there will be slots without flexible symbols. One can reply on the curren</w:t>
            </w:r>
            <w:r w:rsidR="008A629B">
              <w:rPr>
                <w:rFonts w:asciiTheme="minorHAnsi" w:eastAsiaTheme="minorEastAsia" w:hAnsiTheme="minorHAnsi" w:cstheme="minorHAnsi"/>
                <w:bCs/>
                <w:lang w:val="en-GB" w:eastAsia="zh-CN"/>
              </w:rPr>
              <w:t>t 8 states by not indicating the availability for flexible symbols such as “1”, “2”, ”3”.</w:t>
            </w:r>
          </w:p>
        </w:tc>
      </w:tr>
      <w:tr w:rsidR="000B29C2" w14:paraId="0FE99BF8" w14:textId="77777777" w:rsidTr="002262C8">
        <w:tc>
          <w:tcPr>
            <w:tcW w:w="1696" w:type="dxa"/>
          </w:tcPr>
          <w:p w14:paraId="2A4A6527" w14:textId="74213391"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Qualcomm</w:t>
            </w:r>
          </w:p>
        </w:tc>
        <w:tc>
          <w:tcPr>
            <w:tcW w:w="2265" w:type="dxa"/>
          </w:tcPr>
          <w:p w14:paraId="031749FC" w14:textId="4C7FBF18"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Not sure</w:t>
            </w:r>
          </w:p>
        </w:tc>
        <w:tc>
          <w:tcPr>
            <w:tcW w:w="6109" w:type="dxa"/>
          </w:tcPr>
          <w:p w14:paraId="2F7E0098" w14:textId="07FC19E4" w:rsidR="000B29C2" w:rsidRDefault="000B29C2"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Whether the AI DCI format 2_5 requires some adjustments for paired spectrum depends on the outcome of the discussion on 2.4.1. </w:t>
            </w:r>
          </w:p>
        </w:tc>
      </w:tr>
      <w:tr w:rsidR="00F77560" w14:paraId="5468CDC5" w14:textId="77777777" w:rsidTr="002262C8">
        <w:tc>
          <w:tcPr>
            <w:tcW w:w="1696" w:type="dxa"/>
          </w:tcPr>
          <w:p w14:paraId="1244DA70" w14:textId="1D1E558D" w:rsidR="00F77560" w:rsidRDefault="00F77560" w:rsidP="00EF0778">
            <w:pPr>
              <w:rPr>
                <w:rFonts w:asciiTheme="minorHAnsi" w:hAnsiTheme="minorHAnsi" w:cstheme="minorHAnsi"/>
                <w:bCs/>
                <w:lang w:val="en-GB"/>
              </w:rPr>
            </w:pPr>
            <w:r>
              <w:rPr>
                <w:rFonts w:asciiTheme="minorHAnsi" w:hAnsiTheme="minorHAnsi" w:cstheme="minorHAnsi"/>
                <w:bCs/>
                <w:lang w:val="en-GB"/>
              </w:rPr>
              <w:t>Sharp</w:t>
            </w:r>
          </w:p>
        </w:tc>
        <w:tc>
          <w:tcPr>
            <w:tcW w:w="2265" w:type="dxa"/>
          </w:tcPr>
          <w:p w14:paraId="767CC6E3" w14:textId="2D524DF6" w:rsidR="00F77560" w:rsidRDefault="00F77560" w:rsidP="00EF0778">
            <w:pPr>
              <w:rPr>
                <w:rFonts w:asciiTheme="minorHAnsi" w:hAnsiTheme="minorHAnsi" w:cstheme="minorHAnsi"/>
                <w:bCs/>
                <w:lang w:val="en-GB"/>
              </w:rPr>
            </w:pPr>
            <w:r>
              <w:rPr>
                <w:rFonts w:asciiTheme="minorHAnsi" w:hAnsiTheme="minorHAnsi" w:cstheme="minorHAnsi"/>
                <w:bCs/>
                <w:lang w:val="en-GB"/>
              </w:rPr>
              <w:t>No</w:t>
            </w:r>
          </w:p>
        </w:tc>
        <w:tc>
          <w:tcPr>
            <w:tcW w:w="6109" w:type="dxa"/>
          </w:tcPr>
          <w:p w14:paraId="2BE6E841" w14:textId="4AA77A04" w:rsidR="00F77560" w:rsidRDefault="00F77560"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Agree with AT&amp;T.</w:t>
            </w:r>
          </w:p>
        </w:tc>
      </w:tr>
    </w:tbl>
    <w:p w14:paraId="126892EB" w14:textId="26FCA77E" w:rsidR="00EF0F5A" w:rsidRDefault="00EF0F5A" w:rsidP="00EF0F5A">
      <w:pPr>
        <w:rPr>
          <w:rFonts w:asciiTheme="minorHAnsi" w:hAnsiTheme="minorHAnsi" w:cstheme="minorHAnsi"/>
          <w:b/>
          <w:lang w:val="en-GB"/>
        </w:rPr>
      </w:pPr>
    </w:p>
    <w:p w14:paraId="50D8F2E6" w14:textId="6CA72C81"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2E68ED95" w14:textId="2DEB3DDE" w:rsidR="00B127FA" w:rsidRDefault="00B127FA">
      <w:pPr>
        <w:rPr>
          <w:rFonts w:ascii="Arial" w:hAnsi="Arial"/>
          <w:b/>
          <w:sz w:val="32"/>
          <w:szCs w:val="20"/>
        </w:rPr>
      </w:pPr>
    </w:p>
    <w:p w14:paraId="77C29046" w14:textId="77777777" w:rsidR="00450639" w:rsidRDefault="00450639">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51A2190E" w14:textId="77777777" w:rsidR="0037326C" w:rsidRPr="00C52FE2" w:rsidRDefault="0037326C" w:rsidP="0037326C">
      <w:pPr>
        <w:spacing w:after="180"/>
        <w:rPr>
          <w:rFonts w:eastAsia="Yu Mincho"/>
          <w:sz w:val="20"/>
        </w:rPr>
      </w:pPr>
      <w:r w:rsidRPr="00C52FE2">
        <w:rPr>
          <w:rFonts w:eastAsia="Yu Mincho"/>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78C5F6F2" w14:textId="75607593" w:rsidR="0037326C" w:rsidRDefault="0037326C" w:rsidP="0037326C">
      <w:pPr>
        <w:rPr>
          <w:rFonts w:eastAsia="Yu Mincho"/>
          <w:sz w:val="20"/>
        </w:rPr>
      </w:pPr>
      <w:r w:rsidRPr="00C52FE2">
        <w:rPr>
          <w:rFonts w:eastAsia="Yu Mincho"/>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2262C8">
        <w:tc>
          <w:tcPr>
            <w:tcW w:w="9837" w:type="dxa"/>
            <w:shd w:val="clear" w:color="auto" w:fill="auto"/>
          </w:tcPr>
          <w:p w14:paraId="6511A42B" w14:textId="77777777" w:rsidR="00450639" w:rsidRPr="00C52FE2" w:rsidRDefault="00450639" w:rsidP="002262C8">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2262C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2262C8">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2262C8">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04472341" w14:textId="77777777" w:rsidR="00450639" w:rsidRPr="00C52FE2" w:rsidRDefault="00450639" w:rsidP="002262C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2262C8">
            <w:pPr>
              <w:tabs>
                <w:tab w:val="left" w:pos="0"/>
              </w:tabs>
              <w:ind w:left="1701" w:hanging="1701"/>
              <w:rPr>
                <w:rFonts w:eastAsia="SimSun"/>
                <w:sz w:val="20"/>
              </w:rPr>
            </w:pPr>
            <w:r w:rsidRPr="00C52FE2">
              <w:rPr>
                <w:sz w:val="20"/>
              </w:rPr>
              <w:t xml:space="preserve">Note: This agreement does not require any additional specification impact in RAN1 in Rel-16, i.e. in Rel-16 the </w:t>
            </w:r>
            <w:proofErr w:type="spellStart"/>
            <w:r w:rsidRPr="00C52FE2">
              <w:rPr>
                <w:sz w:val="20"/>
              </w:rPr>
              <w:t>behaviour</w:t>
            </w:r>
            <w:proofErr w:type="spellEnd"/>
            <w:r w:rsidRPr="00C52FE2">
              <w:rPr>
                <w:sz w:val="20"/>
              </w:rPr>
              <w:t xml:space="preserve"> of the IAB node is only defined for TDM cases. The </w:t>
            </w:r>
            <w:proofErr w:type="spellStart"/>
            <w:r w:rsidRPr="00C52FE2">
              <w:rPr>
                <w:sz w:val="20"/>
              </w:rPr>
              <w:t>behaviour</w:t>
            </w:r>
            <w:proofErr w:type="spellEnd"/>
            <w:r w:rsidRPr="00C52FE2">
              <w:rPr>
                <w:sz w:val="20"/>
              </w:rPr>
              <w:t xml:space="preserve">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w:t>
      </w:r>
      <w:proofErr w:type="spellStart"/>
      <w:r w:rsidRPr="00E7236D">
        <w:rPr>
          <w:rFonts w:asciiTheme="minorHAnsi" w:hAnsiTheme="minorHAnsi" w:cstheme="minorHAnsi"/>
          <w:bCs/>
          <w:lang w:val="en-GB"/>
        </w:rPr>
        <w:t>behavior</w:t>
      </w:r>
      <w:proofErr w:type="spellEnd"/>
      <w:r w:rsidRPr="00E7236D">
        <w:rPr>
          <w:rFonts w:asciiTheme="minorHAnsi" w:hAnsiTheme="minorHAnsi" w:cstheme="minorHAnsi"/>
          <w:bCs/>
          <w:lang w:val="en-GB"/>
        </w:rPr>
        <w:t xml:space="preserve"> in Rel-16 IAB. However, in case of paired spectrum, uplink and downlink are separated in frequency domain and </w:t>
      </w:r>
      <w:r w:rsidR="0037326C">
        <w:rPr>
          <w:rFonts w:asciiTheme="minorHAnsi" w:hAnsiTheme="minorHAnsi" w:cstheme="minorHAnsi"/>
          <w:bCs/>
          <w:lang w:val="en-GB"/>
        </w:rPr>
        <w:t xml:space="preserve">therefore there was </w:t>
      </w:r>
      <w:proofErr w:type="gramStart"/>
      <w:r w:rsidR="0037326C">
        <w:rPr>
          <w:rFonts w:asciiTheme="minorHAnsi" w:hAnsiTheme="minorHAnsi" w:cstheme="minorHAnsi"/>
          <w:bCs/>
          <w:lang w:val="en-GB"/>
        </w:rPr>
        <w:t>a</w:t>
      </w:r>
      <w:proofErr w:type="gramEnd"/>
      <w:r w:rsidR="0037326C">
        <w:rPr>
          <w:rFonts w:asciiTheme="minorHAnsi" w:hAnsiTheme="minorHAnsi" w:cstheme="minorHAnsi"/>
          <w:bCs/>
          <w:lang w:val="en-GB"/>
        </w:rPr>
        <w:t xml:space="preserve">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w:t>
            </w:r>
            <w:proofErr w:type="gramStart"/>
            <w:r w:rsidRPr="00147151">
              <w:rPr>
                <w:rFonts w:ascii="Calibri" w:eastAsia="Calibri" w:hAnsi="Calibri"/>
                <w:sz w:val="22"/>
                <w:szCs w:val="22"/>
              </w:rPr>
              <w:t>not</w:t>
            </w:r>
            <w:proofErr w:type="gramEnd"/>
            <w:r w:rsidRPr="00147151">
              <w:rPr>
                <w:rFonts w:ascii="Calibri" w:eastAsia="Calibri" w:hAnsi="Calibri"/>
                <w:sz w:val="22"/>
                <w:szCs w:val="22"/>
              </w:rPr>
              <w:t xml:space="preserve"> what is the specification impact </w:t>
            </w:r>
          </w:p>
        </w:tc>
      </w:tr>
      <w:tr w:rsidR="00BE235E" w14:paraId="5FAFD69C" w14:textId="77777777" w:rsidTr="00450639">
        <w:tc>
          <w:tcPr>
            <w:tcW w:w="1696" w:type="dxa"/>
          </w:tcPr>
          <w:p w14:paraId="7904A426" w14:textId="16937AF3" w:rsidR="00BE235E" w:rsidRPr="00147151" w:rsidRDefault="00BE235E" w:rsidP="00EF0778">
            <w:pPr>
              <w:rPr>
                <w:rFonts w:ascii="Calibri" w:eastAsia="Calibri" w:hAnsi="Calibri"/>
                <w:sz w:val="22"/>
                <w:szCs w:val="22"/>
              </w:rPr>
            </w:pPr>
            <w:r>
              <w:rPr>
                <w:rFonts w:asciiTheme="minorEastAsia" w:eastAsiaTheme="minorEastAsia" w:hAnsiTheme="minorEastAsia"/>
                <w:sz w:val="22"/>
                <w:szCs w:val="22"/>
                <w:lang w:eastAsia="zh-CN"/>
              </w:rPr>
              <w:t>Huawei</w:t>
            </w:r>
          </w:p>
        </w:tc>
        <w:tc>
          <w:tcPr>
            <w:tcW w:w="2439" w:type="dxa"/>
          </w:tcPr>
          <w:p w14:paraId="421A49D4" w14:textId="5B798797" w:rsidR="00BE235E" w:rsidRPr="00BE235E" w:rsidRDefault="00BE235E" w:rsidP="00EF0778">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058F25F5" w14:textId="6A954DB9" w:rsidR="00BE235E" w:rsidRPr="00BE235E" w:rsidRDefault="00BE235E" w:rsidP="00CE43D4">
            <w:pPr>
              <w:rPr>
                <w:rFonts w:ascii="Calibri" w:eastAsiaTheme="minorEastAsia" w:hAnsi="Calibri"/>
                <w:sz w:val="22"/>
                <w:szCs w:val="22"/>
                <w:lang w:eastAsia="zh-CN"/>
              </w:rPr>
            </w:pPr>
            <w:r>
              <w:rPr>
                <w:rFonts w:ascii="Calibri" w:eastAsiaTheme="minorEastAsia" w:hAnsi="Calibri"/>
                <w:sz w:val="22"/>
                <w:szCs w:val="22"/>
                <w:lang w:eastAsia="zh-CN"/>
              </w:rPr>
              <w:t>The specification impact is unclear</w:t>
            </w:r>
            <w:r w:rsidR="00EB35F2">
              <w:rPr>
                <w:rFonts w:ascii="Calibri" w:eastAsiaTheme="minorEastAsia" w:hAnsi="Calibri"/>
                <w:sz w:val="22"/>
                <w:szCs w:val="22"/>
                <w:lang w:eastAsia="zh-CN"/>
              </w:rPr>
              <w:t>.</w:t>
            </w:r>
            <w:r w:rsidR="00477242">
              <w:rPr>
                <w:rFonts w:ascii="Calibri" w:eastAsiaTheme="minorEastAsia" w:hAnsi="Calibri"/>
                <w:sz w:val="22"/>
                <w:szCs w:val="22"/>
                <w:lang w:eastAsia="zh-CN"/>
              </w:rPr>
              <w:t xml:space="preserve"> Maybe this can be discussed in the IAB feature agenda.</w:t>
            </w:r>
          </w:p>
        </w:tc>
      </w:tr>
      <w:tr w:rsidR="00E34004" w14:paraId="327333A9" w14:textId="77777777" w:rsidTr="00450639">
        <w:tc>
          <w:tcPr>
            <w:tcW w:w="1696" w:type="dxa"/>
          </w:tcPr>
          <w:p w14:paraId="4A6CA8ED" w14:textId="1FB18119" w:rsidR="00E34004" w:rsidRDefault="00E34004" w:rsidP="00EF077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Qualcomm</w:t>
            </w:r>
          </w:p>
        </w:tc>
        <w:tc>
          <w:tcPr>
            <w:tcW w:w="2439" w:type="dxa"/>
          </w:tcPr>
          <w:p w14:paraId="45996FFA" w14:textId="0BB5368B" w:rsidR="00E34004" w:rsidRDefault="00E34004"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69A888" w14:textId="4333F1D1" w:rsidR="00E34004" w:rsidRDefault="00E34004" w:rsidP="00CE43D4">
            <w:pPr>
              <w:rPr>
                <w:rFonts w:ascii="Calibri" w:eastAsiaTheme="minorEastAsia" w:hAnsi="Calibri"/>
                <w:sz w:val="22"/>
                <w:szCs w:val="22"/>
                <w:lang w:eastAsia="zh-CN"/>
              </w:rPr>
            </w:pPr>
            <w:r>
              <w:rPr>
                <w:rFonts w:ascii="Calibri" w:eastAsiaTheme="minorEastAsia" w:hAnsi="Calibri"/>
                <w:sz w:val="22"/>
                <w:szCs w:val="22"/>
                <w:lang w:eastAsia="zh-CN"/>
              </w:rPr>
              <w:t xml:space="preserve">It should be discussed whether the definition of half-duplex constraint for an IAB-node (which should really be about half-duplex operation between the MT and the DU and different </w:t>
            </w:r>
            <w:r>
              <w:rPr>
                <w:rFonts w:ascii="Calibri" w:eastAsiaTheme="minorEastAsia" w:hAnsi="Calibri"/>
                <w:sz w:val="22"/>
                <w:szCs w:val="22"/>
                <w:lang w:eastAsia="zh-CN"/>
              </w:rPr>
              <w:lastRenderedPageBreak/>
              <w:t>from duplexing capability on a given link) needs any adjustment for paired spectrum operation at the link level.</w:t>
            </w:r>
          </w:p>
        </w:tc>
      </w:tr>
      <w:tr w:rsidR="00F77560" w14:paraId="64C33F11" w14:textId="77777777" w:rsidTr="00450639">
        <w:tc>
          <w:tcPr>
            <w:tcW w:w="1696" w:type="dxa"/>
          </w:tcPr>
          <w:p w14:paraId="0BE4D4F1" w14:textId="5C6EAACD" w:rsidR="00F77560" w:rsidRDefault="002C5F86" w:rsidP="00EF077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lastRenderedPageBreak/>
              <w:t>Sharp</w:t>
            </w:r>
          </w:p>
        </w:tc>
        <w:tc>
          <w:tcPr>
            <w:tcW w:w="2439" w:type="dxa"/>
          </w:tcPr>
          <w:p w14:paraId="64C9C836" w14:textId="59A9F81B" w:rsidR="00F77560" w:rsidRDefault="002C5F86" w:rsidP="00EF0778">
            <w:pPr>
              <w:rPr>
                <w:rFonts w:ascii="Calibri" w:eastAsiaTheme="minorEastAsia" w:hAnsi="Calibri"/>
                <w:sz w:val="22"/>
                <w:szCs w:val="22"/>
                <w:lang w:eastAsia="zh-CN"/>
              </w:rPr>
            </w:pPr>
            <w:r>
              <w:rPr>
                <w:rFonts w:ascii="Calibri" w:eastAsiaTheme="minorEastAsia" w:hAnsi="Calibri"/>
                <w:sz w:val="22"/>
                <w:szCs w:val="22"/>
                <w:lang w:eastAsia="zh-CN"/>
              </w:rPr>
              <w:t>Lean towards yes.</w:t>
            </w:r>
          </w:p>
        </w:tc>
        <w:tc>
          <w:tcPr>
            <w:tcW w:w="5935" w:type="dxa"/>
          </w:tcPr>
          <w:p w14:paraId="2C12B555" w14:textId="4771A214" w:rsidR="00F77560" w:rsidRDefault="002C5F86" w:rsidP="00CE43D4">
            <w:pPr>
              <w:rPr>
                <w:rFonts w:ascii="Calibri" w:eastAsiaTheme="minorEastAsia" w:hAnsi="Calibri"/>
                <w:sz w:val="22"/>
                <w:szCs w:val="22"/>
                <w:lang w:eastAsia="zh-CN"/>
              </w:rPr>
            </w:pPr>
            <w:r>
              <w:rPr>
                <w:rFonts w:ascii="Calibri" w:eastAsiaTheme="minorEastAsia" w:hAnsi="Calibri"/>
                <w:sz w:val="22"/>
                <w:szCs w:val="22"/>
                <w:lang w:eastAsia="zh-CN"/>
              </w:rPr>
              <w:t>There are conditions where the ½ duplex operation can be removed and conditions where it can’t be removed. OTOH, for Release 16, we could just let the ½ duplex constraints remain in effect…</w:t>
            </w:r>
            <w:bookmarkStart w:id="2" w:name="_GoBack"/>
            <w:bookmarkEnd w:id="2"/>
          </w:p>
        </w:tc>
      </w:tr>
    </w:tbl>
    <w:p w14:paraId="32B27520" w14:textId="77777777" w:rsidR="00450639" w:rsidRDefault="00450639" w:rsidP="00450639">
      <w:pPr>
        <w:rPr>
          <w:rFonts w:asciiTheme="minorHAnsi" w:hAnsiTheme="minorHAnsi" w:cstheme="minorHAnsi"/>
          <w:b/>
          <w:lang w:val="en-GB"/>
        </w:rPr>
      </w:pPr>
    </w:p>
    <w:p w14:paraId="0344153C" w14:textId="222F6DCE" w:rsidR="00450639" w:rsidRDefault="00450639" w:rsidP="0045063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Heading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289C66FF" w14:textId="13280C92" w:rsidR="000114C1" w:rsidRDefault="000114C1" w:rsidP="005C6208">
      <w:pPr>
        <w:rPr>
          <w:rFonts w:ascii="Calibri" w:hAnsi="Calibri" w:cs="Calibri"/>
          <w:color w:val="000000"/>
          <w:sz w:val="22"/>
          <w:szCs w:val="22"/>
        </w:rPr>
      </w:pPr>
    </w:p>
    <w:p w14:paraId="0276FEE8" w14:textId="209151CB" w:rsidR="000114C1" w:rsidRDefault="0037326C" w:rsidP="005C6208">
      <w:pPr>
        <w:rPr>
          <w:rFonts w:ascii="Calibri" w:hAnsi="Calibri" w:cs="Calibri"/>
          <w:color w:val="000000"/>
          <w:sz w:val="22"/>
          <w:szCs w:val="22"/>
        </w:rPr>
      </w:pPr>
      <w:r w:rsidRPr="0037326C">
        <w:rPr>
          <w:rFonts w:ascii="Calibri" w:hAnsi="Calibri" w:cs="Calibri"/>
          <w:color w:val="000000"/>
          <w:sz w:val="22"/>
          <w:szCs w:val="22"/>
          <w:highlight w:val="yellow"/>
        </w:rPr>
        <w:t>TBD</w:t>
      </w:r>
    </w:p>
    <w:p w14:paraId="397C96B4" w14:textId="77777777" w:rsidR="0037326C" w:rsidRDefault="0037326C"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Heading1"/>
        <w:numPr>
          <w:ilvl w:val="0"/>
          <w:numId w:val="0"/>
        </w:numPr>
        <w:ind w:left="432" w:hanging="432"/>
      </w:pPr>
      <w:r>
        <w:lastRenderedPageBreak/>
        <w:t>Appendix A Editorial corrections to existing specifications</w:t>
      </w:r>
    </w:p>
    <w:p w14:paraId="638B52CA" w14:textId="6334DBDB" w:rsidR="00A607BD" w:rsidRDefault="00A607BD" w:rsidP="005C6208"/>
    <w:p w14:paraId="134F5531" w14:textId="660566D1" w:rsidR="00B127FA" w:rsidRPr="00BD1C69" w:rsidRDefault="00B127FA" w:rsidP="00B127FA">
      <w:pPr>
        <w:pStyle w:val="Heading2"/>
        <w:numPr>
          <w:ilvl w:val="0"/>
          <w:numId w:val="0"/>
        </w:numPr>
      </w:pPr>
      <w:r w:rsidRPr="0037326C">
        <w:rPr>
          <w:i w:val="0"/>
          <w:iCs/>
        </w:rPr>
        <w:t>A.1</w:t>
      </w:r>
      <w:r>
        <w:t xml:space="preserve"> </w:t>
      </w:r>
      <w:r w:rsidRPr="0037326C">
        <w:rPr>
          <w:i w:val="0"/>
          <w:iCs/>
        </w:rPr>
        <w:t>Higher layer parameters</w:t>
      </w:r>
    </w:p>
    <w:p w14:paraId="7DE34808" w14:textId="6DF51780" w:rsidR="00B127FA" w:rsidRDefault="00B127FA" w:rsidP="005C6208"/>
    <w:p w14:paraId="51C96D63" w14:textId="77D40780"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 xml:space="preserve">“An IAB-node MT can be provided, by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 xml:space="preserve">-IAB-MT, a list of slot format combinations applicable for one serving cell and, by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proofErr w:type="gramStart"/>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and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w:t>
      </w:r>
      <w:proofErr w:type="gramEnd"/>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518E2DF"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A.1.2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w:t>
      </w:r>
      <w:proofErr w:type="spellStart"/>
      <w:r w:rsidRPr="00EF0778">
        <w:rPr>
          <w:rFonts w:ascii="Calibri" w:hAnsi="Calibri" w:cs="Calibri" w:hint="eastAsia"/>
          <w:color w:val="000000"/>
          <w:sz w:val="22"/>
          <w:szCs w:val="22"/>
        </w:rPr>
        <w:t>gNB</w:t>
      </w:r>
      <w:proofErr w:type="spellEnd"/>
      <w:r w:rsidRPr="00EF0778">
        <w:rPr>
          <w:rFonts w:ascii="Calibri" w:hAnsi="Calibri" w:cs="Calibri" w:hint="eastAsia"/>
          <w:color w:val="000000"/>
          <w:sz w:val="22"/>
          <w:szCs w:val="22"/>
        </w:rPr>
        <w:t xml:space="preserve">-DU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TableGrid"/>
        <w:tblW w:w="9876" w:type="dxa"/>
        <w:tblLayout w:type="fixed"/>
        <w:tblLook w:val="04A0" w:firstRow="1" w:lastRow="0" w:firstColumn="1" w:lastColumn="0" w:noHBand="0" w:noVBand="1"/>
      </w:tblPr>
      <w:tblGrid>
        <w:gridCol w:w="9876"/>
      </w:tblGrid>
      <w:tr w:rsidR="00FC54C6" w14:paraId="578B0547" w14:textId="77777777" w:rsidTr="002262C8">
        <w:tc>
          <w:tcPr>
            <w:tcW w:w="9876" w:type="dxa"/>
          </w:tcPr>
          <w:p w14:paraId="5CDE4F09" w14:textId="77777777" w:rsidR="00FC54C6" w:rsidRDefault="00FC54C6" w:rsidP="002262C8">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w:t>
            </w:r>
            <w:proofErr w:type="spellStart"/>
            <w:r>
              <w:rPr>
                <w:i/>
                <w:iCs/>
                <w:strike/>
                <w:color w:val="FF0000"/>
              </w:rPr>
              <w:t>Configuration</w:t>
            </w:r>
            <w:r>
              <w:rPr>
                <w:i/>
                <w:iCs/>
                <w:color w:val="FF0000"/>
                <w:lang w:eastAsia="ja-JP"/>
              </w:rPr>
              <w:t>gNB</w:t>
            </w:r>
            <w:proofErr w:type="spellEnd"/>
            <w:r>
              <w:rPr>
                <w:i/>
                <w:iCs/>
                <w:color w:val="FF0000"/>
                <w:lang w:eastAsia="ja-JP"/>
              </w:rPr>
              <w:t>-DU Cell Resource Configuration</w:t>
            </w:r>
          </w:p>
        </w:tc>
      </w:tr>
      <w:tr w:rsidR="00FC54C6" w14:paraId="0B15F761" w14:textId="77777777" w:rsidTr="002262C8">
        <w:tc>
          <w:tcPr>
            <w:tcW w:w="9876" w:type="dxa"/>
          </w:tcPr>
          <w:p w14:paraId="0B565C0C" w14:textId="77777777" w:rsidR="00FC54C6" w:rsidRDefault="00FC54C6" w:rsidP="002262C8">
            <w:pPr>
              <w:pStyle w:val="B1"/>
              <w:spacing w:before="120" w:after="120"/>
              <w:ind w:left="0" w:firstLine="0"/>
            </w:pPr>
            <w:r>
              <w:t xml:space="preserve">The IAB-node DU can assume a same SCS configuration for </w:t>
            </w:r>
            <w:proofErr w:type="spellStart"/>
            <w:r>
              <w:rPr>
                <w:i/>
              </w:rPr>
              <w:t>availabilityCombinations</w:t>
            </w:r>
            <w:proofErr w:type="spellEnd"/>
            <w:r>
              <w:t xml:space="preserve"> for a serving cell as an SCS configuration provided by </w:t>
            </w:r>
            <w:r>
              <w:rPr>
                <w:i/>
                <w:iCs/>
                <w:strike/>
                <w:color w:val="FF0000"/>
              </w:rPr>
              <w:t>IAB-DU-Resource-Configuration</w:t>
            </w:r>
            <w:r>
              <w:rPr>
                <w:i/>
                <w:strike/>
                <w:color w:val="FF0000"/>
              </w:rPr>
              <w:t>-TDD-</w:t>
            </w:r>
            <w:proofErr w:type="spellStart"/>
            <w:r>
              <w:rPr>
                <w:i/>
                <w:strike/>
                <w:color w:val="FF0000"/>
              </w:rPr>
              <w:t>Confi</w:t>
            </w:r>
            <w:r>
              <w:rPr>
                <w:i/>
                <w:iCs/>
                <w:color w:val="FF0000"/>
                <w:lang w:eastAsia="ja-JP"/>
              </w:rPr>
              <w:t>gNB</w:t>
            </w:r>
            <w:proofErr w:type="spellEnd"/>
            <w:r>
              <w:rPr>
                <w:i/>
                <w:iCs/>
                <w:color w:val="FF0000"/>
                <w:lang w:eastAsia="ja-JP"/>
              </w:rPr>
              <w:t>-DU Cell Resource Configuration</w:t>
            </w:r>
            <w:r>
              <w:t xml:space="preserve"> for the serving cell</w:t>
            </w:r>
          </w:p>
        </w:tc>
      </w:tr>
    </w:tbl>
    <w:p w14:paraId="363D3FAF" w14:textId="77777777" w:rsidR="00FC54C6" w:rsidRPr="00033FC1" w:rsidRDefault="00FC54C6" w:rsidP="00D1103C"/>
    <w:sectPr w:rsidR="00FC54C6"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E82BA" w14:textId="77777777" w:rsidR="00900004" w:rsidRDefault="00900004" w:rsidP="00424124">
      <w:r>
        <w:separator/>
      </w:r>
    </w:p>
  </w:endnote>
  <w:endnote w:type="continuationSeparator" w:id="0">
    <w:p w14:paraId="647A2E04" w14:textId="77777777" w:rsidR="00900004" w:rsidRDefault="00900004" w:rsidP="00424124">
      <w:r>
        <w:continuationSeparator/>
      </w:r>
    </w:p>
  </w:endnote>
  <w:endnote w:type="continuationNotice" w:id="1">
    <w:p w14:paraId="5C52017B" w14:textId="77777777" w:rsidR="00900004" w:rsidRDefault="00900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altName w:val="Calibr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208F" w14:textId="77777777" w:rsidR="00900004" w:rsidRDefault="00900004" w:rsidP="00424124">
      <w:r>
        <w:separator/>
      </w:r>
    </w:p>
  </w:footnote>
  <w:footnote w:type="continuationSeparator" w:id="0">
    <w:p w14:paraId="2404D0C0" w14:textId="77777777" w:rsidR="00900004" w:rsidRDefault="00900004" w:rsidP="00424124">
      <w:r>
        <w:continuationSeparator/>
      </w:r>
    </w:p>
  </w:footnote>
  <w:footnote w:type="continuationNotice" w:id="1">
    <w:p w14:paraId="2A7E9930" w14:textId="77777777" w:rsidR="00900004" w:rsidRDefault="009000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BDA050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2"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C952EF9"/>
    <w:multiLevelType w:val="multilevel"/>
    <w:tmpl w:val="9CE68928"/>
    <w:lvl w:ilvl="0">
      <w:start w:val="2"/>
      <w:numFmt w:val="lowerLetter"/>
      <w:lvlText w:val="%1"/>
      <w:lvlJc w:val="left"/>
      <w:pPr>
        <w:ind w:left="360" w:hanging="360"/>
      </w:pPr>
      <w:rPr>
        <w:rFonts w:ascii="Calibri" w:eastAsia="Calibri" w:hAnsi="Calibri" w:cs="Times New Roman" w:hint="default"/>
        <w:b w:val="0"/>
        <w:sz w:val="22"/>
      </w:rPr>
    </w:lvl>
    <w:lvl w:ilvl="1">
      <w:start w:val="2"/>
      <w:numFmt w:val="decimal"/>
      <w:lvlText w:val="%1.%2"/>
      <w:lvlJc w:val="left"/>
      <w:pPr>
        <w:ind w:left="360" w:hanging="360"/>
      </w:pPr>
      <w:rPr>
        <w:rFonts w:ascii="Calibri" w:eastAsia="Calibri" w:hAnsi="Calibri" w:cs="Times New Roman" w:hint="default"/>
        <w:b w:val="0"/>
        <w:sz w:val="22"/>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440" w:hanging="1440"/>
      </w:pPr>
      <w:rPr>
        <w:rFonts w:ascii="Calibri" w:eastAsia="Calibri" w:hAnsi="Calibri" w:cs="Times New Roman" w:hint="default"/>
        <w:b w:val="0"/>
        <w:sz w:val="22"/>
      </w:rPr>
    </w:lvl>
  </w:abstractNum>
  <w:abstractNum w:abstractNumId="3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0"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8"/>
  </w:num>
  <w:num w:numId="4">
    <w:abstractNumId w:val="15"/>
  </w:num>
  <w:num w:numId="5">
    <w:abstractNumId w:val="25"/>
  </w:num>
  <w:num w:numId="6">
    <w:abstractNumId w:val="35"/>
  </w:num>
  <w:num w:numId="7">
    <w:abstractNumId w:val="21"/>
  </w:num>
  <w:num w:numId="8">
    <w:abstractNumId w:val="2"/>
  </w:num>
  <w:num w:numId="9">
    <w:abstractNumId w:val="36"/>
  </w:num>
  <w:num w:numId="10">
    <w:abstractNumId w:val="4"/>
  </w:num>
  <w:num w:numId="11">
    <w:abstractNumId w:val="31"/>
  </w:num>
  <w:num w:numId="12">
    <w:abstractNumId w:val="19"/>
  </w:num>
  <w:num w:numId="13">
    <w:abstractNumId w:val="3"/>
  </w:num>
  <w:num w:numId="14">
    <w:abstractNumId w:val="24"/>
  </w:num>
  <w:num w:numId="15">
    <w:abstractNumId w:val="39"/>
  </w:num>
  <w:num w:numId="16">
    <w:abstractNumId w:val="37"/>
  </w:num>
  <w:num w:numId="17">
    <w:abstractNumId w:val="33"/>
  </w:num>
  <w:num w:numId="18">
    <w:abstractNumId w:val="8"/>
  </w:num>
  <w:num w:numId="19">
    <w:abstractNumId w:val="41"/>
  </w:num>
  <w:num w:numId="20">
    <w:abstractNumId w:val="12"/>
  </w:num>
  <w:num w:numId="21">
    <w:abstractNumId w:val="34"/>
  </w:num>
  <w:num w:numId="22">
    <w:abstractNumId w:val="32"/>
  </w:num>
  <w:num w:numId="23">
    <w:abstractNumId w:val="10"/>
  </w:num>
  <w:num w:numId="24">
    <w:abstractNumId w:val="10"/>
  </w:num>
  <w:num w:numId="25">
    <w:abstractNumId w:val="26"/>
  </w:num>
  <w:num w:numId="26">
    <w:abstractNumId w:val="7"/>
  </w:num>
  <w:num w:numId="27">
    <w:abstractNumId w:val="6"/>
  </w:num>
  <w:num w:numId="28">
    <w:abstractNumId w:val="14"/>
  </w:num>
  <w:num w:numId="29">
    <w:abstractNumId w:val="31"/>
  </w:num>
  <w:num w:numId="30">
    <w:abstractNumId w:val="5"/>
  </w:num>
  <w:num w:numId="31">
    <w:abstractNumId w:val="40"/>
  </w:num>
  <w:num w:numId="32">
    <w:abstractNumId w:val="16"/>
  </w:num>
  <w:num w:numId="33">
    <w:abstractNumId w:val="23"/>
  </w:num>
  <w:num w:numId="34">
    <w:abstractNumId w:val="17"/>
  </w:num>
  <w:num w:numId="35">
    <w:abstractNumId w:val="30"/>
  </w:num>
  <w:num w:numId="36">
    <w:abstractNumId w:val="29"/>
  </w:num>
  <w:num w:numId="37">
    <w:abstractNumId w:val="11"/>
  </w:num>
  <w:num w:numId="38">
    <w:abstractNumId w:val="20"/>
  </w:num>
  <w:num w:numId="39">
    <w:abstractNumId w:val="0"/>
  </w:num>
  <w:num w:numId="40">
    <w:abstractNumId w:val="1"/>
  </w:num>
  <w:num w:numId="41">
    <w:abstractNumId w:val="22"/>
  </w:num>
  <w:num w:numId="42">
    <w:abstractNumId w:val="13"/>
  </w:num>
  <w:num w:numId="43">
    <w:abstractNumId w:val="27"/>
  </w:num>
  <w:num w:numId="44">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EF4"/>
    <w:rsid w:val="000161B8"/>
    <w:rsid w:val="00016778"/>
    <w:rsid w:val="00020202"/>
    <w:rsid w:val="00020F1A"/>
    <w:rsid w:val="00021726"/>
    <w:rsid w:val="00022B99"/>
    <w:rsid w:val="000248D8"/>
    <w:rsid w:val="00024D1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8AF"/>
    <w:rsid w:val="000B6772"/>
    <w:rsid w:val="000B6D99"/>
    <w:rsid w:val="000B7F70"/>
    <w:rsid w:val="000C0C9A"/>
    <w:rsid w:val="000C1B2A"/>
    <w:rsid w:val="000C21D0"/>
    <w:rsid w:val="000C2BCE"/>
    <w:rsid w:val="000C3426"/>
    <w:rsid w:val="000C57B9"/>
    <w:rsid w:val="000C5ADA"/>
    <w:rsid w:val="000C5B23"/>
    <w:rsid w:val="000C5D6D"/>
    <w:rsid w:val="000C708A"/>
    <w:rsid w:val="000D3338"/>
    <w:rsid w:val="000D389B"/>
    <w:rsid w:val="000D38DC"/>
    <w:rsid w:val="000D45A2"/>
    <w:rsid w:val="000D4D20"/>
    <w:rsid w:val="000E1E45"/>
    <w:rsid w:val="000E29D8"/>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359"/>
    <w:rsid w:val="00211955"/>
    <w:rsid w:val="00211D37"/>
    <w:rsid w:val="00211F9F"/>
    <w:rsid w:val="00212204"/>
    <w:rsid w:val="00212D20"/>
    <w:rsid w:val="00213492"/>
    <w:rsid w:val="0021352C"/>
    <w:rsid w:val="00216763"/>
    <w:rsid w:val="00216938"/>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94E"/>
    <w:rsid w:val="002C5F86"/>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2F8A"/>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402CF5"/>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6E46"/>
    <w:rsid w:val="004678E1"/>
    <w:rsid w:val="004704E9"/>
    <w:rsid w:val="00471971"/>
    <w:rsid w:val="00471A9F"/>
    <w:rsid w:val="004723A7"/>
    <w:rsid w:val="00473281"/>
    <w:rsid w:val="00473B68"/>
    <w:rsid w:val="00475737"/>
    <w:rsid w:val="004768FC"/>
    <w:rsid w:val="00477242"/>
    <w:rsid w:val="00477CC3"/>
    <w:rsid w:val="0048301B"/>
    <w:rsid w:val="00483AC8"/>
    <w:rsid w:val="00483EA9"/>
    <w:rsid w:val="00485EA0"/>
    <w:rsid w:val="00486561"/>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600AC9"/>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75F2"/>
    <w:rsid w:val="006E790B"/>
    <w:rsid w:val="006F055C"/>
    <w:rsid w:val="006F6165"/>
    <w:rsid w:val="006F7889"/>
    <w:rsid w:val="00700A03"/>
    <w:rsid w:val="007014CE"/>
    <w:rsid w:val="00702214"/>
    <w:rsid w:val="00702C40"/>
    <w:rsid w:val="00703E3A"/>
    <w:rsid w:val="00707D20"/>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934"/>
    <w:rsid w:val="008F538D"/>
    <w:rsid w:val="008F5F3D"/>
    <w:rsid w:val="00900004"/>
    <w:rsid w:val="00900F00"/>
    <w:rsid w:val="00903BD8"/>
    <w:rsid w:val="00903C0A"/>
    <w:rsid w:val="009044E8"/>
    <w:rsid w:val="009046D6"/>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C0762"/>
    <w:rsid w:val="009C1254"/>
    <w:rsid w:val="009C2167"/>
    <w:rsid w:val="009C4497"/>
    <w:rsid w:val="009C60C6"/>
    <w:rsid w:val="009C72C1"/>
    <w:rsid w:val="009C74B7"/>
    <w:rsid w:val="009C768A"/>
    <w:rsid w:val="009D0E10"/>
    <w:rsid w:val="009D0ED7"/>
    <w:rsid w:val="009D2D5A"/>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6228"/>
    <w:rsid w:val="00AB6473"/>
    <w:rsid w:val="00AB6B18"/>
    <w:rsid w:val="00AB758E"/>
    <w:rsid w:val="00AB75A3"/>
    <w:rsid w:val="00AB7B89"/>
    <w:rsid w:val="00AB7E05"/>
    <w:rsid w:val="00AB7FC6"/>
    <w:rsid w:val="00AC05AE"/>
    <w:rsid w:val="00AC1A7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A6A"/>
    <w:rsid w:val="00B04278"/>
    <w:rsid w:val="00B0786D"/>
    <w:rsid w:val="00B12672"/>
    <w:rsid w:val="00B127FA"/>
    <w:rsid w:val="00B12D8B"/>
    <w:rsid w:val="00B138DA"/>
    <w:rsid w:val="00B16D0D"/>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B0265"/>
    <w:rsid w:val="00BB02ED"/>
    <w:rsid w:val="00BB0893"/>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4402"/>
    <w:rsid w:val="00D3442F"/>
    <w:rsid w:val="00D37B92"/>
    <w:rsid w:val="00D37B93"/>
    <w:rsid w:val="00D42D89"/>
    <w:rsid w:val="00D437CC"/>
    <w:rsid w:val="00D446F1"/>
    <w:rsid w:val="00D451C1"/>
    <w:rsid w:val="00D456D8"/>
    <w:rsid w:val="00D45A0E"/>
    <w:rsid w:val="00D45DDE"/>
    <w:rsid w:val="00D463A9"/>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A97"/>
    <w:rsid w:val="00D72B4D"/>
    <w:rsid w:val="00D734D8"/>
    <w:rsid w:val="00D7445F"/>
    <w:rsid w:val="00D74DDF"/>
    <w:rsid w:val="00D76504"/>
    <w:rsid w:val="00D814AA"/>
    <w:rsid w:val="00D817BE"/>
    <w:rsid w:val="00D833F5"/>
    <w:rsid w:val="00D845E9"/>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590"/>
    <w:rsid w:val="00F50988"/>
    <w:rsid w:val="00F51745"/>
    <w:rsid w:val="00F55BA0"/>
    <w:rsid w:val="00F57965"/>
    <w:rsid w:val="00F611D4"/>
    <w:rsid w:val="00F65911"/>
    <w:rsid w:val="00F65A54"/>
    <w:rsid w:val="00F65B17"/>
    <w:rsid w:val="00F71810"/>
    <w:rsid w:val="00F71C06"/>
    <w:rsid w:val="00F72175"/>
    <w:rsid w:val="00F72ABE"/>
    <w:rsid w:val="00F72B1B"/>
    <w:rsid w:val="00F73F46"/>
    <w:rsid w:val="00F760C6"/>
    <w:rsid w:val="00F767B7"/>
    <w:rsid w:val="00F77560"/>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3"/>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ListBullet">
    <w:name w:val="List Bullet"/>
    <w:basedOn w:val="Normal"/>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20"/>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8"/>
      </w:numPr>
    </w:pPr>
  </w:style>
  <w:style w:type="numbering" w:customStyle="1" w:styleId="StyleBulletedSymbolsymbolLeft025Hanging0251">
    <w:name w:val="Style Bulleted Symbol (symbol) Left:  0.25&quot; Hanging:  0.25&quot;1"/>
    <w:basedOn w:val="NoList"/>
    <w:rsid w:val="00984F1E"/>
    <w:pPr>
      <w:numPr>
        <w:numId w:val="19"/>
      </w:numPr>
    </w:pPr>
  </w:style>
  <w:style w:type="numbering" w:customStyle="1" w:styleId="StyleBulletedSymbolsymbolLeft025Hanging0252">
    <w:name w:val="Style Bulleted Symbol (symbol) Left:  0.25&quot; Hanging:  0.25&quot;2"/>
    <w:basedOn w:val="NoList"/>
    <w:rsid w:val="00984F1E"/>
    <w:pPr>
      <w:numPr>
        <w:numId w:val="21"/>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29B23-9774-394A-B908-5193C1CC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3482</Words>
  <Characters>19854</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Kowalski, John</cp:lastModifiedBy>
  <cp:revision>2</cp:revision>
  <cp:lastPrinted>2016-02-23T10:51:00Z</cp:lastPrinted>
  <dcterms:created xsi:type="dcterms:W3CDTF">2020-04-15T21:24:00Z</dcterms:created>
  <dcterms:modified xsi:type="dcterms:W3CDTF">2020-04-15T21:24:00Z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