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a8"/>
        <w:jc w:val="left"/>
        <w:rPr>
          <w:sz w:val="16"/>
          <w:szCs w:val="16"/>
        </w:rPr>
      </w:pPr>
    </w:p>
    <w:p w14:paraId="3C632613" w14:textId="77777777" w:rsidR="00707D20" w:rsidRPr="00172743" w:rsidRDefault="00424124" w:rsidP="00326FF6">
      <w:pPr>
        <w:pStyle w:val="1"/>
      </w:pPr>
      <w:r w:rsidRPr="00172743">
        <w:t>Introduction</w:t>
      </w:r>
    </w:p>
    <w:p w14:paraId="42B88ADB" w14:textId="69CEFD5F" w:rsidR="0051424F" w:rsidRDefault="003327F3" w:rsidP="003327F3">
      <w:pPr>
        <w:pStyle w:val="afa"/>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r w:rsidR="000114C1" w:rsidRPr="007918EB">
        <w:rPr>
          <w:rFonts w:asciiTheme="minorHAnsi" w:hAnsiTheme="minorHAnsi" w:cstheme="minorHAnsi"/>
          <w:b/>
          <w:i/>
          <w:iCs/>
          <w:sz w:val="28"/>
          <w:szCs w:val="28"/>
          <w:lang w:val="en-GB"/>
        </w:rPr>
        <w:t>tdd-UL-DL-ConfigDedicated-IAB-MT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tdd-UL-DL-ConfigDedicated-IAB-MT for an IAB-node MT is similar to the higher layer parameter tdd-UL-DL-ConfigurationDedicated for a UE in Section 11 of TS 38.213 except that new slot formats for an IAB-node MT can be indicated by tdd-UL-DL-ConfigDedicated-IAB-MT.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tdd-UL-DL-ConfigurationDedicated are described. However, though it may be straightforward, the IAB-node MT behaviors related to slot format determination with tdd-UL-DL-ConfigDedicated-IAB-MT have not been captured. Consequently, when tdd-UL-DL-ConfigDedicated-IAB-MT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r w:rsidRPr="00190804">
              <w:rPr>
                <w:rFonts w:ascii="Calibri" w:eastAsia="Calibri" w:hAnsi="Calibri"/>
                <w:sz w:val="22"/>
                <w:szCs w:val="22"/>
              </w:rPr>
              <w:t xml:space="preserve">tdd-UL-DL-ConfigurationDedicated </w:t>
            </w:r>
            <w:r>
              <w:rPr>
                <w:rFonts w:ascii="Calibri" w:eastAsia="Calibri" w:hAnsi="Calibri"/>
                <w:sz w:val="22"/>
                <w:szCs w:val="22"/>
              </w:rPr>
              <w:t>and</w:t>
            </w:r>
            <w:r w:rsidRPr="00190804">
              <w:rPr>
                <w:rFonts w:ascii="Calibri" w:eastAsia="Calibri" w:hAnsi="Calibri"/>
                <w:sz w:val="22"/>
                <w:szCs w:val="22"/>
              </w:rPr>
              <w:t xml:space="preserve"> tdd-UL-DL-ConfigDedicated-IAB-MT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he IAB-node MT behaviors related to slot format determination with tdd-UL-DL-ConfigDedicate</w:t>
            </w:r>
            <w:r>
              <w:rPr>
                <w:rFonts w:ascii="Calibri" w:eastAsia="Calibri" w:hAnsi="Calibri"/>
                <w:sz w:val="22"/>
                <w:szCs w:val="22"/>
              </w:rPr>
              <w:t xml:space="preserve">d-IAB-MT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r>
              <w:rPr>
                <w:rFonts w:ascii="Calibri" w:eastAsia="Calibri" w:hAnsi="Calibri"/>
                <w:sz w:val="22"/>
                <w:szCs w:val="22"/>
              </w:rPr>
              <w:t>Qualcomnm</w:t>
            </w:r>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594E7C" w14:paraId="2540721C" w14:textId="77777777" w:rsidTr="00777ADF">
        <w:tc>
          <w:tcPr>
            <w:tcW w:w="1696" w:type="dxa"/>
          </w:tcPr>
          <w:p w14:paraId="3F8980E8" w14:textId="7AB32C85" w:rsidR="00594E7C" w:rsidRDefault="00594E7C" w:rsidP="00594E7C">
            <w:pPr>
              <w:rPr>
                <w:rFonts w:ascii="Calibri" w:eastAsia="Calibri" w:hAnsi="Calibri"/>
                <w:sz w:val="22"/>
                <w:szCs w:val="22"/>
              </w:rPr>
            </w:pPr>
            <w:r>
              <w:rPr>
                <w:rFonts w:ascii="Calibri" w:eastAsia="Calibri" w:hAnsi="Calibri"/>
                <w:sz w:val="22"/>
                <w:szCs w:val="22"/>
              </w:rPr>
              <w:t>ZTE, Sanechips</w:t>
            </w:r>
          </w:p>
        </w:tc>
        <w:tc>
          <w:tcPr>
            <w:tcW w:w="2265" w:type="dxa"/>
          </w:tcPr>
          <w:p w14:paraId="192327CA" w14:textId="46BFE726" w:rsidR="00594E7C" w:rsidRDefault="00594E7C" w:rsidP="00594E7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BA2C3F" w14:textId="5E2DCC6C" w:rsidR="00594E7C" w:rsidRDefault="00EB1856" w:rsidP="00594E7C">
            <w:pPr>
              <w:rPr>
                <w:rFonts w:ascii="Calibri" w:eastAsia="Calibri" w:hAnsi="Calibri"/>
                <w:sz w:val="22"/>
                <w:szCs w:val="22"/>
              </w:rPr>
            </w:pPr>
            <w:r>
              <w:rPr>
                <w:rFonts w:ascii="Calibri" w:eastAsia="Calibri" w:hAnsi="Calibri"/>
                <w:sz w:val="22"/>
                <w:szCs w:val="22"/>
              </w:rPr>
              <w:t xml:space="preserve">In our view, this is an editorial issue, but might not be an easy one. </w:t>
            </w:r>
            <w:r w:rsidR="00594E7C">
              <w:rPr>
                <w:rFonts w:ascii="Calibri" w:eastAsia="Calibri" w:hAnsi="Calibri"/>
                <w:sz w:val="22"/>
                <w:szCs w:val="22"/>
              </w:rPr>
              <w:t xml:space="preserve"> </w:t>
            </w:r>
          </w:p>
        </w:tc>
      </w:tr>
      <w:tr w:rsidR="00403797" w14:paraId="5C5F3840" w14:textId="77777777" w:rsidTr="00777ADF">
        <w:tc>
          <w:tcPr>
            <w:tcW w:w="1696" w:type="dxa"/>
          </w:tcPr>
          <w:p w14:paraId="48F5B0D9" w14:textId="59C5819E" w:rsidR="00403797" w:rsidRDefault="00403797" w:rsidP="00403797">
            <w:pPr>
              <w:rPr>
                <w:rFonts w:ascii="Calibri" w:eastAsia="Calibri" w:hAnsi="Calibri"/>
                <w:sz w:val="22"/>
                <w:szCs w:val="22"/>
              </w:rPr>
            </w:pPr>
            <w:r>
              <w:rPr>
                <w:rFonts w:ascii="Calibri" w:eastAsia="游明朝" w:hAnsi="Calibri" w:hint="eastAsia"/>
                <w:sz w:val="22"/>
                <w:szCs w:val="22"/>
                <w:lang w:eastAsia="ja-JP"/>
              </w:rPr>
              <w:t>NTT DOCOMO</w:t>
            </w:r>
          </w:p>
        </w:tc>
        <w:tc>
          <w:tcPr>
            <w:tcW w:w="2265" w:type="dxa"/>
          </w:tcPr>
          <w:p w14:paraId="148E5006" w14:textId="090A65BD"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Yes</w:t>
            </w:r>
          </w:p>
        </w:tc>
        <w:tc>
          <w:tcPr>
            <w:tcW w:w="6109" w:type="dxa"/>
          </w:tcPr>
          <w:p w14:paraId="32A0C2D5" w14:textId="6EEDC73E" w:rsidR="00403797" w:rsidRDefault="00403797" w:rsidP="00403797">
            <w:pPr>
              <w:rPr>
                <w:rFonts w:ascii="Calibri" w:eastAsia="Calibri" w:hAnsi="Calibri"/>
                <w:sz w:val="22"/>
                <w:szCs w:val="22"/>
              </w:rPr>
            </w:pPr>
            <w:r>
              <w:rPr>
                <w:rFonts w:ascii="Calibri" w:eastAsia="游明朝" w:hAnsi="Calibri" w:hint="eastAsia"/>
                <w:sz w:val="22"/>
                <w:szCs w:val="22"/>
                <w:lang w:eastAsia="ja-JP"/>
              </w:rPr>
              <w:t>Agree with AT&amp;T.</w:t>
            </w:r>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MTs.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2262C8">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r w:rsidR="000E3AA1" w:rsidRPr="000E3AA1">
              <w:rPr>
                <w:rFonts w:ascii="Calibri" w:eastAsia="Calibri" w:hAnsi="Calibri"/>
                <w:i/>
                <w:sz w:val="22"/>
                <w:szCs w:val="22"/>
              </w:rPr>
              <w:t>PDCCHConfigCommon</w:t>
            </w:r>
            <w:r w:rsidR="000E3AA1">
              <w:rPr>
                <w:rFonts w:ascii="Calibri" w:eastAsia="Calibri" w:hAnsi="Calibri"/>
                <w:sz w:val="22"/>
                <w:szCs w:val="22"/>
              </w:rPr>
              <w:t xml:space="preserve"> or </w:t>
            </w:r>
            <w:r w:rsidR="000E3AA1" w:rsidRPr="000E3AA1">
              <w:rPr>
                <w:rFonts w:ascii="Calibri" w:eastAsia="Calibri" w:hAnsi="Calibri"/>
                <w:i/>
                <w:sz w:val="22"/>
                <w:szCs w:val="22"/>
              </w:rPr>
              <w:t>PDCCH-ServingCellConfig</w:t>
            </w:r>
          </w:p>
        </w:tc>
      </w:tr>
      <w:tr w:rsidR="001D1FC3" w14:paraId="2B66A1AF" w14:textId="77777777" w:rsidTr="002262C8">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EB1856" w14:paraId="4DA055B5" w14:textId="77777777" w:rsidTr="002262C8">
        <w:tc>
          <w:tcPr>
            <w:tcW w:w="1696" w:type="dxa"/>
          </w:tcPr>
          <w:p w14:paraId="7A494F7E" w14:textId="1DA1C278" w:rsidR="00EB1856" w:rsidRDefault="00EB1856" w:rsidP="00EB1856">
            <w:pPr>
              <w:rPr>
                <w:rFonts w:ascii="Calibri" w:eastAsia="Calibri" w:hAnsi="Calibri"/>
                <w:sz w:val="22"/>
                <w:szCs w:val="22"/>
              </w:rPr>
            </w:pPr>
            <w:r>
              <w:rPr>
                <w:rFonts w:ascii="Calibri" w:eastAsia="Calibri" w:hAnsi="Calibri"/>
                <w:sz w:val="22"/>
                <w:szCs w:val="22"/>
              </w:rPr>
              <w:t>ZTE, Sanechips</w:t>
            </w:r>
          </w:p>
        </w:tc>
        <w:tc>
          <w:tcPr>
            <w:tcW w:w="2265" w:type="dxa"/>
          </w:tcPr>
          <w:p w14:paraId="697B9F63" w14:textId="61AE3BCD" w:rsidR="00EB1856" w:rsidRDefault="00EB1856" w:rsidP="00EB1856">
            <w:pPr>
              <w:rPr>
                <w:rFonts w:ascii="Calibri" w:eastAsia="Calibri" w:hAnsi="Calibri"/>
                <w:sz w:val="22"/>
                <w:szCs w:val="22"/>
              </w:rPr>
            </w:pPr>
            <w:r>
              <w:rPr>
                <w:rFonts w:ascii="Calibri" w:eastAsia="Calibri" w:hAnsi="Calibri"/>
                <w:sz w:val="22"/>
                <w:szCs w:val="22"/>
              </w:rPr>
              <w:t>Yes</w:t>
            </w:r>
          </w:p>
        </w:tc>
        <w:tc>
          <w:tcPr>
            <w:tcW w:w="6109" w:type="dxa"/>
          </w:tcPr>
          <w:p w14:paraId="469E9AAA" w14:textId="743908E0" w:rsidR="00EB1856" w:rsidRDefault="00EB1856" w:rsidP="00EB1856">
            <w:pPr>
              <w:rPr>
                <w:rFonts w:ascii="Calibri" w:eastAsia="Calibri" w:hAnsi="Calibri"/>
                <w:sz w:val="22"/>
                <w:szCs w:val="22"/>
              </w:rPr>
            </w:pPr>
            <w:r>
              <w:rPr>
                <w:rFonts w:ascii="Calibri" w:eastAsia="Calibri" w:hAnsi="Calibri"/>
                <w:sz w:val="22"/>
                <w:szCs w:val="22"/>
              </w:rPr>
              <w:t xml:space="preserve">Agree with AT&amp;T. </w:t>
            </w:r>
          </w:p>
        </w:tc>
      </w:tr>
      <w:tr w:rsidR="00403797" w14:paraId="4E047DA6" w14:textId="77777777" w:rsidTr="002262C8">
        <w:tc>
          <w:tcPr>
            <w:tcW w:w="1696" w:type="dxa"/>
          </w:tcPr>
          <w:p w14:paraId="12513180" w14:textId="18D9DEA6" w:rsidR="00403797" w:rsidRDefault="00403797" w:rsidP="00403797">
            <w:pPr>
              <w:rPr>
                <w:rFonts w:ascii="Calibri" w:eastAsia="Calibri" w:hAnsi="Calibri"/>
                <w:sz w:val="22"/>
                <w:szCs w:val="22"/>
              </w:rPr>
            </w:pPr>
            <w:r>
              <w:rPr>
                <w:rFonts w:ascii="Calibri" w:eastAsia="游明朝" w:hAnsi="Calibri" w:hint="eastAsia"/>
                <w:sz w:val="22"/>
                <w:szCs w:val="22"/>
                <w:lang w:eastAsia="ja-JP"/>
              </w:rPr>
              <w:t>NTT DOCOMO</w:t>
            </w:r>
          </w:p>
        </w:tc>
        <w:tc>
          <w:tcPr>
            <w:tcW w:w="2265" w:type="dxa"/>
          </w:tcPr>
          <w:p w14:paraId="4FE4B57E" w14:textId="793F459E" w:rsidR="00403797" w:rsidRDefault="00403797" w:rsidP="00403797">
            <w:pPr>
              <w:rPr>
                <w:rFonts w:ascii="Calibri" w:eastAsia="Calibri" w:hAnsi="Calibri"/>
                <w:sz w:val="22"/>
                <w:szCs w:val="22"/>
              </w:rPr>
            </w:pPr>
            <w:r>
              <w:rPr>
                <w:rFonts w:ascii="Calibri" w:eastAsia="游明朝" w:hAnsi="Calibri" w:hint="eastAsia"/>
                <w:sz w:val="22"/>
                <w:szCs w:val="22"/>
                <w:lang w:eastAsia="ja-JP"/>
              </w:rPr>
              <w:t>Yes</w:t>
            </w:r>
          </w:p>
        </w:tc>
        <w:tc>
          <w:tcPr>
            <w:tcW w:w="6109" w:type="dxa"/>
          </w:tcPr>
          <w:p w14:paraId="1413933E" w14:textId="0B5EAAE6" w:rsidR="00403797" w:rsidRDefault="00403797" w:rsidP="00403797">
            <w:pPr>
              <w:rPr>
                <w:rFonts w:ascii="Calibri" w:eastAsia="Calibri" w:hAnsi="Calibri"/>
                <w:sz w:val="22"/>
                <w:szCs w:val="22"/>
              </w:rPr>
            </w:pPr>
            <w:r>
              <w:rPr>
                <w:rFonts w:ascii="Calibri" w:eastAsia="游明朝" w:hAnsi="Calibri" w:hint="eastAsia"/>
                <w:sz w:val="22"/>
                <w:szCs w:val="22"/>
                <w:lang w:eastAsia="ja-JP"/>
              </w:rPr>
              <w:t xml:space="preserve">Agree </w:t>
            </w:r>
            <w:r>
              <w:rPr>
                <w:rFonts w:ascii="Calibri" w:eastAsia="游明朝" w:hAnsi="Calibri"/>
                <w:sz w:val="22"/>
                <w:szCs w:val="22"/>
                <w:lang w:eastAsia="ja-JP"/>
              </w:rPr>
              <w:t xml:space="preserve">with </w:t>
            </w:r>
            <w:r>
              <w:rPr>
                <w:rFonts w:ascii="Calibri" w:eastAsia="游明朝" w:hAnsi="Calibri" w:hint="eastAsia"/>
                <w:sz w:val="22"/>
                <w:szCs w:val="22"/>
                <w:lang w:eastAsia="ja-JP"/>
              </w:rPr>
              <w:t>AT&amp;T, and size of 4 may be sufficient.</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2262C8">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2262C8">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EB1856" w14:paraId="579A751B" w14:textId="77777777" w:rsidTr="002262C8">
        <w:tc>
          <w:tcPr>
            <w:tcW w:w="1696" w:type="dxa"/>
          </w:tcPr>
          <w:p w14:paraId="5020F32B" w14:textId="701D1452" w:rsidR="00EB1856" w:rsidRDefault="00EB1856" w:rsidP="00EB1856">
            <w:pPr>
              <w:rPr>
                <w:rFonts w:ascii="Calibri" w:eastAsiaTheme="minorEastAsia" w:hAnsi="Calibri"/>
                <w:sz w:val="22"/>
                <w:szCs w:val="22"/>
                <w:lang w:eastAsia="zh-CN"/>
              </w:rPr>
            </w:pPr>
            <w:r>
              <w:rPr>
                <w:rFonts w:ascii="Calibri" w:eastAsia="Calibri" w:hAnsi="Calibri"/>
                <w:sz w:val="22"/>
                <w:szCs w:val="22"/>
              </w:rPr>
              <w:t>ZTE, Sanechips</w:t>
            </w:r>
          </w:p>
        </w:tc>
        <w:tc>
          <w:tcPr>
            <w:tcW w:w="2265" w:type="dxa"/>
          </w:tcPr>
          <w:p w14:paraId="1B1DA1D3" w14:textId="26A17531" w:rsidR="00EB1856" w:rsidRDefault="00EB1856" w:rsidP="00EB1856">
            <w:pPr>
              <w:rPr>
                <w:rFonts w:ascii="Calibri" w:eastAsiaTheme="minorEastAsia" w:hAnsi="Calibri"/>
                <w:sz w:val="22"/>
                <w:szCs w:val="22"/>
                <w:lang w:eastAsia="zh-CN"/>
              </w:rPr>
            </w:pPr>
            <w:r>
              <w:rPr>
                <w:rFonts w:ascii="Calibri" w:eastAsia="Calibri" w:hAnsi="Calibri"/>
                <w:sz w:val="22"/>
                <w:szCs w:val="22"/>
              </w:rPr>
              <w:t>Yes</w:t>
            </w:r>
          </w:p>
        </w:tc>
        <w:tc>
          <w:tcPr>
            <w:tcW w:w="6109" w:type="dxa"/>
          </w:tcPr>
          <w:p w14:paraId="5AD5D007" w14:textId="13E9400A" w:rsidR="00EB1856" w:rsidRDefault="00EB1856" w:rsidP="00EB1856">
            <w:pPr>
              <w:rPr>
                <w:rFonts w:ascii="Calibri" w:eastAsia="Calibri" w:hAnsi="Calibri"/>
                <w:sz w:val="22"/>
                <w:szCs w:val="22"/>
              </w:rPr>
            </w:pPr>
          </w:p>
        </w:tc>
      </w:tr>
      <w:tr w:rsidR="00403797" w14:paraId="61247B79" w14:textId="77777777" w:rsidTr="002262C8">
        <w:tc>
          <w:tcPr>
            <w:tcW w:w="1696" w:type="dxa"/>
          </w:tcPr>
          <w:p w14:paraId="48609E61" w14:textId="6C0B75DC" w:rsidR="00403797" w:rsidRDefault="00403797" w:rsidP="00403797">
            <w:pPr>
              <w:rPr>
                <w:rFonts w:ascii="Calibri" w:eastAsia="Calibri" w:hAnsi="Calibri"/>
                <w:sz w:val="22"/>
                <w:szCs w:val="22"/>
              </w:rPr>
            </w:pPr>
            <w:r>
              <w:rPr>
                <w:rFonts w:ascii="Calibri" w:eastAsia="游明朝" w:hAnsi="Calibri" w:hint="eastAsia"/>
                <w:sz w:val="22"/>
                <w:szCs w:val="22"/>
                <w:lang w:eastAsia="ja-JP"/>
              </w:rPr>
              <w:t>NTT DOCOMO</w:t>
            </w:r>
          </w:p>
        </w:tc>
        <w:tc>
          <w:tcPr>
            <w:tcW w:w="2265" w:type="dxa"/>
          </w:tcPr>
          <w:p w14:paraId="3DA8C52F" w14:textId="0EB57C20" w:rsidR="00403797" w:rsidRDefault="00403797" w:rsidP="00403797">
            <w:pPr>
              <w:rPr>
                <w:rFonts w:ascii="Calibri" w:eastAsia="Calibri" w:hAnsi="Calibri"/>
                <w:sz w:val="22"/>
                <w:szCs w:val="22"/>
              </w:rPr>
            </w:pPr>
            <w:r>
              <w:rPr>
                <w:rFonts w:ascii="Calibri" w:eastAsia="游明朝" w:hAnsi="Calibri" w:hint="eastAsia"/>
                <w:sz w:val="22"/>
                <w:szCs w:val="22"/>
                <w:lang w:eastAsia="ja-JP"/>
              </w:rPr>
              <w:t>Yes</w:t>
            </w:r>
          </w:p>
        </w:tc>
        <w:tc>
          <w:tcPr>
            <w:tcW w:w="6109" w:type="dxa"/>
          </w:tcPr>
          <w:p w14:paraId="0EA16821" w14:textId="63678D32" w:rsidR="00403797" w:rsidRDefault="00403797" w:rsidP="00403797">
            <w:pPr>
              <w:rPr>
                <w:rFonts w:ascii="Calibri" w:eastAsia="Calibri" w:hAnsi="Calibri"/>
                <w:sz w:val="22"/>
                <w:szCs w:val="22"/>
              </w:rPr>
            </w:pPr>
            <w:r>
              <w:rPr>
                <w:rFonts w:ascii="Calibri" w:eastAsia="游明朝" w:hAnsi="Calibri" w:hint="eastAsia"/>
                <w:sz w:val="22"/>
                <w:szCs w:val="22"/>
                <w:lang w:eastAsia="ja-JP"/>
              </w:rPr>
              <w:t>Agree with AT&amp;T.</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2"/>
      </w:pPr>
      <w:r>
        <w:lastRenderedPageBreak/>
        <w:t>Guard symbols for transitions between IAB-MT and IAB-DU</w:t>
      </w:r>
    </w:p>
    <w:p w14:paraId="5AF94F84" w14:textId="35A10054" w:rsidR="00C1230D" w:rsidRPr="00600AC9" w:rsidRDefault="00C1230D" w:rsidP="00600AC9">
      <w:pPr>
        <w:pStyle w:val="aa"/>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2262C8">
        <w:tc>
          <w:tcPr>
            <w:tcW w:w="1696" w:type="dxa"/>
          </w:tcPr>
          <w:p w14:paraId="260E380E" w14:textId="0B357088" w:rsidR="00600AC9" w:rsidRPr="00600AC9" w:rsidRDefault="00600AC9" w:rsidP="002262C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2262C8">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2262C8">
        <w:tc>
          <w:tcPr>
            <w:tcW w:w="1696" w:type="dxa"/>
          </w:tcPr>
          <w:p w14:paraId="6057BCB3" w14:textId="5725189D" w:rsidR="001D1FC3" w:rsidRDefault="001D1FC3" w:rsidP="002262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2262C8">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015930" w14:paraId="40738727" w14:textId="77777777" w:rsidTr="002262C8">
        <w:tc>
          <w:tcPr>
            <w:tcW w:w="1696" w:type="dxa"/>
          </w:tcPr>
          <w:p w14:paraId="36C99757" w14:textId="2B14B571" w:rsidR="00015930" w:rsidRDefault="00015930" w:rsidP="002262C8">
            <w:pPr>
              <w:rPr>
                <w:rFonts w:ascii="Calibri" w:eastAsiaTheme="minorEastAsia" w:hAnsi="Calibri"/>
                <w:sz w:val="22"/>
                <w:szCs w:val="22"/>
                <w:lang w:eastAsia="zh-CN"/>
              </w:rPr>
            </w:pPr>
            <w:r>
              <w:rPr>
                <w:rFonts w:ascii="Calibri" w:eastAsiaTheme="minorEastAsia" w:hAnsi="Calibri"/>
                <w:sz w:val="22"/>
                <w:szCs w:val="22"/>
                <w:lang w:eastAsia="zh-CN"/>
              </w:rPr>
              <w:lastRenderedPageBreak/>
              <w:t>ZTE, Sanechips</w:t>
            </w:r>
          </w:p>
        </w:tc>
        <w:tc>
          <w:tcPr>
            <w:tcW w:w="2265" w:type="dxa"/>
          </w:tcPr>
          <w:p w14:paraId="6EBFB4A1" w14:textId="58197310" w:rsidR="00015930" w:rsidRDefault="00015930" w:rsidP="002262C8">
            <w:pPr>
              <w:rPr>
                <w:rFonts w:ascii="Calibri" w:eastAsia="Calibri" w:hAnsi="Calibri"/>
                <w:sz w:val="22"/>
                <w:szCs w:val="22"/>
              </w:rPr>
            </w:pPr>
            <w:r>
              <w:rPr>
                <w:rFonts w:ascii="Calibri" w:eastAsia="Calibri" w:hAnsi="Calibri"/>
                <w:sz w:val="22"/>
                <w:szCs w:val="22"/>
              </w:rPr>
              <w:t>Not sure</w:t>
            </w:r>
          </w:p>
        </w:tc>
        <w:tc>
          <w:tcPr>
            <w:tcW w:w="6109" w:type="dxa"/>
          </w:tcPr>
          <w:p w14:paraId="4B817508" w14:textId="21AC5127" w:rsidR="00015930" w:rsidRDefault="00015930" w:rsidP="00477242">
            <w:pPr>
              <w:rPr>
                <w:rFonts w:ascii="Calibri" w:eastAsiaTheme="minorEastAsia" w:hAnsi="Calibri"/>
                <w:sz w:val="22"/>
                <w:szCs w:val="22"/>
                <w:lang w:eastAsia="zh-CN"/>
              </w:rPr>
            </w:pPr>
            <w:r>
              <w:rPr>
                <w:rFonts w:ascii="Calibri" w:eastAsiaTheme="minorEastAsia" w:hAnsi="Calibri"/>
                <w:sz w:val="22"/>
                <w:szCs w:val="22"/>
                <w:lang w:eastAsia="zh-CN"/>
              </w:rPr>
              <w:t>As mentioned by AT&amp;T, this discussion would be for optimization.</w:t>
            </w:r>
            <w:r w:rsidR="00684D0E">
              <w:rPr>
                <w:rFonts w:ascii="Calibri" w:eastAsiaTheme="minorEastAsia" w:hAnsi="Calibri"/>
                <w:sz w:val="22"/>
                <w:szCs w:val="22"/>
                <w:lang w:eastAsia="zh-CN"/>
              </w:rPr>
              <w:t xml:space="preserve"> So it is not essential.</w:t>
            </w:r>
            <w:r>
              <w:rPr>
                <w:rFonts w:ascii="Calibri" w:eastAsiaTheme="minorEastAsia" w:hAnsi="Calibri"/>
                <w:sz w:val="22"/>
                <w:szCs w:val="22"/>
                <w:lang w:eastAsia="zh-CN"/>
              </w:rPr>
              <w:t xml:space="preserve"> In addition, </w:t>
            </w:r>
            <w:r w:rsidR="00820639">
              <w:rPr>
                <w:rFonts w:ascii="Calibri" w:eastAsiaTheme="minorEastAsia" w:hAnsi="Calibri"/>
                <w:sz w:val="22"/>
                <w:szCs w:val="22"/>
                <w:lang w:eastAsia="zh-CN"/>
              </w:rPr>
              <w:t xml:space="preserve">if we understand correctly, </w:t>
            </w:r>
            <w:r>
              <w:rPr>
                <w:rFonts w:ascii="Calibri" w:eastAsiaTheme="minorEastAsia" w:hAnsi="Calibri"/>
                <w:sz w:val="22"/>
                <w:szCs w:val="22"/>
                <w:lang w:eastAsia="zh-CN"/>
              </w:rPr>
              <w:t>the Proposal 1 in R1-2002535, which says “</w:t>
            </w:r>
            <w:r w:rsidRPr="00015930">
              <w:rPr>
                <w:rStyle w:val="aff6"/>
                <w:sz w:val="22"/>
                <w:szCs w:val="22"/>
              </w:rPr>
              <w:t>Guard symbols are inserted by the parent node …. only when all the following conditions are satisfied …</w:t>
            </w:r>
            <w:r>
              <w:rPr>
                <w:rFonts w:ascii="Calibri" w:eastAsiaTheme="minorEastAsia" w:hAnsi="Calibri"/>
                <w:sz w:val="22"/>
                <w:szCs w:val="22"/>
                <w:lang w:eastAsia="zh-CN"/>
              </w:rPr>
              <w:t>”, seems describing a parent node behavior</w:t>
            </w:r>
            <w:r w:rsidR="00820639">
              <w:rPr>
                <w:rFonts w:ascii="Calibri" w:eastAsiaTheme="minorEastAsia" w:hAnsi="Calibri"/>
                <w:sz w:val="22"/>
                <w:szCs w:val="22"/>
                <w:lang w:eastAsia="zh-CN"/>
              </w:rPr>
              <w:t xml:space="preserve">, and the parent node behavior </w:t>
            </w:r>
            <w:r>
              <w:rPr>
                <w:rFonts w:ascii="Calibri" w:eastAsiaTheme="minorEastAsia" w:hAnsi="Calibri"/>
                <w:sz w:val="22"/>
                <w:szCs w:val="22"/>
                <w:lang w:eastAsia="zh-CN"/>
              </w:rPr>
              <w:t xml:space="preserve">is normally not captured in spec. </w:t>
            </w:r>
          </w:p>
        </w:tc>
      </w:tr>
      <w:tr w:rsidR="00403797" w14:paraId="62128675" w14:textId="77777777" w:rsidTr="002262C8">
        <w:tc>
          <w:tcPr>
            <w:tcW w:w="1696" w:type="dxa"/>
          </w:tcPr>
          <w:p w14:paraId="0AABE343" w14:textId="5F8F6778"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NTT DOCOMO</w:t>
            </w:r>
          </w:p>
        </w:tc>
        <w:tc>
          <w:tcPr>
            <w:tcW w:w="2265" w:type="dxa"/>
          </w:tcPr>
          <w:p w14:paraId="7F3A2574" w14:textId="1B814BF9" w:rsidR="00403797" w:rsidRDefault="00403797" w:rsidP="00403797">
            <w:pPr>
              <w:rPr>
                <w:rFonts w:ascii="Calibri" w:eastAsia="Calibri" w:hAnsi="Calibri"/>
                <w:sz w:val="22"/>
                <w:szCs w:val="22"/>
              </w:rPr>
            </w:pPr>
            <w:r>
              <w:rPr>
                <w:rFonts w:ascii="Calibri" w:eastAsia="游明朝" w:hAnsi="Calibri" w:hint="eastAsia"/>
                <w:sz w:val="22"/>
                <w:szCs w:val="22"/>
                <w:lang w:eastAsia="ja-JP"/>
              </w:rPr>
              <w:t>Not sure</w:t>
            </w:r>
          </w:p>
        </w:tc>
        <w:tc>
          <w:tcPr>
            <w:tcW w:w="6109" w:type="dxa"/>
          </w:tcPr>
          <w:p w14:paraId="74BBC21B" w14:textId="4A4C6014" w:rsidR="00403797" w:rsidRDefault="00403797" w:rsidP="00403797">
            <w:pPr>
              <w:rPr>
                <w:rFonts w:ascii="Calibri" w:eastAsiaTheme="minorEastAsia" w:hAnsi="Calibri"/>
                <w:sz w:val="22"/>
                <w:szCs w:val="22"/>
                <w:lang w:eastAsia="zh-CN"/>
              </w:rPr>
            </w:pPr>
            <w:r>
              <w:rPr>
                <w:rFonts w:ascii="Calibri" w:eastAsia="游明朝" w:hAnsi="Calibri"/>
                <w:sz w:val="22"/>
                <w:szCs w:val="22"/>
                <w:lang w:eastAsia="ja-JP"/>
              </w:rPr>
              <w:t>The common information between parent nodes and IAB nodes is clear, so that the same guard symbols can be derived based on the information.</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2262C8">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2262C8">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820639" w14:paraId="03B1D0B6" w14:textId="77777777" w:rsidTr="002262C8">
        <w:tc>
          <w:tcPr>
            <w:tcW w:w="1696" w:type="dxa"/>
          </w:tcPr>
          <w:p w14:paraId="3845CA2D" w14:textId="57A082EC"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6869E428" w14:textId="43CB8967"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162BB22" w14:textId="7262FCF2" w:rsidR="00820639" w:rsidRDefault="0082063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The issue can be avoided by CU/parent implementation. </w:t>
            </w:r>
          </w:p>
        </w:tc>
      </w:tr>
      <w:tr w:rsidR="00403797" w14:paraId="556CDDD6" w14:textId="77777777" w:rsidTr="002262C8">
        <w:tc>
          <w:tcPr>
            <w:tcW w:w="1696" w:type="dxa"/>
          </w:tcPr>
          <w:p w14:paraId="47521F19" w14:textId="6CDE7216"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NTT DOCOMO</w:t>
            </w:r>
          </w:p>
        </w:tc>
        <w:tc>
          <w:tcPr>
            <w:tcW w:w="2265" w:type="dxa"/>
          </w:tcPr>
          <w:p w14:paraId="347FEEA7" w14:textId="2CCBBA8B"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Not sure</w:t>
            </w:r>
          </w:p>
        </w:tc>
        <w:tc>
          <w:tcPr>
            <w:tcW w:w="6109" w:type="dxa"/>
          </w:tcPr>
          <w:p w14:paraId="2AF35E14" w14:textId="1EC0266A"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 xml:space="preserve">It seems that it can be left for implementation. </w:t>
            </w:r>
            <w:r>
              <w:rPr>
                <w:rFonts w:ascii="Calibri" w:eastAsia="游明朝" w:hAnsi="Calibri"/>
                <w:sz w:val="22"/>
                <w:szCs w:val="22"/>
                <w:lang w:eastAsia="ja-JP"/>
              </w:rPr>
              <w:t>We just consider which is the efficient approach between a parent node has the information, and the parent node configure the maximum number of guard symbol.</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aff6"/>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In the current TS 38.213 specifications the behavior related to the guard symbols is described as follows:</w:t>
      </w:r>
    </w:p>
    <w:p w14:paraId="645ACE1C" w14:textId="77777777" w:rsidR="00221F1A" w:rsidRDefault="00221F1A" w:rsidP="00221F1A">
      <w:pPr>
        <w:rPr>
          <w:rStyle w:val="aff6"/>
          <w:b w:val="0"/>
          <w:bCs w:val="0"/>
        </w:rPr>
      </w:pPr>
    </w:p>
    <w:tbl>
      <w:tblPr>
        <w:tblStyle w:val="afc"/>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aff6"/>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guard-SymbolsProvided</w:t>
            </w:r>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aff6"/>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2262C8">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2262C8">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and in some cases it may not even be guaranteed,</w:t>
            </w:r>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215092" w14:paraId="4616CAA3" w14:textId="77777777" w:rsidTr="002262C8">
        <w:tc>
          <w:tcPr>
            <w:tcW w:w="1696" w:type="dxa"/>
          </w:tcPr>
          <w:p w14:paraId="1B376E9B" w14:textId="704F98B7" w:rsidR="00215092" w:rsidRDefault="00215092" w:rsidP="00215092">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389AF445" w14:textId="1AB22055" w:rsidR="00215092" w:rsidRDefault="009D2EC6" w:rsidP="0021509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1B99F033" w14:textId="590B6667" w:rsidR="009D2EC6" w:rsidRDefault="009D2EC6"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Firstly, this issue can be avoided by implementation as commented by AT&amp;T. Secondly, in case it cannot be completely avoided as concerned by Qualcomm, it should not be treated as frequently-occurring event, otherwise the semi-persistent transmission is just badly configured. For each occurring of such event, </w:t>
            </w:r>
            <w:r w:rsidR="009B6E1E">
              <w:rPr>
                <w:rFonts w:ascii="Calibri" w:eastAsiaTheme="minorEastAsia" w:hAnsi="Calibri"/>
                <w:sz w:val="22"/>
                <w:szCs w:val="22"/>
                <w:lang w:eastAsia="zh-CN"/>
              </w:rPr>
              <w:t>taking example of transmission by parent and reception by IAB-MT</w:t>
            </w:r>
          </w:p>
          <w:p w14:paraId="5C7E3BD7" w14:textId="5267EA21" w:rsidR="00B17223" w:rsidRDefault="009D2EC6" w:rsidP="009D2EC6">
            <w:pPr>
              <w:pStyle w:val="aa"/>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If the parent node decides to discard, there is no much difference between two choices on IAB-MT side from RAN1 perspective. </w:t>
            </w:r>
          </w:p>
          <w:p w14:paraId="778DC296" w14:textId="61AAD656" w:rsidR="009D2EC6" w:rsidRPr="009D2EC6" w:rsidRDefault="009D2EC6" w:rsidP="009D2EC6">
            <w:pPr>
              <w:pStyle w:val="aa"/>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t xml:space="preserve">If the parent node decides to puncture and IAB-MT assumes a discard, </w:t>
            </w:r>
            <w:r w:rsidR="009B6E1E">
              <w:rPr>
                <w:rFonts w:ascii="Calibri" w:eastAsiaTheme="minorEastAsia" w:hAnsi="Calibri"/>
                <w:sz w:val="22"/>
                <w:szCs w:val="22"/>
                <w:lang w:eastAsia="zh-CN"/>
              </w:rPr>
              <w:t xml:space="preserve">the performance degradation might not be large comparing to both having the same understanding on the transmission, given the transmission is punctured anyway. </w:t>
            </w:r>
          </w:p>
          <w:p w14:paraId="32CAF8B8" w14:textId="43BB218F" w:rsidR="009D2EC6" w:rsidRPr="00215092" w:rsidRDefault="009B6E1E"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Last, leaving the issue to implementation may also allow the adaptive reception based on number of guard symbols in the concerned situation. </w:t>
            </w:r>
          </w:p>
          <w:p w14:paraId="2B99CB3E" w14:textId="6FFEC803" w:rsidR="00215092" w:rsidRPr="00B17223" w:rsidRDefault="00215092" w:rsidP="00B17223">
            <w:pPr>
              <w:rPr>
                <w:rFonts w:ascii="Calibri" w:eastAsiaTheme="minorEastAsia" w:hAnsi="Calibri"/>
                <w:sz w:val="22"/>
                <w:szCs w:val="22"/>
                <w:lang w:eastAsia="zh-CN"/>
              </w:rPr>
            </w:pPr>
          </w:p>
        </w:tc>
      </w:tr>
      <w:tr w:rsidR="00403797" w14:paraId="31604711" w14:textId="77777777" w:rsidTr="002262C8">
        <w:tc>
          <w:tcPr>
            <w:tcW w:w="1696" w:type="dxa"/>
          </w:tcPr>
          <w:p w14:paraId="6588593C" w14:textId="5E129ADA"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lastRenderedPageBreak/>
              <w:t>NTT DOCOMO</w:t>
            </w:r>
          </w:p>
        </w:tc>
        <w:tc>
          <w:tcPr>
            <w:tcW w:w="2265" w:type="dxa"/>
          </w:tcPr>
          <w:p w14:paraId="3AD43EFE" w14:textId="0ACB9083"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No</w:t>
            </w:r>
          </w:p>
        </w:tc>
        <w:tc>
          <w:tcPr>
            <w:tcW w:w="6109" w:type="dxa"/>
          </w:tcPr>
          <w:p w14:paraId="7B817B33" w14:textId="3E73B9F9"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As in AT&amp;T, a parent node can handle with scheduling the resource with considering the guard symbols.</w:t>
            </w:r>
          </w:p>
        </w:tc>
      </w:tr>
    </w:tbl>
    <w:p w14:paraId="2F478C91" w14:textId="7BA09B68"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RRC parameter spreadsheet the following parameter positionInDCI-AI was defined as the (starting) position (bit) of the availabilityCombinationId (AI-Index) for the indicated IAB-DU cell (iabDuCellId-AI) within the DCI payload. It has a value range of INTEGER(0..maxAI-DCI-PayloadSize-1), however maxAI-DCI-PayloadSize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RAN1 should clarify confirm maxAI-DCI-PayloadSize = maxSFI-DCI-PayloadSize = 128 and inform RAN2.</w:t>
            </w:r>
          </w:p>
        </w:tc>
      </w:tr>
      <w:tr w:rsidR="00F10FFC" w14:paraId="04B31D21" w14:textId="77777777" w:rsidTr="002262C8">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2262C8">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2102C0" w14:paraId="3A45A0CE" w14:textId="77777777" w:rsidTr="002262C8">
        <w:tc>
          <w:tcPr>
            <w:tcW w:w="1696" w:type="dxa"/>
          </w:tcPr>
          <w:p w14:paraId="6ECD399F" w14:textId="61E3A4A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ZTE</w:t>
            </w:r>
            <w:r>
              <w:rPr>
                <w:rFonts w:ascii="Calibri" w:eastAsia="SimSun" w:hAnsi="Calibri"/>
                <w:sz w:val="22"/>
                <w:szCs w:val="22"/>
                <w:lang w:eastAsia="zh-CN"/>
              </w:rPr>
              <w:t>, Sanechips</w:t>
            </w:r>
          </w:p>
        </w:tc>
        <w:tc>
          <w:tcPr>
            <w:tcW w:w="2265" w:type="dxa"/>
          </w:tcPr>
          <w:p w14:paraId="52288990" w14:textId="4E92696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Yes</w:t>
            </w:r>
          </w:p>
        </w:tc>
        <w:tc>
          <w:tcPr>
            <w:tcW w:w="6109" w:type="dxa"/>
          </w:tcPr>
          <w:p w14:paraId="78323C71" w14:textId="0ECD89B7" w:rsidR="002102C0" w:rsidRDefault="002102C0" w:rsidP="002102C0">
            <w:pPr>
              <w:rPr>
                <w:rFonts w:ascii="Calibri" w:eastAsia="Calibri" w:hAnsi="Calibri"/>
                <w:sz w:val="22"/>
                <w:szCs w:val="22"/>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403797" w14:paraId="3C3EBC8D" w14:textId="77777777" w:rsidTr="002262C8">
        <w:tc>
          <w:tcPr>
            <w:tcW w:w="1696" w:type="dxa"/>
          </w:tcPr>
          <w:p w14:paraId="2012A09B" w14:textId="0B37ACC3" w:rsidR="00403797" w:rsidRDefault="00403797" w:rsidP="00403797">
            <w:pPr>
              <w:rPr>
                <w:rFonts w:ascii="Calibri" w:eastAsia="SimSun" w:hAnsi="Calibri" w:hint="eastAsia"/>
                <w:sz w:val="22"/>
                <w:szCs w:val="22"/>
                <w:lang w:eastAsia="zh-CN"/>
              </w:rPr>
            </w:pPr>
            <w:r>
              <w:rPr>
                <w:rFonts w:ascii="Calibri" w:eastAsia="游明朝" w:hAnsi="Calibri" w:hint="eastAsia"/>
                <w:sz w:val="22"/>
                <w:szCs w:val="22"/>
                <w:lang w:eastAsia="ja-JP"/>
              </w:rPr>
              <w:t>DOCOMO</w:t>
            </w:r>
          </w:p>
        </w:tc>
        <w:tc>
          <w:tcPr>
            <w:tcW w:w="2265" w:type="dxa"/>
          </w:tcPr>
          <w:p w14:paraId="05A80C84" w14:textId="71EB71D4" w:rsidR="00403797" w:rsidRDefault="00403797" w:rsidP="00403797">
            <w:pPr>
              <w:rPr>
                <w:rFonts w:ascii="Calibri" w:eastAsia="SimSun" w:hAnsi="Calibri" w:hint="eastAsia"/>
                <w:sz w:val="22"/>
                <w:szCs w:val="22"/>
                <w:lang w:eastAsia="zh-CN"/>
              </w:rPr>
            </w:pPr>
            <w:r>
              <w:rPr>
                <w:rFonts w:ascii="Calibri" w:eastAsia="游明朝" w:hAnsi="Calibri"/>
                <w:sz w:val="22"/>
                <w:szCs w:val="22"/>
                <w:lang w:eastAsia="ja-JP"/>
              </w:rPr>
              <w:t>No</w:t>
            </w:r>
          </w:p>
        </w:tc>
        <w:tc>
          <w:tcPr>
            <w:tcW w:w="6109" w:type="dxa"/>
          </w:tcPr>
          <w:p w14:paraId="1AF4CBE4" w14:textId="707ACCAC" w:rsidR="00403797" w:rsidRDefault="00403797" w:rsidP="00403797">
            <w:pPr>
              <w:rPr>
                <w:rFonts w:ascii="Calibri" w:eastAsiaTheme="minorEastAsia" w:hAnsi="Calibri" w:hint="eastAsia"/>
                <w:sz w:val="22"/>
                <w:szCs w:val="22"/>
                <w:lang w:eastAsia="zh-CN"/>
              </w:rPr>
            </w:pPr>
            <w:r>
              <w:rPr>
                <w:rFonts w:ascii="Calibri" w:eastAsia="游明朝" w:hAnsi="Calibri" w:hint="eastAsia"/>
                <w:sz w:val="22"/>
                <w:szCs w:val="22"/>
                <w:lang w:eastAsia="ja-JP"/>
              </w:rPr>
              <w:t>In our understanding, it</w:t>
            </w:r>
            <w:r>
              <w:rPr>
                <w:rFonts w:ascii="Calibri" w:eastAsia="游明朝" w:hAnsi="Calibri"/>
                <w:sz w:val="22"/>
                <w:szCs w:val="22"/>
                <w:lang w:eastAsia="ja-JP"/>
              </w:rPr>
              <w:t xml:space="preserve">’s already captured in TS38.331 v16.0.0 as </w:t>
            </w:r>
            <w:r w:rsidRPr="005108FA">
              <w:rPr>
                <w:rFonts w:ascii="Calibri" w:eastAsia="Calibri" w:hAnsi="Calibri"/>
                <w:sz w:val="22"/>
                <w:szCs w:val="22"/>
              </w:rPr>
              <w:t>maxAI-DCI-PayloadSize =</w:t>
            </w:r>
            <w:r>
              <w:rPr>
                <w:rFonts w:ascii="Calibri" w:eastAsia="Calibri" w:hAnsi="Calibri"/>
                <w:sz w:val="22"/>
                <w:szCs w:val="22"/>
              </w:rPr>
              <w:t xml:space="preserve"> </w:t>
            </w:r>
            <w:r w:rsidRPr="0047785F">
              <w:rPr>
                <w:rFonts w:ascii="Calibri" w:eastAsia="Calibri" w:hAnsi="Calibri"/>
                <w:sz w:val="22"/>
                <w:szCs w:val="22"/>
              </w:rPr>
              <w:t>Maximum size of the DCI payload scrambled with ai-RNTI minus 1</w:t>
            </w:r>
            <w:r>
              <w:rPr>
                <w:rFonts w:ascii="Calibri" w:eastAsia="Calibri" w:hAnsi="Calibri"/>
                <w:sz w:val="22"/>
                <w:szCs w:val="22"/>
              </w:rPr>
              <w:t xml:space="preserve"> (127).</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r w:rsidRPr="004C776D">
        <w:rPr>
          <w:rFonts w:asciiTheme="minorHAnsi" w:hAnsiTheme="minorHAnsi" w:cstheme="minorHAnsi"/>
          <w:b/>
          <w:i/>
          <w:iCs/>
          <w:sz w:val="28"/>
          <w:szCs w:val="28"/>
          <w:lang w:val="en-GB"/>
        </w:rPr>
        <w:t>resourceAvailability</w:t>
      </w:r>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resourceAvailability in </w:t>
      </w:r>
      <w:r w:rsidRPr="00346E98">
        <w:rPr>
          <w:rFonts w:ascii="Calibri" w:eastAsia="Calibri" w:hAnsi="Calibri"/>
          <w:i/>
          <w:iCs/>
          <w:sz w:val="22"/>
          <w:szCs w:val="22"/>
        </w:rPr>
        <w:t>AvailabilityCombination</w:t>
      </w:r>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“slotFormats” to “</w:t>
      </w:r>
      <w:r w:rsidRPr="00346E98">
        <w:rPr>
          <w:rFonts w:ascii="Calibri" w:eastAsia="Calibri" w:hAnsi="Calibri"/>
          <w:i/>
          <w:iCs/>
          <w:sz w:val="22"/>
          <w:szCs w:val="22"/>
        </w:rPr>
        <w:t>resourceAvailability</w:t>
      </w:r>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r>
        <w:rPr>
          <w:rStyle w:val="fontstyle01"/>
        </w:rPr>
        <w:t>iabDuCellId-AI</w:t>
      </w:r>
    </w:p>
    <w:p w14:paraId="27ACF9B2" w14:textId="77777777" w:rsidR="004C776D" w:rsidRDefault="004C776D" w:rsidP="004C776D">
      <w:pPr>
        <w:pStyle w:val="B1"/>
        <w:spacing w:before="120" w:after="120"/>
      </w:pPr>
      <w:r>
        <w:t>-</w:t>
      </w:r>
      <w:r>
        <w:tab/>
        <w:t xml:space="preserve">a location of an availability indicator (AI) index field in DCI format 2_5 by </w:t>
      </w:r>
      <w:r>
        <w:rPr>
          <w:rStyle w:val="fontstyle01"/>
        </w:rPr>
        <w:t>positionInDCI-AI</w:t>
      </w:r>
    </w:p>
    <w:p w14:paraId="31F3FC1B" w14:textId="77777777" w:rsidR="004C776D" w:rsidRDefault="004C776D" w:rsidP="004C776D">
      <w:pPr>
        <w:pStyle w:val="B1"/>
        <w:spacing w:before="120" w:after="120"/>
      </w:pPr>
      <w:r>
        <w:t>-</w:t>
      </w:r>
      <w:r>
        <w:tab/>
        <w:t xml:space="preserve">a set of availability combinations by </w:t>
      </w:r>
      <w:r>
        <w:rPr>
          <w:rStyle w:val="fontstyle01"/>
        </w:rPr>
        <w:t>availabilityCombinations</w:t>
      </w:r>
      <w:r>
        <w:t>, where each availability combination in the set of availability combinations includes</w:t>
      </w:r>
    </w:p>
    <w:p w14:paraId="36C6C797" w14:textId="77777777" w:rsidR="002F01FC" w:rsidRDefault="004C776D" w:rsidP="002F01FC">
      <w:pPr>
        <w:pStyle w:val="B2"/>
        <w:spacing w:before="120" w:after="120"/>
      </w:pPr>
      <w:r>
        <w:t>-</w:t>
      </w:r>
      <w:r>
        <w:tab/>
      </w:r>
      <w:r>
        <w:rPr>
          <w:rStyle w:val="fontstyle01"/>
        </w:rPr>
        <w:t>resourceAvailability</w:t>
      </w:r>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r w:rsidR="004C776D" w:rsidRPr="00860A0F">
        <w:rPr>
          <w:rStyle w:val="fontstyle01"/>
        </w:rPr>
        <w:t>Availability</w:t>
      </w:r>
      <w:r w:rsidR="004C776D" w:rsidRPr="004C776D">
        <w:rPr>
          <w:rStyle w:val="fontstyle01"/>
          <w:color w:val="000000" w:themeColor="text1"/>
        </w:rPr>
        <w:t>Combination</w:t>
      </w:r>
      <w:r w:rsidR="004C776D" w:rsidRPr="00860A0F">
        <w:t xml:space="preserve"> to a corresponding AI index field value in DCI format 2_5 provided by </w:t>
      </w:r>
      <w:r w:rsidR="004C776D" w:rsidRPr="00860A0F">
        <w:rPr>
          <w:rStyle w:val="fontstyle01"/>
        </w:rPr>
        <w:t>availabilityCombinationId</w:t>
      </w:r>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r w:rsidRPr="00CA657A">
        <w:rPr>
          <w:i/>
        </w:rPr>
        <w:t>slotFormatCombinations</w:t>
      </w:r>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r w:rsidRPr="00CA657A">
        <w:rPr>
          <w:i/>
        </w:rPr>
        <w:t>slotFormats</w:t>
      </w:r>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r w:rsidRPr="00CA657A">
        <w:rPr>
          <w:i/>
        </w:rPr>
        <w:t>slotFormats</w:t>
      </w:r>
      <w:r w:rsidRPr="00CA657A">
        <w:t xml:space="preserve"> to a corresponding SFI-index field value in DCI format 2_0 provided by </w:t>
      </w:r>
      <w:r w:rsidRPr="00CA657A">
        <w:rPr>
          <w:i/>
        </w:rPr>
        <w:t>slotFormatCombinationId</w:t>
      </w:r>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2262C8">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2262C8">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2102C0" w14:paraId="113210ED" w14:textId="77777777" w:rsidTr="002262C8">
        <w:tc>
          <w:tcPr>
            <w:tcW w:w="1696" w:type="dxa"/>
          </w:tcPr>
          <w:p w14:paraId="2EE1D90A" w14:textId="48C01476"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ZTE, Sanechips</w:t>
            </w:r>
          </w:p>
        </w:tc>
        <w:tc>
          <w:tcPr>
            <w:tcW w:w="2265" w:type="dxa"/>
          </w:tcPr>
          <w:p w14:paraId="29502BB4" w14:textId="0BDDCDD5"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3A94E6B" w14:textId="09704BEC" w:rsidR="002102C0" w:rsidRDefault="002102C0" w:rsidP="002102C0">
            <w:pPr>
              <w:rPr>
                <w:rFonts w:ascii="Calibri" w:eastAsiaTheme="minorEastAsia" w:hAnsi="Calibri"/>
                <w:sz w:val="22"/>
                <w:szCs w:val="22"/>
                <w:lang w:eastAsia="zh-CN"/>
              </w:rPr>
            </w:pPr>
            <w:r>
              <w:rPr>
                <w:rFonts w:ascii="Calibri" w:eastAsiaTheme="minorEastAsia" w:hAnsi="Calibri"/>
                <w:sz w:val="22"/>
                <w:szCs w:val="22"/>
                <w:lang w:eastAsia="zh-CN"/>
              </w:rPr>
              <w:t xml:space="preserve">We say yes because we think the issue (now at least quite some companies agree it is indeed an issue) should be solved in this meeting. To postpone it does not bring any benefit. On the other hand, we are also ok with suggestion from Qualcomm: to inform the editor of the inconsistency issue, possibly with the some </w:t>
            </w:r>
            <w:r>
              <w:rPr>
                <w:rFonts w:ascii="Calibri" w:eastAsiaTheme="minorEastAsia" w:hAnsi="Calibri"/>
                <w:sz w:val="22"/>
                <w:szCs w:val="22"/>
                <w:lang w:eastAsia="zh-CN"/>
              </w:rPr>
              <w:lastRenderedPageBreak/>
              <w:t xml:space="preserve">potential correction text, and to leave editor to decide how to address the issue.  </w:t>
            </w:r>
          </w:p>
        </w:tc>
      </w:tr>
      <w:tr w:rsidR="00403797" w14:paraId="1FD5BAC1" w14:textId="77777777" w:rsidTr="002262C8">
        <w:tc>
          <w:tcPr>
            <w:tcW w:w="1696" w:type="dxa"/>
          </w:tcPr>
          <w:p w14:paraId="0942EF35" w14:textId="52E176C0"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lastRenderedPageBreak/>
              <w:t>NTT DOCOMO</w:t>
            </w:r>
          </w:p>
        </w:tc>
        <w:tc>
          <w:tcPr>
            <w:tcW w:w="2265" w:type="dxa"/>
          </w:tcPr>
          <w:p w14:paraId="67DF8357" w14:textId="2E95836F"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Not sure</w:t>
            </w:r>
          </w:p>
        </w:tc>
        <w:tc>
          <w:tcPr>
            <w:tcW w:w="6109" w:type="dxa"/>
          </w:tcPr>
          <w:p w14:paraId="04BE9E90" w14:textId="38E01171" w:rsidR="00403797" w:rsidRDefault="00403797" w:rsidP="00403797">
            <w:pPr>
              <w:rPr>
                <w:rFonts w:ascii="Calibri" w:eastAsiaTheme="minorEastAsia" w:hAnsi="Calibri"/>
                <w:sz w:val="22"/>
                <w:szCs w:val="22"/>
                <w:lang w:eastAsia="zh-CN"/>
              </w:rPr>
            </w:pPr>
            <w:r>
              <w:rPr>
                <w:rFonts w:ascii="Calibri" w:eastAsia="游明朝" w:hAnsi="Calibri" w:hint="eastAsia"/>
                <w:sz w:val="22"/>
                <w:szCs w:val="22"/>
                <w:lang w:eastAsia="ja-JP"/>
              </w:rPr>
              <w:t>It may be an editorial correction.</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游明朝"/>
                <w:sz w:val="20"/>
                <w:highlight w:val="darkYellow"/>
                <w:lang w:eastAsia="x-none"/>
              </w:rPr>
            </w:pPr>
            <w:r w:rsidRPr="00C52FE2">
              <w:rPr>
                <w:rFonts w:eastAsia="游明朝"/>
                <w:sz w:val="20"/>
                <w:highlight w:val="darkYellow"/>
                <w:lang w:eastAsia="x-none"/>
              </w:rPr>
              <w:t>Working assumption:</w:t>
            </w:r>
          </w:p>
          <w:p w14:paraId="26BFB9D5" w14:textId="77777777" w:rsidR="00EF0F5A" w:rsidRPr="00C52FE2" w:rsidRDefault="00EF0F5A" w:rsidP="002262C8">
            <w:pPr>
              <w:spacing w:after="180"/>
              <w:rPr>
                <w:rFonts w:eastAsia="游明朝"/>
                <w:sz w:val="20"/>
              </w:rPr>
            </w:pPr>
            <w:r w:rsidRPr="00C52FE2">
              <w:rPr>
                <w:rFonts w:eastAsia="游明朝"/>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游明朝"/>
                <w:sz w:val="20"/>
              </w:rPr>
            </w:pPr>
            <w:r w:rsidRPr="00C52FE2">
              <w:rPr>
                <w:rFonts w:eastAsia="游明朝"/>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sz w:val="20"/>
              </w:rPr>
            </w:pPr>
            <w:r w:rsidRPr="00C52FE2">
              <w:rPr>
                <w:rFonts w:eastAsia="游明朝"/>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2262C8">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2262C8">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026581" w14:paraId="6F7DA42F" w14:textId="77777777" w:rsidTr="002262C8">
        <w:tc>
          <w:tcPr>
            <w:tcW w:w="1696" w:type="dxa"/>
          </w:tcPr>
          <w:p w14:paraId="7709C593" w14:textId="05FE2EDA"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ZTE, Sanechips</w:t>
            </w:r>
          </w:p>
        </w:tc>
        <w:tc>
          <w:tcPr>
            <w:tcW w:w="2265" w:type="dxa"/>
          </w:tcPr>
          <w:p w14:paraId="4CED8905" w14:textId="03580A1C"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Yes</w:t>
            </w:r>
          </w:p>
        </w:tc>
        <w:tc>
          <w:tcPr>
            <w:tcW w:w="6109" w:type="dxa"/>
          </w:tcPr>
          <w:p w14:paraId="4FAE5EF4" w14:textId="63888E64" w:rsidR="00026581" w:rsidRDefault="00026581" w:rsidP="00026581">
            <w:pPr>
              <w:rPr>
                <w:rFonts w:ascii="Calibri" w:eastAsia="Calibri" w:hAnsi="Calibri"/>
                <w:sz w:val="22"/>
                <w:szCs w:val="22"/>
              </w:rPr>
            </w:pPr>
            <w:r>
              <w:rPr>
                <w:rFonts w:ascii="Calibri" w:eastAsia="Calibri" w:hAnsi="Calibri"/>
                <w:sz w:val="22"/>
                <w:szCs w:val="22"/>
              </w:rPr>
              <w:t>Agree with AT&amp;T</w:t>
            </w:r>
          </w:p>
        </w:tc>
      </w:tr>
      <w:tr w:rsidR="00403797" w14:paraId="3AD32C9F" w14:textId="77777777" w:rsidTr="002262C8">
        <w:tc>
          <w:tcPr>
            <w:tcW w:w="1696" w:type="dxa"/>
          </w:tcPr>
          <w:p w14:paraId="08C68081" w14:textId="5958CDAC" w:rsidR="00403797" w:rsidRDefault="00403797" w:rsidP="00403797">
            <w:pPr>
              <w:rPr>
                <w:rFonts w:ascii="Calibri" w:eastAsiaTheme="minorEastAsia" w:hAnsi="Calibri"/>
                <w:sz w:val="22"/>
                <w:szCs w:val="22"/>
                <w:lang w:eastAsia="zh-CN"/>
              </w:rPr>
            </w:pPr>
            <w:r>
              <w:rPr>
                <w:rFonts w:asciiTheme="minorHAnsi" w:eastAsia="游明朝" w:hAnsiTheme="minorHAnsi" w:cstheme="minorHAnsi" w:hint="eastAsia"/>
                <w:bCs/>
                <w:lang w:val="en-GB" w:eastAsia="ja-JP"/>
              </w:rPr>
              <w:t>NTT DOCOMO</w:t>
            </w:r>
          </w:p>
        </w:tc>
        <w:tc>
          <w:tcPr>
            <w:tcW w:w="2265" w:type="dxa"/>
          </w:tcPr>
          <w:p w14:paraId="423C880A" w14:textId="3ED730ED" w:rsidR="00403797" w:rsidRDefault="00403797" w:rsidP="00403797">
            <w:pPr>
              <w:rPr>
                <w:rFonts w:ascii="Calibri" w:eastAsiaTheme="minorEastAsia" w:hAnsi="Calibri"/>
                <w:sz w:val="22"/>
                <w:szCs w:val="22"/>
                <w:lang w:eastAsia="zh-CN"/>
              </w:rPr>
            </w:pPr>
            <w:r>
              <w:rPr>
                <w:rFonts w:asciiTheme="minorHAnsi" w:eastAsia="游明朝" w:hAnsiTheme="minorHAnsi" w:cstheme="minorHAnsi" w:hint="eastAsia"/>
                <w:bCs/>
                <w:lang w:val="en-GB" w:eastAsia="ja-JP"/>
              </w:rPr>
              <w:t>Yes</w:t>
            </w:r>
          </w:p>
        </w:tc>
        <w:tc>
          <w:tcPr>
            <w:tcW w:w="6109" w:type="dxa"/>
          </w:tcPr>
          <w:p w14:paraId="273BC3CC" w14:textId="607CCE16" w:rsidR="00403797" w:rsidRDefault="00403797" w:rsidP="00403797">
            <w:pPr>
              <w:rPr>
                <w:rFonts w:ascii="Calibri" w:eastAsia="Calibri" w:hAnsi="Calibri"/>
                <w:sz w:val="22"/>
                <w:szCs w:val="22"/>
              </w:rPr>
            </w:pPr>
            <w:r>
              <w:rPr>
                <w:rFonts w:ascii="Calibri" w:eastAsia="游明朝" w:hAnsi="Calibri" w:hint="eastAsia"/>
                <w:sz w:val="22"/>
                <w:szCs w:val="22"/>
                <w:lang w:eastAsia="ja-JP"/>
              </w:rPr>
              <w:t>Agree with AT&amp;T.</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2262C8">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2262C8">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026581" w14:paraId="7920B33F" w14:textId="77777777" w:rsidTr="002262C8">
        <w:tc>
          <w:tcPr>
            <w:tcW w:w="1696" w:type="dxa"/>
          </w:tcPr>
          <w:p w14:paraId="7DAA8E94" w14:textId="1F3A2775"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ZTE, Sanechips</w:t>
            </w:r>
          </w:p>
        </w:tc>
        <w:tc>
          <w:tcPr>
            <w:tcW w:w="2265" w:type="dxa"/>
          </w:tcPr>
          <w:p w14:paraId="132CB702" w14:textId="68C38981"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No</w:t>
            </w:r>
          </w:p>
        </w:tc>
        <w:tc>
          <w:tcPr>
            <w:tcW w:w="6109" w:type="dxa"/>
          </w:tcPr>
          <w:p w14:paraId="3575894A" w14:textId="33DF850D" w:rsidR="00026581" w:rsidRDefault="00026581" w:rsidP="00026581">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We share similar view with Huawei. As far as this issue is concerned, a slot in paired spectrum is of no difference from a slot w/o any soft F symbol in unpaired spectrum. If the latter one has no mentioned problem (this was confirmed in earlier RAN1 discussion), the former one also does not have. </w:t>
            </w:r>
          </w:p>
        </w:tc>
      </w:tr>
      <w:tr w:rsidR="00403797" w14:paraId="4C721C58" w14:textId="77777777" w:rsidTr="002262C8">
        <w:tc>
          <w:tcPr>
            <w:tcW w:w="1696" w:type="dxa"/>
          </w:tcPr>
          <w:p w14:paraId="6055AE86" w14:textId="3CC231F6" w:rsidR="00403797" w:rsidRDefault="00403797" w:rsidP="00403797">
            <w:pPr>
              <w:rPr>
                <w:rFonts w:ascii="Calibri" w:eastAsiaTheme="minorEastAsia" w:hAnsi="Calibri"/>
                <w:sz w:val="22"/>
                <w:szCs w:val="22"/>
                <w:lang w:eastAsia="zh-CN"/>
              </w:rPr>
            </w:pPr>
            <w:r>
              <w:rPr>
                <w:rFonts w:asciiTheme="minorHAnsi" w:eastAsia="游明朝" w:hAnsiTheme="minorHAnsi" w:cstheme="minorHAnsi" w:hint="eastAsia"/>
                <w:bCs/>
                <w:lang w:val="en-GB" w:eastAsia="ja-JP"/>
              </w:rPr>
              <w:t>NTT DOCOMO</w:t>
            </w:r>
          </w:p>
        </w:tc>
        <w:tc>
          <w:tcPr>
            <w:tcW w:w="2265" w:type="dxa"/>
          </w:tcPr>
          <w:p w14:paraId="521521BF" w14:textId="010376E0" w:rsidR="00403797" w:rsidRDefault="00403797" w:rsidP="00403797">
            <w:pPr>
              <w:rPr>
                <w:rFonts w:ascii="Calibri" w:eastAsiaTheme="minorEastAsia" w:hAnsi="Calibri"/>
                <w:sz w:val="22"/>
                <w:szCs w:val="22"/>
                <w:lang w:eastAsia="zh-CN"/>
              </w:rPr>
            </w:pPr>
            <w:r>
              <w:rPr>
                <w:rFonts w:asciiTheme="minorHAnsi" w:eastAsia="游明朝" w:hAnsiTheme="minorHAnsi" w:cstheme="minorHAnsi" w:hint="eastAsia"/>
                <w:bCs/>
                <w:lang w:val="en-GB" w:eastAsia="ja-JP"/>
              </w:rPr>
              <w:t>No</w:t>
            </w:r>
          </w:p>
        </w:tc>
        <w:tc>
          <w:tcPr>
            <w:tcW w:w="6109" w:type="dxa"/>
          </w:tcPr>
          <w:p w14:paraId="0FBC78C7" w14:textId="7CF40DF1" w:rsidR="00403797" w:rsidRDefault="00403797" w:rsidP="00403797">
            <w:pPr>
              <w:rPr>
                <w:rFonts w:asciiTheme="minorHAnsi" w:eastAsiaTheme="minorEastAsia" w:hAnsiTheme="minorHAnsi" w:cstheme="minorHAnsi"/>
                <w:bCs/>
                <w:lang w:val="en-GB" w:eastAsia="zh-CN"/>
              </w:rPr>
            </w:pPr>
            <w:r>
              <w:rPr>
                <w:rFonts w:asciiTheme="minorHAnsi" w:eastAsia="游明朝" w:hAnsiTheme="minorHAnsi" w:cstheme="minorHAnsi" w:hint="eastAsia"/>
                <w:bCs/>
                <w:lang w:val="en-GB" w:eastAsia="ja-JP"/>
              </w:rPr>
              <w:t xml:space="preserve">The specified mechanism works for </w:t>
            </w:r>
            <w:r>
              <w:rPr>
                <w:rFonts w:asciiTheme="minorHAnsi" w:eastAsia="游明朝" w:hAnsiTheme="minorHAnsi" w:cstheme="minorHAnsi"/>
                <w:bCs/>
                <w:lang w:val="en-GB" w:eastAsia="ja-JP"/>
              </w:rPr>
              <w:t>paired spectrum</w:t>
            </w:r>
            <w:r>
              <w:rPr>
                <w:rFonts w:asciiTheme="minorHAnsi" w:eastAsia="游明朝" w:hAnsiTheme="minorHAnsi" w:cstheme="minorHAnsi" w:hint="eastAsia"/>
                <w:bCs/>
                <w:lang w:val="en-GB" w:eastAsia="ja-JP"/>
              </w:rPr>
              <w:t xml:space="preserve">, and this may be an </w:t>
            </w:r>
            <w:r>
              <w:rPr>
                <w:rFonts w:asciiTheme="minorHAnsi" w:eastAsia="游明朝" w:hAnsiTheme="minorHAnsi" w:cstheme="minorHAnsi"/>
                <w:bCs/>
                <w:lang w:val="en-GB" w:eastAsia="ja-JP"/>
              </w:rPr>
              <w:t>optimization</w:t>
            </w:r>
            <w:r>
              <w:rPr>
                <w:rFonts w:asciiTheme="minorHAnsi" w:eastAsia="游明朝" w:hAnsiTheme="minorHAnsi" w:cstheme="minorHAnsi" w:hint="eastAsia"/>
                <w:bCs/>
                <w:lang w:val="en-GB" w:eastAsia="ja-JP"/>
              </w:rPr>
              <w:t>.</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游明朝"/>
          <w:sz w:val="20"/>
          <w:highlight w:val="darkYellow"/>
          <w:lang w:eastAsia="x-none"/>
        </w:rPr>
      </w:pPr>
      <w:r w:rsidRPr="00C52FE2">
        <w:rPr>
          <w:rFonts w:eastAsia="游明朝"/>
          <w:sz w:val="20"/>
          <w:highlight w:val="darkYellow"/>
          <w:lang w:eastAsia="x-none"/>
        </w:rPr>
        <w:t>Working assumption:</w:t>
      </w:r>
    </w:p>
    <w:p w14:paraId="51A2190E" w14:textId="77777777" w:rsidR="0037326C" w:rsidRPr="00C52FE2" w:rsidRDefault="0037326C" w:rsidP="0037326C">
      <w:pPr>
        <w:spacing w:after="180"/>
        <w:rPr>
          <w:rFonts w:eastAsia="游明朝"/>
          <w:sz w:val="20"/>
        </w:rPr>
      </w:pPr>
      <w:r w:rsidRPr="00C52FE2">
        <w:rPr>
          <w:rFonts w:eastAsia="游明朝"/>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游明朝"/>
          <w:sz w:val="20"/>
        </w:rPr>
      </w:pPr>
      <w:r w:rsidRPr="00C52FE2">
        <w:rPr>
          <w:rFonts w:eastAsia="游明朝"/>
          <w:sz w:val="20"/>
        </w:rPr>
        <w:t>Two separate H/S/NA per-cell DU semi-static configurations are provided (with slot level resolution) for downlink and uplink</w:t>
      </w:r>
    </w:p>
    <w:p w14:paraId="78C5F6F2" w14:textId="75607593" w:rsidR="0037326C" w:rsidRDefault="0037326C" w:rsidP="0037326C">
      <w:pPr>
        <w:rPr>
          <w:rFonts w:eastAsia="游明朝"/>
          <w:sz w:val="20"/>
        </w:rPr>
      </w:pPr>
      <w:r w:rsidRPr="00C52FE2">
        <w:rPr>
          <w:rFonts w:eastAsia="游明朝"/>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游明朝"/>
                <w:b/>
                <w:bCs/>
                <w:sz w:val="20"/>
                <w:lang w:eastAsia="x-none"/>
              </w:rPr>
            </w:pPr>
            <w:r w:rsidRPr="00C52FE2">
              <w:rPr>
                <w:rFonts w:eastAsia="游明朝"/>
                <w:sz w:val="20"/>
                <w:highlight w:val="green"/>
                <w:lang w:eastAsia="x-none"/>
              </w:rPr>
              <w:t>Agreements</w:t>
            </w:r>
            <w:r w:rsidRPr="00C52FE2">
              <w:rPr>
                <w:rFonts w:eastAsia="游明朝"/>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sz w:val="20"/>
              </w:rPr>
            </w:pPr>
            <w:r w:rsidRPr="00C52FE2">
              <w:rPr>
                <w:sz w:val="20"/>
              </w:rPr>
              <w:t>Note: This agreement does not require any additional specification impact in RAN1 in Rel-16, i.e. in Rel-16 the behaviour of the IAB node is only defined for TDM cases. The behaviour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therefore there was a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afc"/>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684D0E" w14:paraId="5142A754" w14:textId="77777777" w:rsidTr="00450639">
        <w:tc>
          <w:tcPr>
            <w:tcW w:w="1696" w:type="dxa"/>
          </w:tcPr>
          <w:p w14:paraId="18665B20" w14:textId="5E86F078" w:rsidR="00684D0E" w:rsidRDefault="00684D0E" w:rsidP="00684D0E">
            <w:pPr>
              <w:rPr>
                <w:rFonts w:asciiTheme="minorEastAsia" w:eastAsiaTheme="minorEastAsia" w:hAnsiTheme="minorEastAsia"/>
                <w:sz w:val="22"/>
                <w:szCs w:val="22"/>
                <w:lang w:eastAsia="zh-CN"/>
              </w:rPr>
            </w:pPr>
            <w:r>
              <w:rPr>
                <w:rFonts w:ascii="Calibri" w:eastAsiaTheme="minorEastAsia" w:hAnsi="Calibri"/>
                <w:sz w:val="22"/>
                <w:szCs w:val="22"/>
                <w:lang w:eastAsia="zh-CN"/>
              </w:rPr>
              <w:lastRenderedPageBreak/>
              <w:t>ZTE, Sanechips</w:t>
            </w:r>
          </w:p>
        </w:tc>
        <w:tc>
          <w:tcPr>
            <w:tcW w:w="2439" w:type="dxa"/>
          </w:tcPr>
          <w:p w14:paraId="29C2A2A2" w14:textId="79C40761"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E5E9AF" w14:textId="60A3C944"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 xml:space="preserve">The FFS seems to be a part of WA. So the “Yes” on issue 2.4.1 also means “Yes” on issue 2.4.3. </w:t>
            </w:r>
          </w:p>
        </w:tc>
      </w:tr>
      <w:tr w:rsidR="00403797" w14:paraId="4F8D5C51" w14:textId="77777777" w:rsidTr="00450639">
        <w:tc>
          <w:tcPr>
            <w:tcW w:w="1696" w:type="dxa"/>
          </w:tcPr>
          <w:p w14:paraId="2141DDC8" w14:textId="06BD59FE" w:rsidR="00403797" w:rsidRDefault="00403797" w:rsidP="00403797">
            <w:pPr>
              <w:rPr>
                <w:rFonts w:ascii="Calibri" w:eastAsiaTheme="minorEastAsia" w:hAnsi="Calibri"/>
                <w:sz w:val="22"/>
                <w:szCs w:val="22"/>
                <w:lang w:eastAsia="zh-CN"/>
              </w:rPr>
            </w:pPr>
            <w:bookmarkStart w:id="2" w:name="_GoBack" w:colFirst="0" w:colLast="0"/>
            <w:r w:rsidRPr="0047785F">
              <w:rPr>
                <w:rFonts w:asciiTheme="minorHAnsi" w:eastAsia="游明朝" w:hAnsiTheme="minorHAnsi" w:cstheme="minorHAnsi"/>
                <w:sz w:val="22"/>
                <w:szCs w:val="22"/>
                <w:lang w:eastAsia="ja-JP"/>
              </w:rPr>
              <w:t>NTT DOCOMO</w:t>
            </w:r>
          </w:p>
        </w:tc>
        <w:tc>
          <w:tcPr>
            <w:tcW w:w="2439" w:type="dxa"/>
          </w:tcPr>
          <w:p w14:paraId="76E5F55B" w14:textId="29322989" w:rsidR="00403797" w:rsidRDefault="00403797" w:rsidP="00403797">
            <w:pPr>
              <w:rPr>
                <w:rFonts w:ascii="Calibri" w:eastAsiaTheme="minorEastAsia" w:hAnsi="Calibri"/>
                <w:sz w:val="22"/>
                <w:szCs w:val="22"/>
                <w:lang w:eastAsia="zh-CN"/>
              </w:rPr>
            </w:pPr>
            <w:r>
              <w:rPr>
                <w:rFonts w:asciiTheme="minorHAnsi" w:eastAsia="游明朝" w:hAnsiTheme="minorHAnsi" w:cstheme="minorHAnsi" w:hint="eastAsia"/>
                <w:sz w:val="22"/>
                <w:szCs w:val="22"/>
                <w:lang w:eastAsia="ja-JP"/>
              </w:rPr>
              <w:t>Not sure</w:t>
            </w:r>
          </w:p>
        </w:tc>
        <w:tc>
          <w:tcPr>
            <w:tcW w:w="5935" w:type="dxa"/>
          </w:tcPr>
          <w:p w14:paraId="6F028AA2" w14:textId="04703275" w:rsidR="00403797" w:rsidRDefault="00403797" w:rsidP="00403797">
            <w:pPr>
              <w:rPr>
                <w:rFonts w:ascii="Calibri" w:eastAsiaTheme="minorEastAsia" w:hAnsi="Calibri"/>
                <w:sz w:val="22"/>
                <w:szCs w:val="22"/>
                <w:lang w:eastAsia="zh-CN"/>
              </w:rPr>
            </w:pPr>
            <w:r>
              <w:rPr>
                <w:rFonts w:asciiTheme="minorHAnsi" w:eastAsia="游明朝" w:hAnsiTheme="minorHAnsi" w:cstheme="minorHAnsi" w:hint="eastAsia"/>
                <w:sz w:val="22"/>
                <w:szCs w:val="22"/>
                <w:lang w:eastAsia="ja-JP"/>
              </w:rPr>
              <w:t xml:space="preserve">The discussion is necessary, on the other hand it seems difficult to </w:t>
            </w:r>
            <w:r>
              <w:rPr>
                <w:rFonts w:asciiTheme="minorHAnsi" w:eastAsia="游明朝" w:hAnsiTheme="minorHAnsi" w:cstheme="minorHAnsi"/>
                <w:sz w:val="22"/>
                <w:szCs w:val="22"/>
                <w:lang w:eastAsia="ja-JP"/>
              </w:rPr>
              <w:t>achieve</w:t>
            </w:r>
            <w:r>
              <w:rPr>
                <w:rFonts w:asciiTheme="minorHAnsi" w:eastAsia="游明朝" w:hAnsiTheme="minorHAnsi" w:cstheme="minorHAnsi" w:hint="eastAsia"/>
                <w:sz w:val="22"/>
                <w:szCs w:val="22"/>
                <w:lang w:eastAsia="ja-JP"/>
              </w:rPr>
              <w:t xml:space="preserve"> </w:t>
            </w:r>
            <w:r>
              <w:rPr>
                <w:rFonts w:asciiTheme="minorHAnsi" w:eastAsia="游明朝" w:hAnsiTheme="minorHAnsi" w:cstheme="minorHAnsi"/>
                <w:sz w:val="22"/>
                <w:szCs w:val="22"/>
                <w:lang w:eastAsia="ja-JP"/>
              </w:rPr>
              <w:t>a solution in e-meeting.</w:t>
            </w:r>
          </w:p>
        </w:tc>
      </w:tr>
      <w:bookmarkEnd w:id="2"/>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“An IAB-node MT can be provided, by SlotFormatCombinationsPerCell-IAB-MT, a list of slot format combinations applicable for one serving cell and, by SlotFormatIndicator-IAB-MT,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SlotFormatCombinationsPerCell-IAB-MT</w:t>
      </w:r>
      <w:r w:rsidRPr="00EF0778">
        <w:rPr>
          <w:rFonts w:ascii="Calibri" w:hAnsi="Calibri" w:cs="Calibri" w:hint="eastAsia"/>
          <w:color w:val="000000"/>
          <w:sz w:val="22"/>
          <w:szCs w:val="22"/>
        </w:rPr>
        <w:t xml:space="preserve"> and </w:t>
      </w:r>
      <w:r w:rsidRPr="00EF0778">
        <w:rPr>
          <w:rFonts w:ascii="Calibri" w:hAnsi="Calibri" w:cs="Calibri"/>
          <w:color w:val="000000"/>
          <w:sz w:val="22"/>
          <w:szCs w:val="22"/>
        </w:rPr>
        <w:t>SlotFormatIndicator-IAB-MT,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afc"/>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IAB-DU-Resource-Configuration</w:t>
            </w:r>
            <w:r>
              <w:rPr>
                <w:i/>
                <w:iCs/>
                <w:color w:val="FF0000"/>
                <w:lang w:eastAsia="ja-JP"/>
              </w:rPr>
              <w:t>gNB-DU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r>
              <w:rPr>
                <w:i/>
              </w:rPr>
              <w:t>availabilityCombinations</w:t>
            </w:r>
            <w:r>
              <w:t xml:space="preserve"> for a serving cell as an SCS configuration provided by </w:t>
            </w:r>
            <w:r>
              <w:rPr>
                <w:i/>
                <w:iCs/>
                <w:strike/>
                <w:color w:val="FF0000"/>
              </w:rPr>
              <w:t>IAB-DU-Resource-Configuration</w:t>
            </w:r>
            <w:r>
              <w:rPr>
                <w:i/>
                <w:strike/>
                <w:color w:val="FF0000"/>
              </w:rPr>
              <w:t>-TDD-Confi</w:t>
            </w:r>
            <w:r>
              <w:rPr>
                <w:i/>
                <w:iCs/>
                <w:color w:val="FF0000"/>
                <w:lang w:eastAsia="ja-JP"/>
              </w:rPr>
              <w:t>gNB-DU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EDF9E" w14:textId="77777777" w:rsidR="00BA7E65" w:rsidRDefault="00BA7E65" w:rsidP="00424124">
      <w:r>
        <w:separator/>
      </w:r>
    </w:p>
  </w:endnote>
  <w:endnote w:type="continuationSeparator" w:id="0">
    <w:p w14:paraId="6DEFA2E1" w14:textId="77777777" w:rsidR="00BA7E65" w:rsidRDefault="00BA7E65" w:rsidP="00424124">
      <w:r>
        <w:continuationSeparator/>
      </w:r>
    </w:p>
  </w:endnote>
  <w:endnote w:type="continuationNotice" w:id="1">
    <w:p w14:paraId="04CE73D2" w14:textId="77777777" w:rsidR="00BA7E65" w:rsidRDefault="00BA7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767E3" w14:textId="77777777" w:rsidR="00BA7E65" w:rsidRDefault="00BA7E65" w:rsidP="00424124">
      <w:r>
        <w:separator/>
      </w:r>
    </w:p>
  </w:footnote>
  <w:footnote w:type="continuationSeparator" w:id="0">
    <w:p w14:paraId="0E9E72D6" w14:textId="77777777" w:rsidR="00BA7E65" w:rsidRDefault="00BA7E65" w:rsidP="00424124">
      <w:r>
        <w:continuationSeparator/>
      </w:r>
    </w:p>
  </w:footnote>
  <w:footnote w:type="continuationNotice" w:id="1">
    <w:p w14:paraId="237B79C2" w14:textId="77777777" w:rsidR="00BA7E65" w:rsidRDefault="00BA7E6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3" w15:restartNumberingAfterBreak="0">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29747A"/>
    <w:multiLevelType w:val="multilevel"/>
    <w:tmpl w:val="BDA05010"/>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4"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0"/>
  </w:num>
  <w:num w:numId="4">
    <w:abstractNumId w:val="16"/>
  </w:num>
  <w:num w:numId="5">
    <w:abstractNumId w:val="26"/>
  </w:num>
  <w:num w:numId="6">
    <w:abstractNumId w:val="37"/>
  </w:num>
  <w:num w:numId="7">
    <w:abstractNumId w:val="22"/>
  </w:num>
  <w:num w:numId="8">
    <w:abstractNumId w:val="2"/>
  </w:num>
  <w:num w:numId="9">
    <w:abstractNumId w:val="38"/>
  </w:num>
  <w:num w:numId="10">
    <w:abstractNumId w:val="5"/>
  </w:num>
  <w:num w:numId="11">
    <w:abstractNumId w:val="33"/>
  </w:num>
  <w:num w:numId="12">
    <w:abstractNumId w:val="20"/>
  </w:num>
  <w:num w:numId="13">
    <w:abstractNumId w:val="4"/>
  </w:num>
  <w:num w:numId="14">
    <w:abstractNumId w:val="25"/>
  </w:num>
  <w:num w:numId="15">
    <w:abstractNumId w:val="41"/>
  </w:num>
  <w:num w:numId="16">
    <w:abstractNumId w:val="39"/>
  </w:num>
  <w:num w:numId="17">
    <w:abstractNumId w:val="35"/>
  </w:num>
  <w:num w:numId="18">
    <w:abstractNumId w:val="9"/>
  </w:num>
  <w:num w:numId="19">
    <w:abstractNumId w:val="43"/>
  </w:num>
  <w:num w:numId="20">
    <w:abstractNumId w:val="13"/>
  </w:num>
  <w:num w:numId="21">
    <w:abstractNumId w:val="36"/>
  </w:num>
  <w:num w:numId="22">
    <w:abstractNumId w:val="34"/>
  </w:num>
  <w:num w:numId="23">
    <w:abstractNumId w:val="11"/>
  </w:num>
  <w:num w:numId="24">
    <w:abstractNumId w:val="11"/>
  </w:num>
  <w:num w:numId="25">
    <w:abstractNumId w:val="27"/>
  </w:num>
  <w:num w:numId="26">
    <w:abstractNumId w:val="8"/>
  </w:num>
  <w:num w:numId="27">
    <w:abstractNumId w:val="7"/>
  </w:num>
  <w:num w:numId="28">
    <w:abstractNumId w:val="15"/>
  </w:num>
  <w:num w:numId="29">
    <w:abstractNumId w:val="33"/>
  </w:num>
  <w:num w:numId="30">
    <w:abstractNumId w:val="6"/>
  </w:num>
  <w:num w:numId="31">
    <w:abstractNumId w:val="42"/>
  </w:num>
  <w:num w:numId="32">
    <w:abstractNumId w:val="17"/>
  </w:num>
  <w:num w:numId="33">
    <w:abstractNumId w:val="24"/>
  </w:num>
  <w:num w:numId="34">
    <w:abstractNumId w:val="18"/>
  </w:num>
  <w:num w:numId="35">
    <w:abstractNumId w:val="32"/>
  </w:num>
  <w:num w:numId="36">
    <w:abstractNumId w:val="31"/>
  </w:num>
  <w:num w:numId="37">
    <w:abstractNumId w:val="12"/>
  </w:num>
  <w:num w:numId="38">
    <w:abstractNumId w:val="21"/>
  </w:num>
  <w:num w:numId="39">
    <w:abstractNumId w:val="0"/>
  </w:num>
  <w:num w:numId="40">
    <w:abstractNumId w:val="1"/>
  </w:num>
  <w:num w:numId="41">
    <w:abstractNumId w:val="23"/>
  </w:num>
  <w:num w:numId="42">
    <w:abstractNumId w:val="14"/>
  </w:num>
  <w:num w:numId="43">
    <w:abstractNumId w:val="28"/>
  </w:num>
  <w:num w:numId="44">
    <w:abstractNumId w:val="40"/>
  </w:num>
  <w:num w:numId="45">
    <w:abstractNumId w:val="3"/>
  </w:num>
  <w:num w:numId="4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8AF"/>
    <w:rsid w:val="000B6772"/>
    <w:rsid w:val="000B6D99"/>
    <w:rsid w:val="000B7F70"/>
    <w:rsid w:val="000C0C9A"/>
    <w:rsid w:val="000C1B2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242"/>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4DD3"/>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a0"/>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eastAsia="x-none"/>
    </w:rPr>
  </w:style>
  <w:style w:type="character" w:customStyle="1" w:styleId="affc">
    <w:name w:val="日付 (文字)"/>
    <w:basedOn w:val="a1"/>
    <w:link w:val="affb"/>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3"/>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a">
    <w:name w:val="List Bullet"/>
    <w:basedOn w:val="a0"/>
    <w:rsid w:val="00984F1E"/>
    <w:pPr>
      <w:widowControl w:val="0"/>
      <w:numPr>
        <w:numId w:val="15"/>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20"/>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lang w:val="x-none"/>
    </w:rPr>
  </w:style>
  <w:style w:type="character" w:customStyle="1" w:styleId="afff">
    <w:name w:val="書式なし (文字)"/>
    <w:basedOn w:val="a1"/>
    <w:link w:val="affe"/>
    <w:uiPriority w:val="99"/>
    <w:rsid w:val="00984F1E"/>
    <w:rPr>
      <w:rFonts w:ascii="Arial" w:eastAsia="ＭＳ ゴシック" w:hAnsi="Arial"/>
      <w:color w:val="000000"/>
      <w:lang w:val="x-none"/>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1">
    <w:name w:val="标题 61"/>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1">
    <w:name w:val="标题 71"/>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eastAsia="x-none"/>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styleId="4-5">
    <w:name w:val="Grid Table 4 Accent 5"/>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8"/>
      </w:numPr>
    </w:pPr>
  </w:style>
  <w:style w:type="numbering" w:customStyle="1" w:styleId="StyleBulletedSymbolsymbolLeft025Hanging0251">
    <w:name w:val="Style Bulleted Symbol (symbol) Left:  0.25&quot; Hanging:  0.25&quot;1"/>
    <w:basedOn w:val="a3"/>
    <w:rsid w:val="00984F1E"/>
    <w:pPr>
      <w:numPr>
        <w:numId w:val="19"/>
      </w:numPr>
    </w:pPr>
  </w:style>
  <w:style w:type="numbering" w:customStyle="1" w:styleId="StyleBulletedSymbolsymbolLeft025Hanging0252">
    <w:name w:val="Style Bulleted Symbol (symbol) Left:  0.25&quot; Hanging:  0.25&quot;2"/>
    <w:basedOn w:val="a3"/>
    <w:rsid w:val="00984F1E"/>
    <w:pPr>
      <w:numPr>
        <w:numId w:val="21"/>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BCA7-B7A8-4873-B4AD-F47EE951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18</Pages>
  <Words>3887</Words>
  <Characters>22160</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kurita</cp:lastModifiedBy>
  <cp:revision>19</cp:revision>
  <cp:lastPrinted>2016-02-23T10:51:00Z</cp:lastPrinted>
  <dcterms:created xsi:type="dcterms:W3CDTF">2020-04-15T14:40:00Z</dcterms:created>
  <dcterms:modified xsi:type="dcterms:W3CDTF">2020-04-16T08:17:00Z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