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FE170" w14:textId="77B63128"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B12D8B">
        <w:rPr>
          <w:sz w:val="32"/>
          <w:szCs w:val="32"/>
        </w:rPr>
        <w:t>xxxxx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8DDE48D" w14:textId="6CEC5923" w:rsidR="007A0780"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Summary on Mechanisms for resource multiplexing among backhaul and access links</w:t>
      </w:r>
    </w:p>
    <w:p w14:paraId="4395AD0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a7"/>
        <w:jc w:val="left"/>
        <w:rPr>
          <w:sz w:val="16"/>
          <w:szCs w:val="16"/>
        </w:rPr>
      </w:pPr>
    </w:p>
    <w:p w14:paraId="3C632613" w14:textId="77777777" w:rsidR="00707D20" w:rsidRPr="00172743" w:rsidRDefault="00424124" w:rsidP="00326FF6">
      <w:pPr>
        <w:pStyle w:val="1"/>
      </w:pPr>
      <w:r w:rsidRPr="00172743">
        <w:t>Introduction</w:t>
      </w:r>
    </w:p>
    <w:p w14:paraId="42B88ADB" w14:textId="69CEFD5F" w:rsidR="0051424F" w:rsidRDefault="003327F3" w:rsidP="003327F3">
      <w:pPr>
        <w:pStyle w:val="af2"/>
      </w:pPr>
      <w:r>
        <w:t>This contribution provides a summary of section 7.</w:t>
      </w:r>
      <w:r w:rsidR="00250680">
        <w:t>2.3</w:t>
      </w:r>
      <w:r>
        <w:t>.</w:t>
      </w:r>
      <w:r w:rsidR="00522F4F">
        <w:t>3</w:t>
      </w:r>
      <w:r>
        <w:t xml:space="preserve"> on </w:t>
      </w:r>
      <w:r w:rsidR="00522F4F">
        <w:t>maintenance for specifications</w:t>
      </w:r>
      <w:r>
        <w:t xml:space="preserve"> support</w:t>
      </w:r>
      <w:r w:rsidR="00522F4F">
        <w:t>ing</w:t>
      </w:r>
      <w:r>
        <w:t xml:space="preserve"> </w:t>
      </w:r>
      <w:r w:rsidR="007A0780">
        <w:t>multiplexing of access and backhaul links</w:t>
      </w:r>
      <w:r w:rsidR="00522F4F">
        <w:t>.</w:t>
      </w:r>
    </w:p>
    <w:p w14:paraId="3CB3D93D" w14:textId="77777777" w:rsidR="00DE0E10" w:rsidRPr="00F4616A" w:rsidRDefault="00DE0E10" w:rsidP="00DE0E10">
      <w:pPr>
        <w:rPr>
          <w:rFonts w:ascii="Calibri" w:eastAsia="맑은 고딕" w:hAnsi="Calibri" w:cs="바탕"/>
          <w:lang w:val="en-GB" w:eastAsia="ko-KR"/>
        </w:rPr>
      </w:pPr>
    </w:p>
    <w:p w14:paraId="5AA1BF4B"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17291595" w14:textId="60599924" w:rsidR="00F04A0C" w:rsidRDefault="00F04A0C" w:rsidP="006618DF">
      <w:pPr>
        <w:rPr>
          <w:rFonts w:ascii="Calibri" w:eastAsia="Calibri" w:hAnsi="Calibri"/>
          <w:sz w:val="22"/>
          <w:szCs w:val="22"/>
        </w:rPr>
      </w:pPr>
      <w:r w:rsidRPr="00F04A0C">
        <w:rPr>
          <w:rFonts w:ascii="Calibri" w:eastAsia="Calibri" w:hAnsi="Calibri"/>
          <w:sz w:val="22"/>
          <w:szCs w:val="22"/>
        </w:rPr>
        <w:t>This s</w:t>
      </w:r>
      <w:r w:rsidR="00722A6C">
        <w:rPr>
          <w:rFonts w:ascii="Calibri" w:eastAsia="Calibri" w:hAnsi="Calibri"/>
          <w:sz w:val="22"/>
          <w:szCs w:val="22"/>
        </w:rPr>
        <w:t>ection</w:t>
      </w:r>
      <w:r w:rsidRPr="00F04A0C">
        <w:rPr>
          <w:rFonts w:ascii="Calibri" w:eastAsia="Calibri" w:hAnsi="Calibri"/>
          <w:sz w:val="22"/>
          <w:szCs w:val="22"/>
        </w:rPr>
        <w:t xml:space="preserve"> </w:t>
      </w:r>
      <w:r w:rsidR="006618DF">
        <w:rPr>
          <w:rFonts w:ascii="Calibri" w:eastAsia="Calibri" w:hAnsi="Calibri"/>
          <w:sz w:val="22"/>
          <w:szCs w:val="22"/>
        </w:rPr>
        <w:t>identifies</w:t>
      </w:r>
      <w:r w:rsidR="00722A6C">
        <w:rPr>
          <w:rFonts w:ascii="Calibri" w:eastAsia="Calibri" w:hAnsi="Calibri"/>
          <w:sz w:val="22"/>
          <w:szCs w:val="22"/>
        </w:rPr>
        <w:t xml:space="preserve"> 4 maintenance topics with detailed sub-issues related to company contributions:</w:t>
      </w:r>
    </w:p>
    <w:p w14:paraId="6970C115" w14:textId="25AC3964" w:rsidR="00722A6C" w:rsidRDefault="00722A6C" w:rsidP="006618DF">
      <w:pPr>
        <w:rPr>
          <w:rFonts w:ascii="Calibri" w:eastAsia="Calibri" w:hAnsi="Calibri"/>
          <w:sz w:val="22"/>
          <w:szCs w:val="22"/>
        </w:rPr>
      </w:pPr>
    </w:p>
    <w:p w14:paraId="5B228758" w14:textId="1707EAE7" w:rsidR="00722A6C" w:rsidRPr="00722A6C" w:rsidRDefault="00722A6C" w:rsidP="006618DF">
      <w:pPr>
        <w:rPr>
          <w:rFonts w:ascii="Calibri" w:eastAsia="Calibri" w:hAnsi="Calibri"/>
          <w:sz w:val="22"/>
          <w:szCs w:val="22"/>
        </w:rPr>
      </w:pPr>
      <w:r w:rsidRPr="00722A6C">
        <w:rPr>
          <w:rFonts w:ascii="Calibri" w:eastAsia="Calibri" w:hAnsi="Calibri"/>
          <w:sz w:val="22"/>
          <w:szCs w:val="22"/>
        </w:rPr>
        <w:t>2.1</w:t>
      </w:r>
      <w:r w:rsidRPr="00722A6C">
        <w:rPr>
          <w:rFonts w:ascii="Calibri" w:eastAsia="Calibri" w:hAnsi="Calibri"/>
          <w:sz w:val="22"/>
          <w:szCs w:val="22"/>
        </w:rPr>
        <w:tab/>
        <w:t>IAB-MT resource configuration</w:t>
      </w:r>
    </w:p>
    <w:p w14:paraId="5CDA03F6" w14:textId="5D16EDB3" w:rsidR="006F6165" w:rsidRDefault="00722A6C" w:rsidP="00722A6C">
      <w:pPr>
        <w:rPr>
          <w:rFonts w:ascii="Calibri" w:eastAsia="Calibri" w:hAnsi="Calibri"/>
          <w:sz w:val="22"/>
          <w:szCs w:val="22"/>
        </w:rPr>
      </w:pPr>
      <w:r w:rsidRPr="00722A6C">
        <w:rPr>
          <w:rFonts w:ascii="Calibri" w:eastAsia="Calibri" w:hAnsi="Calibri"/>
          <w:sz w:val="22"/>
          <w:szCs w:val="22"/>
        </w:rPr>
        <w:t>2.2</w:t>
      </w:r>
      <w:r w:rsidRPr="00722A6C">
        <w:rPr>
          <w:rFonts w:ascii="Calibri" w:eastAsia="Calibri" w:hAnsi="Calibri"/>
          <w:sz w:val="22"/>
          <w:szCs w:val="22"/>
        </w:rPr>
        <w:tab/>
        <w:t>Guard symbols for transitions between IAB-MT and IAB-DU</w:t>
      </w:r>
    </w:p>
    <w:p w14:paraId="53A9D2C1" w14:textId="392F9034" w:rsidR="00722A6C" w:rsidRDefault="00722A6C" w:rsidP="00722A6C">
      <w:pPr>
        <w:rPr>
          <w:rFonts w:ascii="Calibri" w:eastAsia="Calibri" w:hAnsi="Calibri"/>
          <w:sz w:val="22"/>
          <w:szCs w:val="22"/>
        </w:rPr>
      </w:pPr>
      <w:r w:rsidRPr="00722A6C">
        <w:rPr>
          <w:rFonts w:ascii="Calibri" w:eastAsia="Calibri" w:hAnsi="Calibri"/>
          <w:sz w:val="22"/>
          <w:szCs w:val="22"/>
        </w:rPr>
        <w:t>2.3</w:t>
      </w:r>
      <w:r w:rsidRPr="00722A6C">
        <w:rPr>
          <w:rFonts w:ascii="Calibri" w:eastAsia="Calibri" w:hAnsi="Calibri"/>
          <w:sz w:val="22"/>
          <w:szCs w:val="22"/>
        </w:rPr>
        <w:tab/>
        <w:t>Usage of soft resources</w:t>
      </w:r>
    </w:p>
    <w:p w14:paraId="70BBE6DE" w14:textId="48D0C9D8" w:rsidR="00722A6C" w:rsidRPr="00722A6C" w:rsidRDefault="00722A6C" w:rsidP="00722A6C">
      <w:pPr>
        <w:rPr>
          <w:rFonts w:ascii="Calibri" w:eastAsia="Calibri" w:hAnsi="Calibri"/>
          <w:sz w:val="22"/>
          <w:szCs w:val="22"/>
        </w:rPr>
      </w:pPr>
      <w:r w:rsidRPr="00722A6C">
        <w:rPr>
          <w:rFonts w:ascii="Calibri" w:eastAsia="Calibri" w:hAnsi="Calibri"/>
          <w:sz w:val="22"/>
          <w:szCs w:val="22"/>
        </w:rPr>
        <w:t>2.4</w:t>
      </w:r>
      <w:r w:rsidRPr="00722A6C">
        <w:rPr>
          <w:rFonts w:ascii="Calibri" w:eastAsia="Calibri" w:hAnsi="Calibri"/>
          <w:sz w:val="22"/>
          <w:szCs w:val="22"/>
        </w:rPr>
        <w:tab/>
        <w:t>IAB operation in paired spectrum</w:t>
      </w:r>
    </w:p>
    <w:p w14:paraId="32D6DACC" w14:textId="77777777" w:rsidR="006F6165" w:rsidRDefault="006F6165" w:rsidP="006F6165">
      <w:pPr>
        <w:jc w:val="center"/>
        <w:rPr>
          <w:b/>
          <w:i/>
          <w:sz w:val="28"/>
        </w:rPr>
      </w:pPr>
    </w:p>
    <w:p w14:paraId="77948332" w14:textId="51CC5863" w:rsidR="006F6165" w:rsidRDefault="00F04A0C" w:rsidP="00F04A0C">
      <w:pPr>
        <w:rPr>
          <w:rFonts w:ascii="Calibri" w:eastAsia="Calibri" w:hAnsi="Calibri"/>
          <w:sz w:val="22"/>
          <w:szCs w:val="22"/>
        </w:rPr>
      </w:pPr>
      <w:r w:rsidRPr="00F04A0C">
        <w:rPr>
          <w:rFonts w:ascii="Calibri" w:eastAsia="Calibri" w:hAnsi="Calibri"/>
          <w:sz w:val="22"/>
          <w:szCs w:val="22"/>
        </w:rPr>
        <w:t xml:space="preserve">In addition, </w:t>
      </w:r>
      <w:r>
        <w:rPr>
          <w:rFonts w:ascii="Calibri" w:eastAsia="Calibri" w:hAnsi="Calibri"/>
          <w:sz w:val="22"/>
          <w:szCs w:val="22"/>
        </w:rPr>
        <w:t>the appendix provides a list of editorial issues identified by companies to bring to the attention of the 38.213 specification editor.</w:t>
      </w:r>
    </w:p>
    <w:p w14:paraId="27679C6B" w14:textId="4CE86F2A" w:rsidR="00722A6C" w:rsidRDefault="00722A6C" w:rsidP="00F04A0C">
      <w:pPr>
        <w:rPr>
          <w:rFonts w:ascii="Calibri" w:eastAsia="Calibri" w:hAnsi="Calibri"/>
          <w:sz w:val="22"/>
          <w:szCs w:val="22"/>
        </w:rPr>
      </w:pPr>
    </w:p>
    <w:p w14:paraId="0BFD843D" w14:textId="1507DBFE" w:rsidR="00722A6C" w:rsidRPr="00F04A0C" w:rsidRDefault="00722A6C" w:rsidP="00F04A0C">
      <w:pPr>
        <w:rPr>
          <w:rFonts w:ascii="Calibri" w:eastAsia="Calibri" w:hAnsi="Calibri"/>
          <w:sz w:val="22"/>
          <w:szCs w:val="22"/>
        </w:rPr>
      </w:pPr>
      <w:r>
        <w:rPr>
          <w:rFonts w:ascii="Calibri" w:eastAsia="Calibri" w:hAnsi="Calibri"/>
          <w:sz w:val="22"/>
          <w:szCs w:val="22"/>
        </w:rPr>
        <w:t>Based on feedback from companies, a list of prioritized topics for RAN1#100bis-e will be developed potentially leading to agreements/TPs.</w:t>
      </w:r>
    </w:p>
    <w:p w14:paraId="177A131F" w14:textId="77777777" w:rsidR="006F6165" w:rsidRDefault="006F6165" w:rsidP="006F6165">
      <w:pPr>
        <w:jc w:val="center"/>
        <w:rPr>
          <w:b/>
          <w:i/>
          <w:sz w:val="28"/>
        </w:rPr>
      </w:pPr>
    </w:p>
    <w:p w14:paraId="413C4CC6" w14:textId="77777777" w:rsidR="006F6165" w:rsidRDefault="006F6165" w:rsidP="006F6165">
      <w:pPr>
        <w:jc w:val="center"/>
        <w:rPr>
          <w:b/>
          <w:i/>
          <w:sz w:val="28"/>
        </w:rPr>
      </w:pPr>
    </w:p>
    <w:p w14:paraId="415A30D4" w14:textId="11C46A6E" w:rsidR="006F6165" w:rsidRDefault="006F6165" w:rsidP="006F6165">
      <w:pPr>
        <w:jc w:val="center"/>
        <w:rPr>
          <w:b/>
          <w:i/>
          <w:sz w:val="28"/>
        </w:rPr>
      </w:pPr>
    </w:p>
    <w:p w14:paraId="3733C6F1" w14:textId="77777777" w:rsidR="00D13035" w:rsidRDefault="00D13035" w:rsidP="006F6165">
      <w:pPr>
        <w:jc w:val="center"/>
        <w:rPr>
          <w:b/>
          <w:i/>
          <w:sz w:val="28"/>
        </w:rPr>
      </w:pPr>
    </w:p>
    <w:p w14:paraId="3C101A3F" w14:textId="77777777" w:rsidR="006F6165" w:rsidRDefault="006F6165" w:rsidP="006F6165">
      <w:pPr>
        <w:jc w:val="center"/>
        <w:rPr>
          <w:b/>
          <w:i/>
          <w:sz w:val="28"/>
        </w:rPr>
      </w:pPr>
    </w:p>
    <w:p w14:paraId="3F7F6295" w14:textId="77777777" w:rsidR="00CC420F" w:rsidRDefault="00CC420F" w:rsidP="00CC420F">
      <w:pPr>
        <w:rPr>
          <w:b/>
          <w:i/>
          <w:sz w:val="28"/>
        </w:rPr>
      </w:pPr>
    </w:p>
    <w:p w14:paraId="7176EDF2" w14:textId="77777777" w:rsidR="00C81571" w:rsidRDefault="00C81571">
      <w:pPr>
        <w:rPr>
          <w:b/>
          <w:i/>
          <w:sz w:val="28"/>
        </w:rPr>
      </w:pPr>
      <w:r>
        <w:br w:type="page"/>
      </w:r>
    </w:p>
    <w:p w14:paraId="6D871D68" w14:textId="6E07107E" w:rsidR="00E235C5" w:rsidRPr="005560AC" w:rsidRDefault="000114C1" w:rsidP="00A94BF6">
      <w:pPr>
        <w:pStyle w:val="2"/>
      </w:pPr>
      <w:r>
        <w:lastRenderedPageBreak/>
        <w:t xml:space="preserve">IAB-MT </w:t>
      </w:r>
      <w:r w:rsidR="007918EB">
        <w:t>resource</w:t>
      </w:r>
      <w:r>
        <w:t xml:space="preserve"> configuration</w:t>
      </w:r>
    </w:p>
    <w:p w14:paraId="3830B967" w14:textId="3DB2F1F0" w:rsidR="00EC215E" w:rsidRDefault="00EC215E" w:rsidP="005560AC">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.1 </w:t>
      </w:r>
      <w:r w:rsidR="000114C1">
        <w:rPr>
          <w:rFonts w:asciiTheme="minorHAnsi" w:hAnsiTheme="minorHAnsi" w:cstheme="minorHAnsi"/>
          <w:b/>
          <w:sz w:val="28"/>
          <w:szCs w:val="28"/>
          <w:lang w:val="en-GB"/>
        </w:rPr>
        <w:t xml:space="preserve">Usage of </w:t>
      </w:r>
      <w:r w:rsidR="000114C1" w:rsidRPr="007918EB">
        <w:rPr>
          <w:rFonts w:asciiTheme="minorHAnsi" w:hAnsiTheme="minorHAnsi" w:cstheme="minorHAnsi"/>
          <w:b/>
          <w:i/>
          <w:iCs/>
          <w:sz w:val="28"/>
          <w:szCs w:val="28"/>
          <w:lang w:val="en-GB"/>
        </w:rPr>
        <w:t>tdd-UL-DL-ConfigDedicated-IAB-MT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734D8CC0" w14:textId="7777777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tdd-UL-DL-ConfigDedicated-IAB-MT for an IAB-node MT is similar to the higher layer parameter tdd-UL-DL-ConfigurationDedicated for a UE in Section 11 of TS 38.213 except that new slot formats for an IAB-node MT can be indicated by tdd-UL-DL-ConfigDedicated-IAB-MT.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tdd-UL-DL-ConfigurationDedicated are described. However, though it may be straightforward, the IAB-node MT behaviors related to slot format determination with tdd-UL-DL-ConfigDedicated-IAB-MT have not been captured. Consequently, when tdd-UL-DL-ConfigDedicated-IAB-MT is provided, the IAB node MT cannot determine how to use the parameter in order to determine the slot format. </w:t>
      </w:r>
    </w:p>
    <w:p w14:paraId="7962FABD" w14:textId="77777777" w:rsidR="00EC215E" w:rsidRDefault="00EC215E" w:rsidP="00EC215E">
      <w:pPr>
        <w:rPr>
          <w:strike/>
        </w:rPr>
      </w:pPr>
    </w:p>
    <w:p w14:paraId="653A29F5" w14:textId="39EE642C" w:rsidR="00EC215E" w:rsidRPr="00585761" w:rsidRDefault="00EC215E" w:rsidP="00EC215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sidR="000114C1">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EC215E" w:rsidRPr="008040F5" w14:paraId="31C6D76B" w14:textId="77777777" w:rsidTr="00777ADF">
        <w:tc>
          <w:tcPr>
            <w:tcW w:w="1696" w:type="dxa"/>
          </w:tcPr>
          <w:p w14:paraId="03687B3E" w14:textId="77777777"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6B8B231" w14:textId="77777777" w:rsidR="00450639" w:rsidRPr="00EF0778" w:rsidRDefault="00450639" w:rsidP="00450639">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A4CA7D4" w14:textId="2767BC73" w:rsidR="00EC215E" w:rsidRPr="00EF0778" w:rsidRDefault="005108FA" w:rsidP="00450639">
            <w:pPr>
              <w:rPr>
                <w:rFonts w:ascii="Calibri" w:eastAsia="Calibri" w:hAnsi="Calibri"/>
                <w:b/>
                <w:bCs/>
                <w:sz w:val="22"/>
                <w:szCs w:val="22"/>
              </w:rPr>
            </w:pPr>
            <w:r>
              <w:rPr>
                <w:rFonts w:ascii="Calibri" w:eastAsia="Calibri" w:hAnsi="Calibri"/>
                <w:b/>
                <w:bCs/>
                <w:sz w:val="22"/>
                <w:szCs w:val="22"/>
              </w:rPr>
              <w:t>(Yes/No/</w:t>
            </w:r>
            <w:r w:rsidR="00BE197A">
              <w:rPr>
                <w:rFonts w:ascii="Calibri" w:eastAsia="Calibri" w:hAnsi="Calibri"/>
                <w:b/>
                <w:bCs/>
                <w:sz w:val="22"/>
                <w:szCs w:val="22"/>
              </w:rPr>
              <w:t>Not sure</w:t>
            </w:r>
            <w:r>
              <w:rPr>
                <w:rFonts w:ascii="Calibri" w:eastAsia="Calibri" w:hAnsi="Calibri"/>
                <w:b/>
                <w:bCs/>
                <w:sz w:val="22"/>
                <w:szCs w:val="22"/>
              </w:rPr>
              <w:t>)</w:t>
            </w:r>
          </w:p>
        </w:tc>
        <w:tc>
          <w:tcPr>
            <w:tcW w:w="6109" w:type="dxa"/>
          </w:tcPr>
          <w:p w14:paraId="49CF5398" w14:textId="0AEA3E9B"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Comments</w:t>
            </w:r>
            <w:r w:rsidR="005108FA">
              <w:rPr>
                <w:rFonts w:ascii="Calibri" w:eastAsia="Calibri" w:hAnsi="Calibri"/>
                <w:b/>
                <w:bCs/>
                <w:sz w:val="22"/>
                <w:szCs w:val="22"/>
              </w:rPr>
              <w:t xml:space="preserve"> (e.g. specification impact, whether the issue is critical or not, etc.)</w:t>
            </w:r>
          </w:p>
        </w:tc>
      </w:tr>
      <w:tr w:rsidR="00EC215E" w14:paraId="7E482296" w14:textId="77777777" w:rsidTr="00777ADF">
        <w:tc>
          <w:tcPr>
            <w:tcW w:w="1696" w:type="dxa"/>
          </w:tcPr>
          <w:p w14:paraId="3442FE9C" w14:textId="069096A7" w:rsidR="00EC215E" w:rsidRPr="00190804" w:rsidRDefault="007D6EE2" w:rsidP="00DA4E5D">
            <w:pPr>
              <w:rPr>
                <w:rFonts w:ascii="Calibri" w:eastAsia="Calibri" w:hAnsi="Calibri"/>
                <w:sz w:val="22"/>
                <w:szCs w:val="22"/>
              </w:rPr>
            </w:pPr>
            <w:r>
              <w:rPr>
                <w:rFonts w:ascii="Calibri" w:eastAsia="Calibri" w:hAnsi="Calibri"/>
                <w:sz w:val="22"/>
                <w:szCs w:val="22"/>
              </w:rPr>
              <w:t>AT&amp;T</w:t>
            </w:r>
          </w:p>
        </w:tc>
        <w:tc>
          <w:tcPr>
            <w:tcW w:w="2265" w:type="dxa"/>
          </w:tcPr>
          <w:p w14:paraId="092E7F3E" w14:textId="18DBBEB2" w:rsidR="00EC215E" w:rsidRPr="00190804" w:rsidRDefault="007D6EE2" w:rsidP="00DA4E5D">
            <w:pPr>
              <w:rPr>
                <w:rFonts w:ascii="Calibri" w:eastAsia="Calibri" w:hAnsi="Calibri"/>
                <w:sz w:val="22"/>
                <w:szCs w:val="22"/>
              </w:rPr>
            </w:pPr>
            <w:r>
              <w:rPr>
                <w:rFonts w:ascii="Calibri" w:eastAsia="Calibri" w:hAnsi="Calibri"/>
                <w:sz w:val="22"/>
                <w:szCs w:val="22"/>
              </w:rPr>
              <w:t>Yes</w:t>
            </w:r>
          </w:p>
        </w:tc>
        <w:tc>
          <w:tcPr>
            <w:tcW w:w="6109" w:type="dxa"/>
          </w:tcPr>
          <w:p w14:paraId="57D41576" w14:textId="21502780" w:rsidR="00EC215E" w:rsidRPr="00190804" w:rsidRDefault="007D6EE2" w:rsidP="00DA4E5D">
            <w:pPr>
              <w:rPr>
                <w:rFonts w:ascii="Calibri" w:eastAsia="Calibri" w:hAnsi="Calibri"/>
                <w:sz w:val="22"/>
                <w:szCs w:val="22"/>
              </w:rPr>
            </w:pPr>
            <w:r>
              <w:rPr>
                <w:rFonts w:ascii="Calibri" w:eastAsia="Calibri" w:hAnsi="Calibri"/>
                <w:sz w:val="22"/>
                <w:szCs w:val="22"/>
              </w:rPr>
              <w:t xml:space="preserve">RAN1 should confirm that the behaviors associated with </w:t>
            </w:r>
            <w:r w:rsidRPr="00190804">
              <w:rPr>
                <w:rFonts w:ascii="Calibri" w:eastAsia="Calibri" w:hAnsi="Calibri"/>
                <w:sz w:val="22"/>
                <w:szCs w:val="22"/>
              </w:rPr>
              <w:t xml:space="preserve">tdd-UL-DL-ConfigurationDedicated </w:t>
            </w:r>
            <w:r>
              <w:rPr>
                <w:rFonts w:ascii="Calibri" w:eastAsia="Calibri" w:hAnsi="Calibri"/>
                <w:sz w:val="22"/>
                <w:szCs w:val="22"/>
              </w:rPr>
              <w:t>and</w:t>
            </w:r>
            <w:r w:rsidRPr="00190804">
              <w:rPr>
                <w:rFonts w:ascii="Calibri" w:eastAsia="Calibri" w:hAnsi="Calibri"/>
                <w:sz w:val="22"/>
                <w:szCs w:val="22"/>
              </w:rPr>
              <w:t xml:space="preserve"> tdd-UL-DL-ConfigDedicated-IAB-MT</w:t>
            </w:r>
            <w:r>
              <w:rPr>
                <w:rFonts w:ascii="Calibri" w:eastAsia="Calibri" w:hAnsi="Calibri"/>
                <w:sz w:val="22"/>
                <w:szCs w:val="22"/>
              </w:rPr>
              <w:t xml:space="preserve"> are identical (with the exception of the configuration of MT-specific slot formats)</w:t>
            </w:r>
            <w:r w:rsidR="00574A72">
              <w:rPr>
                <w:rFonts w:ascii="Calibri" w:eastAsia="Calibri" w:hAnsi="Calibri"/>
                <w:sz w:val="22"/>
                <w:szCs w:val="22"/>
              </w:rPr>
              <w:t xml:space="preserve"> and update 38.213 accordingly </w:t>
            </w:r>
          </w:p>
        </w:tc>
      </w:tr>
      <w:tr w:rsidR="00D10A74" w14:paraId="42D5F971" w14:textId="77777777" w:rsidTr="00777ADF">
        <w:tc>
          <w:tcPr>
            <w:tcW w:w="1696" w:type="dxa"/>
          </w:tcPr>
          <w:p w14:paraId="55AD9657" w14:textId="757D7383" w:rsidR="00D10A74" w:rsidRPr="00D10A74" w:rsidRDefault="00D10A74" w:rsidP="00DA4E5D">
            <w:pPr>
              <w:rPr>
                <w:rFonts w:ascii="Calibri" w:eastAsia="Calibri" w:hAnsi="Calibri"/>
                <w:sz w:val="22"/>
                <w:szCs w:val="22"/>
              </w:rPr>
            </w:pPr>
            <w:r w:rsidRPr="00D10A74">
              <w:rPr>
                <w:rFonts w:ascii="Calibri" w:eastAsia="Calibri" w:hAnsi="Calibri"/>
                <w:sz w:val="22"/>
                <w:szCs w:val="22"/>
              </w:rPr>
              <w:t>Huawei</w:t>
            </w:r>
          </w:p>
        </w:tc>
        <w:tc>
          <w:tcPr>
            <w:tcW w:w="2265" w:type="dxa"/>
          </w:tcPr>
          <w:p w14:paraId="7F6D6590" w14:textId="5D2FBAF5" w:rsidR="00D10A74" w:rsidRPr="00D10A74" w:rsidRDefault="00D10A74" w:rsidP="00DA4E5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22DE3CFA" w14:textId="54C509E5" w:rsidR="00D10A74" w:rsidRPr="00D10A74" w:rsidRDefault="00D10A74" w:rsidP="00D10A74">
            <w:pPr>
              <w:rPr>
                <w:rFonts w:ascii="Calibri" w:eastAsiaTheme="minorEastAsia" w:hAnsi="Calibri"/>
                <w:sz w:val="22"/>
                <w:szCs w:val="22"/>
                <w:lang w:eastAsia="zh-CN"/>
              </w:rPr>
            </w:pPr>
            <w:r>
              <w:rPr>
                <w:rFonts w:ascii="Calibri" w:eastAsia="Calibri" w:hAnsi="Calibri"/>
                <w:sz w:val="22"/>
                <w:szCs w:val="22"/>
              </w:rPr>
              <w:t>T</w:t>
            </w:r>
            <w:r w:rsidRPr="00190804">
              <w:rPr>
                <w:rFonts w:ascii="Calibri" w:eastAsia="Calibri" w:hAnsi="Calibri"/>
                <w:sz w:val="22"/>
                <w:szCs w:val="22"/>
              </w:rPr>
              <w:t>he IAB-node MT behaviors related to slot format determination with tdd-UL-DL-ConfigDedicate</w:t>
            </w:r>
            <w:r>
              <w:rPr>
                <w:rFonts w:ascii="Calibri" w:eastAsia="Calibri" w:hAnsi="Calibri"/>
                <w:sz w:val="22"/>
                <w:szCs w:val="22"/>
              </w:rPr>
              <w:t xml:space="preserve">d-IAB-MT have not been captured in the </w:t>
            </w:r>
            <w:r w:rsidR="00477242" w:rsidRPr="00477242">
              <w:rPr>
                <w:rFonts w:ascii="Calibri" w:eastAsia="Calibri" w:hAnsi="Calibri" w:hint="eastAsia"/>
                <w:sz w:val="22"/>
                <w:szCs w:val="22"/>
              </w:rPr>
              <w:t>current</w:t>
            </w:r>
            <w:r w:rsidR="00477242" w:rsidRPr="00477242">
              <w:rPr>
                <w:rFonts w:ascii="Calibri" w:eastAsia="Calibri" w:hAnsi="Calibri"/>
                <w:sz w:val="22"/>
                <w:szCs w:val="22"/>
              </w:rPr>
              <w:t xml:space="preserve"> </w:t>
            </w:r>
            <w:r>
              <w:rPr>
                <w:rFonts w:ascii="Calibri" w:eastAsia="Calibri" w:hAnsi="Calibri"/>
                <w:sz w:val="22"/>
                <w:szCs w:val="22"/>
              </w:rPr>
              <w:t>spec.</w:t>
            </w:r>
          </w:p>
        </w:tc>
      </w:tr>
      <w:tr w:rsidR="00C96348" w14:paraId="5CD960BC" w14:textId="77777777" w:rsidTr="00777ADF">
        <w:tc>
          <w:tcPr>
            <w:tcW w:w="1696" w:type="dxa"/>
          </w:tcPr>
          <w:p w14:paraId="57846AA2" w14:textId="79B0FB66" w:rsidR="00C96348" w:rsidRPr="00D10A74" w:rsidRDefault="00C96348" w:rsidP="00DA4E5D">
            <w:pPr>
              <w:rPr>
                <w:rFonts w:ascii="Calibri" w:eastAsia="Calibri" w:hAnsi="Calibri"/>
                <w:sz w:val="22"/>
                <w:szCs w:val="22"/>
              </w:rPr>
            </w:pPr>
            <w:r>
              <w:rPr>
                <w:rFonts w:ascii="Calibri" w:eastAsia="Calibri" w:hAnsi="Calibri"/>
                <w:sz w:val="22"/>
                <w:szCs w:val="22"/>
              </w:rPr>
              <w:t>Qualcomnm</w:t>
            </w:r>
          </w:p>
        </w:tc>
        <w:tc>
          <w:tcPr>
            <w:tcW w:w="2265" w:type="dxa"/>
          </w:tcPr>
          <w:p w14:paraId="0DFBA2C5" w14:textId="4D4F6D91" w:rsidR="00C96348" w:rsidRDefault="0064431F" w:rsidP="00DA4E5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9A011D9" w14:textId="4E768A38" w:rsidR="00C96348" w:rsidRDefault="00587D18" w:rsidP="00D10A74">
            <w:pPr>
              <w:rPr>
                <w:rFonts w:ascii="Calibri" w:eastAsia="Calibri" w:hAnsi="Calibri"/>
                <w:sz w:val="22"/>
                <w:szCs w:val="22"/>
              </w:rPr>
            </w:pPr>
            <w:r>
              <w:rPr>
                <w:rFonts w:ascii="Calibri" w:eastAsia="Calibri" w:hAnsi="Calibri"/>
                <w:sz w:val="22"/>
                <w:szCs w:val="22"/>
              </w:rPr>
              <w:t>Agree with AT&amp;T’s guidance on scope of the discussion.</w:t>
            </w:r>
          </w:p>
        </w:tc>
      </w:tr>
      <w:tr w:rsidR="00594E7C" w14:paraId="2540721C" w14:textId="77777777" w:rsidTr="00777ADF">
        <w:tc>
          <w:tcPr>
            <w:tcW w:w="1696" w:type="dxa"/>
          </w:tcPr>
          <w:p w14:paraId="3F8980E8" w14:textId="7AB32C85" w:rsidR="00594E7C" w:rsidRDefault="00594E7C" w:rsidP="00594E7C">
            <w:pPr>
              <w:rPr>
                <w:rFonts w:ascii="Calibri" w:eastAsia="Calibri" w:hAnsi="Calibri"/>
                <w:sz w:val="22"/>
                <w:szCs w:val="22"/>
              </w:rPr>
            </w:pPr>
            <w:r>
              <w:rPr>
                <w:rFonts w:ascii="Calibri" w:eastAsia="Calibri" w:hAnsi="Calibri"/>
                <w:sz w:val="22"/>
                <w:szCs w:val="22"/>
              </w:rPr>
              <w:t>ZTE, Sanechips</w:t>
            </w:r>
          </w:p>
        </w:tc>
        <w:tc>
          <w:tcPr>
            <w:tcW w:w="2265" w:type="dxa"/>
          </w:tcPr>
          <w:p w14:paraId="192327CA" w14:textId="46BFE726" w:rsidR="00594E7C" w:rsidRDefault="00594E7C" w:rsidP="00594E7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4BA2C3F" w14:textId="5E2DCC6C" w:rsidR="00594E7C" w:rsidRDefault="00EB1856" w:rsidP="00594E7C">
            <w:pPr>
              <w:rPr>
                <w:rFonts w:ascii="Calibri" w:eastAsia="Calibri" w:hAnsi="Calibri"/>
                <w:sz w:val="22"/>
                <w:szCs w:val="22"/>
              </w:rPr>
            </w:pPr>
            <w:r>
              <w:rPr>
                <w:rFonts w:ascii="Calibri" w:eastAsia="Calibri" w:hAnsi="Calibri"/>
                <w:sz w:val="22"/>
                <w:szCs w:val="22"/>
              </w:rPr>
              <w:t xml:space="preserve">In our view, this is an editorial issue, but might not be an easy one. </w:t>
            </w:r>
            <w:r w:rsidR="00594E7C">
              <w:rPr>
                <w:rFonts w:ascii="Calibri" w:eastAsia="Calibri" w:hAnsi="Calibri"/>
                <w:sz w:val="22"/>
                <w:szCs w:val="22"/>
              </w:rPr>
              <w:t xml:space="preserve"> </w:t>
            </w:r>
          </w:p>
        </w:tc>
      </w:tr>
      <w:tr w:rsidR="009C3BDC" w14:paraId="698CA713" w14:textId="77777777" w:rsidTr="00777ADF">
        <w:tc>
          <w:tcPr>
            <w:tcW w:w="1696" w:type="dxa"/>
          </w:tcPr>
          <w:p w14:paraId="20F55500" w14:textId="637E1C41" w:rsidR="009C3BDC" w:rsidRPr="009C3BDC" w:rsidRDefault="009C3BDC" w:rsidP="00594E7C">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7ECAB272" w14:textId="46480808" w:rsidR="009C3BDC" w:rsidRPr="009C3BDC" w:rsidRDefault="009C3BDC" w:rsidP="00594E7C">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6109" w:type="dxa"/>
          </w:tcPr>
          <w:p w14:paraId="412CAA43" w14:textId="2886A0DC" w:rsidR="009C3BDC" w:rsidRPr="009C3BDC" w:rsidRDefault="009C3BDC" w:rsidP="003E721A">
            <w:pPr>
              <w:rPr>
                <w:rFonts w:ascii="Calibri" w:eastAsia="맑은 고딕" w:hAnsi="Calibri" w:hint="eastAsia"/>
                <w:sz w:val="22"/>
                <w:szCs w:val="22"/>
                <w:lang w:eastAsia="ko-KR"/>
              </w:rPr>
            </w:pPr>
            <w:r>
              <w:rPr>
                <w:rFonts w:ascii="Calibri" w:eastAsia="맑은 고딕" w:hAnsi="Calibri" w:hint="eastAsia"/>
                <w:sz w:val="22"/>
                <w:szCs w:val="22"/>
                <w:lang w:eastAsia="ko-KR"/>
              </w:rPr>
              <w:t>Agree with the FL</w:t>
            </w:r>
            <w:r>
              <w:rPr>
                <w:rFonts w:ascii="Calibri" w:eastAsia="맑은 고딕" w:hAnsi="Calibri"/>
                <w:sz w:val="22"/>
                <w:szCs w:val="22"/>
                <w:lang w:eastAsia="ko-KR"/>
              </w:rPr>
              <w:t>’s observation.</w:t>
            </w:r>
          </w:p>
        </w:tc>
      </w:tr>
    </w:tbl>
    <w:p w14:paraId="4BF99447" w14:textId="77777777" w:rsidR="00B16D0D" w:rsidRPr="00B16D0D" w:rsidRDefault="00B16D0D" w:rsidP="005560AC">
      <w:pPr>
        <w:rPr>
          <w:rFonts w:asciiTheme="minorHAnsi" w:hAnsiTheme="minorHAnsi" w:cstheme="minorHAnsi"/>
          <w:bCs/>
          <w:lang w:val="en-GB"/>
        </w:rPr>
      </w:pPr>
    </w:p>
    <w:p w14:paraId="4B2A272C" w14:textId="0A2AEEDE" w:rsidR="00BD1C69" w:rsidRDefault="00B71C8B" w:rsidP="000114C1">
      <w:pPr>
        <w:rPr>
          <w:rFonts w:asciiTheme="minorHAnsi" w:hAnsiTheme="minorHAnsi" w:cstheme="minorHAnsi"/>
          <w:b/>
          <w:lang w:val="en-GB"/>
        </w:rPr>
      </w:pPr>
      <w:r w:rsidRPr="000114C1">
        <w:rPr>
          <w:rFonts w:asciiTheme="minorHAnsi" w:hAnsiTheme="minorHAnsi" w:cstheme="minorHAnsi"/>
          <w:b/>
          <w:highlight w:val="yellow"/>
          <w:lang w:val="en-GB"/>
        </w:rPr>
        <w:t>Summary</w:t>
      </w:r>
      <w:r w:rsidR="000114C1">
        <w:rPr>
          <w:rFonts w:asciiTheme="minorHAnsi" w:hAnsiTheme="minorHAnsi" w:cstheme="minorHAnsi"/>
          <w:b/>
          <w:highlight w:val="yellow"/>
          <w:lang w:val="en-GB"/>
        </w:rPr>
        <w:t xml:space="preserve"> 2.1.1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0AF7" w14:textId="120E5F12" w:rsidR="00BD1C69" w:rsidRDefault="00BD1C69" w:rsidP="000114C1">
      <w:pPr>
        <w:rPr>
          <w:rFonts w:asciiTheme="minorHAnsi" w:hAnsiTheme="minorHAnsi" w:cstheme="minorHAnsi"/>
          <w:b/>
          <w:lang w:val="en-GB"/>
        </w:rPr>
      </w:pPr>
    </w:p>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7B961B29"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Common Search Space</w:t>
      </w:r>
    </w:p>
    <w:p w14:paraId="11485B5D"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4C78690B" w14:textId="77777777"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MTs.  </w:t>
      </w:r>
    </w:p>
    <w:p w14:paraId="5CED3C54" w14:textId="77777777" w:rsidR="00C34602" w:rsidRDefault="00C34602" w:rsidP="00C34602">
      <w:pPr>
        <w:rPr>
          <w:rFonts w:asciiTheme="minorHAnsi" w:hAnsiTheme="minorHAnsi" w:cstheme="minorHAnsi"/>
          <w:b/>
          <w:lang w:val="en-GB"/>
        </w:rPr>
      </w:pPr>
    </w:p>
    <w:p w14:paraId="14303F0E"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337C7B47" w14:textId="77777777" w:rsidTr="002262C8">
        <w:tc>
          <w:tcPr>
            <w:tcW w:w="1696" w:type="dxa"/>
          </w:tcPr>
          <w:p w14:paraId="19EFBC14" w14:textId="3226DDF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A354AD9"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D0F0364" w14:textId="19855222" w:rsidR="00BE197A" w:rsidRPr="00585761" w:rsidRDefault="00BE197A" w:rsidP="00BE197A">
            <w:pPr>
              <w:rPr>
                <w:b/>
                <w:bCs/>
              </w:rPr>
            </w:pPr>
            <w:r>
              <w:rPr>
                <w:rFonts w:ascii="Calibri" w:eastAsia="Calibri" w:hAnsi="Calibri"/>
                <w:b/>
                <w:bCs/>
                <w:sz w:val="22"/>
                <w:szCs w:val="22"/>
              </w:rPr>
              <w:t>(Yes/No/Not sure)</w:t>
            </w:r>
          </w:p>
        </w:tc>
        <w:tc>
          <w:tcPr>
            <w:tcW w:w="6109" w:type="dxa"/>
          </w:tcPr>
          <w:p w14:paraId="6401C8AD" w14:textId="3A9DB07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4100D260" w14:textId="77777777" w:rsidTr="002262C8">
        <w:tc>
          <w:tcPr>
            <w:tcW w:w="1696" w:type="dxa"/>
          </w:tcPr>
          <w:p w14:paraId="499211E2" w14:textId="154932D9" w:rsidR="00EF0778" w:rsidRPr="008264A4" w:rsidRDefault="008264A4" w:rsidP="00EF0778">
            <w:pPr>
              <w:rPr>
                <w:rFonts w:ascii="Calibri" w:eastAsia="Calibri" w:hAnsi="Calibri"/>
                <w:sz w:val="22"/>
                <w:szCs w:val="22"/>
              </w:rPr>
            </w:pPr>
            <w:r w:rsidRPr="008264A4">
              <w:rPr>
                <w:rFonts w:ascii="Calibri" w:eastAsia="Calibri" w:hAnsi="Calibri"/>
                <w:sz w:val="22"/>
                <w:szCs w:val="22"/>
              </w:rPr>
              <w:t>AT&amp;T</w:t>
            </w:r>
          </w:p>
        </w:tc>
        <w:tc>
          <w:tcPr>
            <w:tcW w:w="2265" w:type="dxa"/>
          </w:tcPr>
          <w:p w14:paraId="03C4E2B2" w14:textId="155FCB35" w:rsidR="00EF0778" w:rsidRPr="008264A4" w:rsidRDefault="008264A4" w:rsidP="00EF0778">
            <w:pPr>
              <w:rPr>
                <w:rFonts w:ascii="Calibri" w:eastAsia="Calibri" w:hAnsi="Calibri"/>
                <w:sz w:val="22"/>
                <w:szCs w:val="22"/>
              </w:rPr>
            </w:pPr>
            <w:r w:rsidRPr="008264A4">
              <w:rPr>
                <w:rFonts w:ascii="Calibri" w:eastAsia="Calibri" w:hAnsi="Calibri"/>
                <w:sz w:val="22"/>
                <w:szCs w:val="22"/>
              </w:rPr>
              <w:t>Yes</w:t>
            </w:r>
          </w:p>
        </w:tc>
        <w:tc>
          <w:tcPr>
            <w:tcW w:w="6109" w:type="dxa"/>
          </w:tcPr>
          <w:p w14:paraId="3339871A" w14:textId="576A1105" w:rsidR="00EF0778" w:rsidRPr="008264A4" w:rsidRDefault="008264A4" w:rsidP="00EF0778">
            <w:pPr>
              <w:rPr>
                <w:rFonts w:ascii="Calibri" w:eastAsia="Calibri" w:hAnsi="Calibri"/>
                <w:sz w:val="22"/>
                <w:szCs w:val="22"/>
              </w:rPr>
            </w:pPr>
            <w:r w:rsidRPr="008264A4">
              <w:rPr>
                <w:rFonts w:ascii="Calibri" w:eastAsia="Calibri" w:hAnsi="Calibri"/>
                <w:sz w:val="22"/>
                <w:szCs w:val="22"/>
              </w:rPr>
              <w:t>RAN1 should confirm that the maximum size of commonSearchSpaceListIAB-v16xy = 4</w:t>
            </w:r>
            <w:r w:rsidR="00574A72">
              <w:rPr>
                <w:rFonts w:ascii="Calibri" w:eastAsia="Calibri" w:hAnsi="Calibri"/>
                <w:sz w:val="22"/>
                <w:szCs w:val="22"/>
              </w:rPr>
              <w:t xml:space="preserve"> and inform RAN2</w:t>
            </w:r>
          </w:p>
        </w:tc>
      </w:tr>
      <w:tr w:rsidR="00D10A74" w14:paraId="42A571D3" w14:textId="77777777" w:rsidTr="002262C8">
        <w:tc>
          <w:tcPr>
            <w:tcW w:w="1696" w:type="dxa"/>
          </w:tcPr>
          <w:p w14:paraId="11394F52" w14:textId="6649C194" w:rsidR="00D10A74" w:rsidRPr="00D10A74" w:rsidRDefault="00D10A74" w:rsidP="00EF0778">
            <w:pPr>
              <w:rPr>
                <w:rFonts w:ascii="Calibri" w:eastAsia="Calibri" w:hAnsi="Calibri"/>
                <w:sz w:val="22"/>
                <w:szCs w:val="22"/>
              </w:rPr>
            </w:pPr>
            <w:r w:rsidRPr="00D10A74">
              <w:rPr>
                <w:rFonts w:ascii="Calibri" w:eastAsia="Calibri" w:hAnsi="Calibri" w:hint="eastAsia"/>
                <w:sz w:val="22"/>
                <w:szCs w:val="22"/>
              </w:rPr>
              <w:t>H</w:t>
            </w:r>
            <w:r w:rsidRPr="00D10A74">
              <w:rPr>
                <w:rFonts w:ascii="Calibri" w:eastAsia="Calibri" w:hAnsi="Calibri"/>
                <w:sz w:val="22"/>
                <w:szCs w:val="22"/>
              </w:rPr>
              <w:t>uawei</w:t>
            </w:r>
          </w:p>
        </w:tc>
        <w:tc>
          <w:tcPr>
            <w:tcW w:w="2265" w:type="dxa"/>
          </w:tcPr>
          <w:p w14:paraId="5EA4C7DE" w14:textId="6BD71445" w:rsidR="00D10A74" w:rsidRPr="008264A4" w:rsidRDefault="00D10A74" w:rsidP="00EF0778">
            <w:pPr>
              <w:rPr>
                <w:rFonts w:ascii="Calibri" w:eastAsia="Calibri" w:hAnsi="Calibri"/>
                <w:sz w:val="22"/>
                <w:szCs w:val="22"/>
              </w:rPr>
            </w:pPr>
            <w:r w:rsidRPr="00D10A74">
              <w:rPr>
                <w:rFonts w:ascii="Calibri" w:eastAsia="Calibri" w:hAnsi="Calibri"/>
                <w:sz w:val="22"/>
                <w:szCs w:val="22"/>
              </w:rPr>
              <w:t>Yes</w:t>
            </w:r>
          </w:p>
        </w:tc>
        <w:tc>
          <w:tcPr>
            <w:tcW w:w="6109" w:type="dxa"/>
          </w:tcPr>
          <w:p w14:paraId="729469A2" w14:textId="384A47FA" w:rsidR="00D10A74" w:rsidRPr="008264A4" w:rsidRDefault="00B663EB" w:rsidP="00EF0778">
            <w:pPr>
              <w:rPr>
                <w:rFonts w:ascii="Calibri" w:eastAsia="Calibri" w:hAnsi="Calibri"/>
                <w:sz w:val="22"/>
                <w:szCs w:val="22"/>
              </w:rPr>
            </w:pPr>
            <w:r w:rsidRPr="000E3AA1">
              <w:rPr>
                <w:rFonts w:ascii="Calibri" w:eastAsia="Calibri" w:hAnsi="Calibri"/>
                <w:sz w:val="22"/>
                <w:szCs w:val="22"/>
              </w:rPr>
              <w:t xml:space="preserve">RAN1 can agree on the number of </w:t>
            </w:r>
            <w:r w:rsidR="000E3AA1">
              <w:rPr>
                <w:rFonts w:ascii="Calibri" w:eastAsia="Calibri" w:hAnsi="Calibri"/>
                <w:sz w:val="22"/>
                <w:szCs w:val="22"/>
              </w:rPr>
              <w:t xml:space="preserve">common search spaces for IAB-MT and signaling </w:t>
            </w:r>
            <w:r w:rsidR="00477242">
              <w:rPr>
                <w:rFonts w:ascii="Calibri" w:eastAsia="Calibri" w:hAnsi="Calibri"/>
                <w:sz w:val="22"/>
                <w:szCs w:val="22"/>
              </w:rPr>
              <w:t xml:space="preserve">details </w:t>
            </w:r>
            <w:r w:rsidR="000E3AA1">
              <w:rPr>
                <w:rFonts w:ascii="Calibri" w:eastAsia="Calibri" w:hAnsi="Calibri"/>
                <w:sz w:val="22"/>
                <w:szCs w:val="22"/>
              </w:rPr>
              <w:t xml:space="preserve">can be up to RAN2, e.g. whether it should be in </w:t>
            </w:r>
            <w:r w:rsidR="000E3AA1" w:rsidRPr="000E3AA1">
              <w:rPr>
                <w:rFonts w:ascii="Calibri" w:eastAsia="Calibri" w:hAnsi="Calibri"/>
                <w:i/>
                <w:sz w:val="22"/>
                <w:szCs w:val="22"/>
              </w:rPr>
              <w:t>PDCCHConfigCommon</w:t>
            </w:r>
            <w:r w:rsidR="000E3AA1">
              <w:rPr>
                <w:rFonts w:ascii="Calibri" w:eastAsia="Calibri" w:hAnsi="Calibri"/>
                <w:sz w:val="22"/>
                <w:szCs w:val="22"/>
              </w:rPr>
              <w:t xml:space="preserve"> or </w:t>
            </w:r>
            <w:r w:rsidR="000E3AA1" w:rsidRPr="000E3AA1">
              <w:rPr>
                <w:rFonts w:ascii="Calibri" w:eastAsia="Calibri" w:hAnsi="Calibri"/>
                <w:i/>
                <w:sz w:val="22"/>
                <w:szCs w:val="22"/>
              </w:rPr>
              <w:t>PDCCH-ServingCellConfig</w:t>
            </w:r>
          </w:p>
        </w:tc>
      </w:tr>
      <w:tr w:rsidR="001D1FC3" w14:paraId="2B66A1AF" w14:textId="77777777" w:rsidTr="002262C8">
        <w:tc>
          <w:tcPr>
            <w:tcW w:w="1696" w:type="dxa"/>
          </w:tcPr>
          <w:p w14:paraId="58D098EA" w14:textId="3CBFCD13" w:rsidR="001D1FC3" w:rsidRPr="00D10A74" w:rsidRDefault="001D1FC3" w:rsidP="00EF0778">
            <w:pPr>
              <w:rPr>
                <w:rFonts w:ascii="Calibri" w:eastAsia="Calibri" w:hAnsi="Calibri"/>
                <w:sz w:val="22"/>
                <w:szCs w:val="22"/>
              </w:rPr>
            </w:pPr>
            <w:r>
              <w:rPr>
                <w:rFonts w:ascii="Calibri" w:eastAsia="Calibri" w:hAnsi="Calibri"/>
                <w:sz w:val="22"/>
                <w:szCs w:val="22"/>
              </w:rPr>
              <w:t>Qualcomm</w:t>
            </w:r>
          </w:p>
        </w:tc>
        <w:tc>
          <w:tcPr>
            <w:tcW w:w="2265" w:type="dxa"/>
          </w:tcPr>
          <w:p w14:paraId="5587350E" w14:textId="00B497CA" w:rsidR="001D1FC3" w:rsidRPr="00D10A74" w:rsidRDefault="001D1FC3" w:rsidP="00EF0778">
            <w:pPr>
              <w:rPr>
                <w:rFonts w:ascii="Calibri" w:eastAsia="Calibri" w:hAnsi="Calibri"/>
                <w:sz w:val="22"/>
                <w:szCs w:val="22"/>
              </w:rPr>
            </w:pPr>
            <w:r>
              <w:rPr>
                <w:rFonts w:ascii="Calibri" w:eastAsia="Calibri" w:hAnsi="Calibri"/>
                <w:sz w:val="22"/>
                <w:szCs w:val="22"/>
              </w:rPr>
              <w:t>Yes</w:t>
            </w:r>
          </w:p>
        </w:tc>
        <w:tc>
          <w:tcPr>
            <w:tcW w:w="6109" w:type="dxa"/>
          </w:tcPr>
          <w:p w14:paraId="3F0B3114" w14:textId="3B017D0F" w:rsidR="001D1FC3" w:rsidRPr="000E3AA1" w:rsidRDefault="001D1FC3" w:rsidP="00EF0778">
            <w:pPr>
              <w:rPr>
                <w:rFonts w:ascii="Calibri" w:eastAsia="Calibri" w:hAnsi="Calibri"/>
                <w:sz w:val="22"/>
                <w:szCs w:val="22"/>
              </w:rPr>
            </w:pPr>
            <w:r>
              <w:rPr>
                <w:rFonts w:ascii="Calibri" w:eastAsia="Calibri" w:hAnsi="Calibri"/>
                <w:sz w:val="22"/>
                <w:szCs w:val="22"/>
              </w:rPr>
              <w:t>Agree with AT&amp;T’s guidance on scope of the discussion.</w:t>
            </w:r>
          </w:p>
        </w:tc>
      </w:tr>
      <w:tr w:rsidR="00EB1856" w14:paraId="4DA055B5" w14:textId="77777777" w:rsidTr="002262C8">
        <w:tc>
          <w:tcPr>
            <w:tcW w:w="1696" w:type="dxa"/>
          </w:tcPr>
          <w:p w14:paraId="7A494F7E" w14:textId="1DA1C278" w:rsidR="00EB1856" w:rsidRDefault="00EB1856" w:rsidP="00EB1856">
            <w:pPr>
              <w:rPr>
                <w:rFonts w:ascii="Calibri" w:eastAsia="Calibri" w:hAnsi="Calibri"/>
                <w:sz w:val="22"/>
                <w:szCs w:val="22"/>
              </w:rPr>
            </w:pPr>
            <w:r>
              <w:rPr>
                <w:rFonts w:ascii="Calibri" w:eastAsia="Calibri" w:hAnsi="Calibri"/>
                <w:sz w:val="22"/>
                <w:szCs w:val="22"/>
              </w:rPr>
              <w:t>ZTE, Sanechips</w:t>
            </w:r>
          </w:p>
        </w:tc>
        <w:tc>
          <w:tcPr>
            <w:tcW w:w="2265" w:type="dxa"/>
          </w:tcPr>
          <w:p w14:paraId="697B9F63" w14:textId="61AE3BCD" w:rsidR="00EB1856" w:rsidRDefault="00EB1856" w:rsidP="00EB1856">
            <w:pPr>
              <w:rPr>
                <w:rFonts w:ascii="Calibri" w:eastAsia="Calibri" w:hAnsi="Calibri"/>
                <w:sz w:val="22"/>
                <w:szCs w:val="22"/>
              </w:rPr>
            </w:pPr>
            <w:r>
              <w:rPr>
                <w:rFonts w:ascii="Calibri" w:eastAsia="Calibri" w:hAnsi="Calibri"/>
                <w:sz w:val="22"/>
                <w:szCs w:val="22"/>
              </w:rPr>
              <w:t>Yes</w:t>
            </w:r>
          </w:p>
        </w:tc>
        <w:tc>
          <w:tcPr>
            <w:tcW w:w="6109" w:type="dxa"/>
          </w:tcPr>
          <w:p w14:paraId="469E9AAA" w14:textId="743908E0" w:rsidR="00EB1856" w:rsidRDefault="00EB1856" w:rsidP="00EB1856">
            <w:pPr>
              <w:rPr>
                <w:rFonts w:ascii="Calibri" w:eastAsia="Calibri" w:hAnsi="Calibri"/>
                <w:sz w:val="22"/>
                <w:szCs w:val="22"/>
              </w:rPr>
            </w:pPr>
            <w:r>
              <w:rPr>
                <w:rFonts w:ascii="Calibri" w:eastAsia="Calibri" w:hAnsi="Calibri"/>
                <w:sz w:val="22"/>
                <w:szCs w:val="22"/>
              </w:rPr>
              <w:t xml:space="preserve">Agree with AT&amp;T. </w:t>
            </w:r>
          </w:p>
        </w:tc>
      </w:tr>
      <w:tr w:rsidR="00465ED3" w14:paraId="105DA2EF" w14:textId="77777777" w:rsidTr="002262C8">
        <w:tc>
          <w:tcPr>
            <w:tcW w:w="1696" w:type="dxa"/>
          </w:tcPr>
          <w:p w14:paraId="144CB65F" w14:textId="1632018D" w:rsidR="00465ED3" w:rsidRPr="00465ED3" w:rsidRDefault="00465ED3" w:rsidP="00EB1856">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5DFD1AB9" w14:textId="32189D67" w:rsidR="00465ED3" w:rsidRPr="00210DCD" w:rsidRDefault="00210DCD" w:rsidP="00EB1856">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6109" w:type="dxa"/>
          </w:tcPr>
          <w:p w14:paraId="51F71E99" w14:textId="00511B05" w:rsidR="00465ED3" w:rsidRPr="00210DCD" w:rsidRDefault="00210DCD" w:rsidP="00EB1856">
            <w:pPr>
              <w:rPr>
                <w:rFonts w:ascii="Calibri" w:eastAsia="맑은 고딕" w:hAnsi="Calibri" w:hint="eastAsia"/>
                <w:sz w:val="22"/>
                <w:szCs w:val="22"/>
                <w:lang w:eastAsia="ko-KR"/>
              </w:rPr>
            </w:pPr>
            <w:r>
              <w:rPr>
                <w:rFonts w:ascii="Calibri" w:eastAsia="맑은 고딕" w:hAnsi="Calibri" w:hint="eastAsia"/>
                <w:sz w:val="22"/>
                <w:szCs w:val="22"/>
                <w:lang w:eastAsia="ko-KR"/>
              </w:rPr>
              <w:t>Agree with the FL</w:t>
            </w:r>
            <w:r>
              <w:rPr>
                <w:rFonts w:ascii="Calibri" w:eastAsia="맑은 고딕" w:hAnsi="Calibri"/>
                <w:sz w:val="22"/>
                <w:szCs w:val="22"/>
                <w:lang w:eastAsia="ko-KR"/>
              </w:rPr>
              <w:t>’s observation.</w:t>
            </w:r>
          </w:p>
        </w:tc>
      </w:tr>
    </w:tbl>
    <w:p w14:paraId="57939639" w14:textId="77777777" w:rsidR="00C34602" w:rsidRDefault="00C34602" w:rsidP="00C34602">
      <w:pPr>
        <w:rPr>
          <w:rFonts w:asciiTheme="minorHAnsi" w:hAnsiTheme="minorHAnsi" w:cstheme="minorHAnsi"/>
          <w:b/>
          <w:lang w:val="en-GB"/>
        </w:rPr>
      </w:pPr>
    </w:p>
    <w:p w14:paraId="53F6F162" w14:textId="15E5A408"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2.1.2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548DC5D0"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2D39B5BE" w14:textId="3AD41386"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mt-Specific-v16xy</w:t>
      </w:r>
      <w:r w:rsidRPr="008D7B30">
        <w:rPr>
          <w:rFonts w:ascii="Calibri" w:eastAsia="Calibri" w:hAnsi="Calibri"/>
          <w:sz w:val="22"/>
          <w:szCs w:val="22"/>
        </w:rPr>
        <w:t xml:space="preserve">  lists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3F7B82EE" w14:textId="4803ABDA" w:rsidR="00C34602" w:rsidRDefault="00C34602" w:rsidP="00C34602">
      <w:pPr>
        <w:rPr>
          <w:rFonts w:asciiTheme="minorHAnsi" w:hAnsiTheme="minorHAnsi" w:cstheme="minorHAnsi"/>
          <w:b/>
          <w:lang w:val="en-GB"/>
        </w:rPr>
      </w:pPr>
    </w:p>
    <w:p w14:paraId="005AAB92"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1E303B7C" w14:textId="77777777" w:rsidTr="002262C8">
        <w:tc>
          <w:tcPr>
            <w:tcW w:w="1696" w:type="dxa"/>
          </w:tcPr>
          <w:p w14:paraId="3174C1FA" w14:textId="588A17D0"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16E074C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74267AA" w14:textId="3BECB4C9" w:rsidR="00BE197A" w:rsidRPr="00585761" w:rsidRDefault="00BE197A" w:rsidP="00BE197A">
            <w:pPr>
              <w:rPr>
                <w:b/>
                <w:bCs/>
              </w:rPr>
            </w:pPr>
            <w:r>
              <w:rPr>
                <w:rFonts w:ascii="Calibri" w:eastAsia="Calibri" w:hAnsi="Calibri"/>
                <w:b/>
                <w:bCs/>
                <w:sz w:val="22"/>
                <w:szCs w:val="22"/>
              </w:rPr>
              <w:t>(Yes/No/Not sure)</w:t>
            </w:r>
          </w:p>
        </w:tc>
        <w:tc>
          <w:tcPr>
            <w:tcW w:w="6109" w:type="dxa"/>
          </w:tcPr>
          <w:p w14:paraId="798FD6CC" w14:textId="731F53A9"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8B87FB5" w14:textId="77777777" w:rsidTr="002262C8">
        <w:tc>
          <w:tcPr>
            <w:tcW w:w="1696" w:type="dxa"/>
          </w:tcPr>
          <w:p w14:paraId="3B66C2C3" w14:textId="7674CA6E" w:rsidR="00EF0778" w:rsidRPr="005108FA" w:rsidRDefault="005108FA" w:rsidP="00EF0778">
            <w:pPr>
              <w:rPr>
                <w:rFonts w:ascii="Calibri" w:eastAsia="Calibri" w:hAnsi="Calibri"/>
                <w:sz w:val="22"/>
                <w:szCs w:val="22"/>
              </w:rPr>
            </w:pPr>
            <w:r w:rsidRPr="005108FA">
              <w:rPr>
                <w:rFonts w:ascii="Calibri" w:eastAsia="Calibri" w:hAnsi="Calibri"/>
                <w:sz w:val="22"/>
                <w:szCs w:val="22"/>
              </w:rPr>
              <w:t>AT&amp;T</w:t>
            </w:r>
          </w:p>
        </w:tc>
        <w:tc>
          <w:tcPr>
            <w:tcW w:w="2265" w:type="dxa"/>
          </w:tcPr>
          <w:p w14:paraId="704A8DF3" w14:textId="024EB0F4"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77349EAE" w14:textId="54F2CBF2" w:rsidR="00EF0778" w:rsidRPr="005108FA" w:rsidRDefault="005108FA" w:rsidP="00EF0778">
            <w:r w:rsidRPr="005108FA">
              <w:rPr>
                <w:rFonts w:ascii="Calibri" w:eastAsia="Calibri" w:hAnsi="Calibri"/>
                <w:sz w:val="22"/>
                <w:szCs w:val="22"/>
              </w:rPr>
              <w:t xml:space="preserve">RAN1 should confirm </w:t>
            </w:r>
            <w:r w:rsidR="00C0021B">
              <w:rPr>
                <w:rFonts w:ascii="Calibri" w:eastAsia="Calibri" w:hAnsi="Calibri"/>
                <w:sz w:val="22"/>
                <w:szCs w:val="22"/>
              </w:rPr>
              <w:t>which DCI formats</w:t>
            </w:r>
            <w:r w:rsidRPr="005108FA">
              <w:rPr>
                <w:rFonts w:ascii="Calibri" w:eastAsia="Calibri" w:hAnsi="Calibri"/>
                <w:sz w:val="22"/>
                <w:szCs w:val="22"/>
              </w:rPr>
              <w:t xml:space="preserve"> can be configured in a IAB-MT specific manner (i.e. via RRC parameter</w:t>
            </w:r>
            <w:r w:rsidRPr="005108FA">
              <w:rPr>
                <w:rFonts w:ascii="Calibri" w:eastAsia="Calibri" w:hAnsi="Calibri"/>
                <w:i/>
                <w:iCs/>
                <w:sz w:val="22"/>
                <w:szCs w:val="22"/>
              </w:rPr>
              <w:t xml:space="preserve"> mt-Specific-v16xy</w:t>
            </w:r>
            <w:r w:rsidRPr="005108FA">
              <w:rPr>
                <w:rFonts w:ascii="Calibri" w:eastAsia="Calibri" w:hAnsi="Calibri"/>
                <w:sz w:val="22"/>
                <w:szCs w:val="22"/>
              </w:rPr>
              <w:t>) and inform RAN2.</w:t>
            </w:r>
          </w:p>
        </w:tc>
      </w:tr>
      <w:tr w:rsidR="000E3AA1" w14:paraId="4BD502A6" w14:textId="77777777" w:rsidTr="002262C8">
        <w:tc>
          <w:tcPr>
            <w:tcW w:w="1696" w:type="dxa"/>
          </w:tcPr>
          <w:p w14:paraId="0D6AFEBD" w14:textId="6665E1B2"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5CBB45C4" w14:textId="2BF4C5F1"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7705762" w14:textId="7AD5159B" w:rsidR="000E3AA1" w:rsidRPr="000E3AA1" w:rsidRDefault="000E3AA1" w:rsidP="000E3AA1">
            <w:p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AN1 should discuss the </w:t>
            </w:r>
            <w:r w:rsidR="00477242">
              <w:rPr>
                <w:rFonts w:ascii="Calibri" w:eastAsiaTheme="minorEastAsia" w:hAnsi="Calibri"/>
                <w:sz w:val="22"/>
                <w:szCs w:val="22"/>
                <w:lang w:eastAsia="zh-CN"/>
              </w:rPr>
              <w:t xml:space="preserve">following issues: the </w:t>
            </w:r>
            <w:r>
              <w:rPr>
                <w:rFonts w:ascii="Calibri" w:eastAsiaTheme="minorEastAsia" w:hAnsi="Calibri"/>
                <w:sz w:val="22"/>
                <w:szCs w:val="22"/>
                <w:lang w:eastAsia="zh-CN"/>
              </w:rPr>
              <w:t xml:space="preserve">search space for DCI format 2_5, the need of MT specific search space and the possible aggregation levels and number of candidates for DCI format 2_5. </w:t>
            </w:r>
          </w:p>
        </w:tc>
      </w:tr>
      <w:tr w:rsidR="001D1FC3" w14:paraId="1F191458" w14:textId="77777777" w:rsidTr="002262C8">
        <w:tc>
          <w:tcPr>
            <w:tcW w:w="1696" w:type="dxa"/>
          </w:tcPr>
          <w:p w14:paraId="4663F5CF" w14:textId="12543550"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3D9F0C0" w14:textId="01C6EF87"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AF5B477" w14:textId="5D95BC12" w:rsidR="001D1FC3" w:rsidRDefault="001D1FC3" w:rsidP="000E3AA1">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EB1856" w14:paraId="579A751B" w14:textId="77777777" w:rsidTr="002262C8">
        <w:tc>
          <w:tcPr>
            <w:tcW w:w="1696" w:type="dxa"/>
          </w:tcPr>
          <w:p w14:paraId="5020F32B" w14:textId="701D1452" w:rsidR="00EB1856" w:rsidRDefault="00EB1856" w:rsidP="00EB1856">
            <w:pPr>
              <w:rPr>
                <w:rFonts w:ascii="Calibri" w:eastAsiaTheme="minorEastAsia" w:hAnsi="Calibri"/>
                <w:sz w:val="22"/>
                <w:szCs w:val="22"/>
                <w:lang w:eastAsia="zh-CN"/>
              </w:rPr>
            </w:pPr>
            <w:r>
              <w:rPr>
                <w:rFonts w:ascii="Calibri" w:eastAsia="Calibri" w:hAnsi="Calibri"/>
                <w:sz w:val="22"/>
                <w:szCs w:val="22"/>
              </w:rPr>
              <w:t>ZTE, Sanechips</w:t>
            </w:r>
          </w:p>
        </w:tc>
        <w:tc>
          <w:tcPr>
            <w:tcW w:w="2265" w:type="dxa"/>
          </w:tcPr>
          <w:p w14:paraId="1B1DA1D3" w14:textId="26A17531" w:rsidR="00EB1856" w:rsidRDefault="00EB1856" w:rsidP="00EB1856">
            <w:pPr>
              <w:rPr>
                <w:rFonts w:ascii="Calibri" w:eastAsiaTheme="minorEastAsia" w:hAnsi="Calibri"/>
                <w:sz w:val="22"/>
                <w:szCs w:val="22"/>
                <w:lang w:eastAsia="zh-CN"/>
              </w:rPr>
            </w:pPr>
            <w:r>
              <w:rPr>
                <w:rFonts w:ascii="Calibri" w:eastAsia="Calibri" w:hAnsi="Calibri"/>
                <w:sz w:val="22"/>
                <w:szCs w:val="22"/>
              </w:rPr>
              <w:t>Yes</w:t>
            </w:r>
          </w:p>
        </w:tc>
        <w:tc>
          <w:tcPr>
            <w:tcW w:w="6109" w:type="dxa"/>
          </w:tcPr>
          <w:p w14:paraId="5AD5D007" w14:textId="13E9400A" w:rsidR="00EB1856" w:rsidRDefault="00EB1856" w:rsidP="00EB1856">
            <w:pPr>
              <w:rPr>
                <w:rFonts w:ascii="Calibri" w:eastAsia="Calibri" w:hAnsi="Calibri"/>
                <w:sz w:val="22"/>
                <w:szCs w:val="22"/>
              </w:rPr>
            </w:pPr>
          </w:p>
        </w:tc>
      </w:tr>
      <w:tr w:rsidR="00BF2489" w14:paraId="130E3DE1" w14:textId="77777777" w:rsidTr="002262C8">
        <w:tc>
          <w:tcPr>
            <w:tcW w:w="1696" w:type="dxa"/>
          </w:tcPr>
          <w:p w14:paraId="49DE6435" w14:textId="72969A41" w:rsidR="00BF2489" w:rsidRPr="00BF2489" w:rsidRDefault="00BF2489" w:rsidP="00EB1856">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73B72C0D" w14:textId="07C12393" w:rsidR="00BF2489" w:rsidRPr="00BF2489" w:rsidRDefault="00BF2489" w:rsidP="00EB1856">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6109" w:type="dxa"/>
          </w:tcPr>
          <w:p w14:paraId="5521F704" w14:textId="24F92A35" w:rsidR="00BF2489" w:rsidRPr="00BF2489" w:rsidRDefault="00BF2489" w:rsidP="00EB1856">
            <w:pPr>
              <w:rPr>
                <w:rFonts w:ascii="Calibri" w:eastAsia="맑은 고딕" w:hAnsi="Calibri" w:hint="eastAsia"/>
                <w:sz w:val="22"/>
                <w:szCs w:val="22"/>
                <w:lang w:eastAsia="ko-KR"/>
              </w:rPr>
            </w:pPr>
            <w:r>
              <w:rPr>
                <w:rFonts w:ascii="Calibri" w:eastAsia="맑은 고딕" w:hAnsi="Calibri" w:hint="eastAsia"/>
                <w:sz w:val="22"/>
                <w:szCs w:val="22"/>
                <w:lang w:eastAsia="ko-KR"/>
              </w:rPr>
              <w:t>Agree with the FL</w:t>
            </w:r>
            <w:r>
              <w:rPr>
                <w:rFonts w:ascii="Calibri" w:eastAsia="맑은 고딕" w:hAnsi="Calibri"/>
                <w:sz w:val="22"/>
                <w:szCs w:val="22"/>
                <w:lang w:eastAsia="ko-KR"/>
              </w:rPr>
              <w:t>’s observation.</w:t>
            </w:r>
          </w:p>
        </w:tc>
      </w:tr>
    </w:tbl>
    <w:p w14:paraId="19081E65" w14:textId="77777777" w:rsidR="00C34602" w:rsidRDefault="00C34602" w:rsidP="00C34602">
      <w:pPr>
        <w:rPr>
          <w:rFonts w:asciiTheme="minorHAnsi" w:hAnsiTheme="minorHAnsi" w:cstheme="minorHAnsi"/>
          <w:b/>
          <w:lang w:val="en-GB"/>
        </w:rPr>
      </w:pPr>
    </w:p>
    <w:p w14:paraId="6782C1C9" w14:textId="518F194B"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E8245F">
        <w:rPr>
          <w:rFonts w:asciiTheme="minorHAnsi" w:hAnsiTheme="minorHAnsi" w:cstheme="minorHAnsi"/>
          <w:b/>
          <w:highlight w:val="yellow"/>
          <w:lang w:val="en-GB"/>
        </w:rPr>
        <w:t>1</w:t>
      </w:r>
      <w:r>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61F42E" w14:textId="77777777" w:rsidR="00BD1C69" w:rsidRDefault="00BD1C69" w:rsidP="000114C1">
      <w:pPr>
        <w:rPr>
          <w:rFonts w:asciiTheme="minorHAnsi" w:hAnsiTheme="minorHAnsi" w:cstheme="minorHAnsi"/>
          <w:b/>
          <w:lang w:val="en-GB"/>
        </w:rPr>
      </w:pPr>
    </w:p>
    <w:p w14:paraId="7F83E533" w14:textId="77777777" w:rsidR="00BD1C69" w:rsidRDefault="00BD1C69">
      <w:pPr>
        <w:rPr>
          <w:rFonts w:ascii="Arial" w:hAnsi="Arial"/>
          <w:b/>
          <w:i/>
          <w:sz w:val="28"/>
          <w:szCs w:val="20"/>
        </w:rPr>
      </w:pPr>
      <w:r>
        <w:br w:type="page"/>
      </w:r>
    </w:p>
    <w:p w14:paraId="4252D5B0" w14:textId="39C61798" w:rsidR="007918EB" w:rsidRPr="005560AC" w:rsidRDefault="007918EB" w:rsidP="007918EB">
      <w:pPr>
        <w:pStyle w:val="2"/>
      </w:pPr>
      <w:r>
        <w:lastRenderedPageBreak/>
        <w:t>Guard symbols for transitions between IAB-MT and IAB-DU</w:t>
      </w:r>
    </w:p>
    <w:p w14:paraId="5AF94F84" w14:textId="35A10054" w:rsidR="00C1230D" w:rsidRPr="00600AC9" w:rsidRDefault="00C1230D" w:rsidP="00600AC9">
      <w:pPr>
        <w:pStyle w:val="a8"/>
        <w:numPr>
          <w:ilvl w:val="2"/>
          <w:numId w:val="44"/>
        </w:numPr>
        <w:rPr>
          <w:rFonts w:asciiTheme="minorHAnsi" w:hAnsiTheme="minorHAnsi" w:cstheme="minorHAnsi"/>
          <w:b/>
          <w:lang w:val="en-GB"/>
        </w:rPr>
      </w:pPr>
      <w:r w:rsidRPr="00600AC9">
        <w:rPr>
          <w:rFonts w:asciiTheme="minorHAnsi" w:hAnsiTheme="minorHAnsi" w:cstheme="minorHAnsi"/>
          <w:b/>
          <w:i/>
          <w:iCs/>
          <w:sz w:val="28"/>
          <w:szCs w:val="28"/>
          <w:lang w:val="en-GB"/>
        </w:rPr>
        <w:t>Determination of transition location</w:t>
      </w:r>
      <w:r w:rsidR="004611E6" w:rsidRPr="00600AC9">
        <w:rPr>
          <w:rFonts w:asciiTheme="minorHAnsi" w:hAnsiTheme="minorHAnsi" w:cstheme="minorHAnsi"/>
          <w:b/>
          <w:i/>
          <w:iCs/>
          <w:sz w:val="28"/>
          <w:szCs w:val="28"/>
          <w:lang w:val="en-GB"/>
        </w:rPr>
        <w:t xml:space="preserve"> in time</w:t>
      </w:r>
    </w:p>
    <w:p w14:paraId="296C6D5F" w14:textId="78AFB356" w:rsidR="00C1230D" w:rsidRPr="00E235C5" w:rsidRDefault="00C1230D" w:rsidP="00C1230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R1-2002535</w:t>
      </w:r>
    </w:p>
    <w:p w14:paraId="1E27D1F2" w14:textId="78ADF372" w:rsidR="004611E6" w:rsidRPr="00C1230D" w:rsidRDefault="00C1230D" w:rsidP="00C1230D">
      <w:pPr>
        <w:rPr>
          <w:rFonts w:ascii="Calibri" w:eastAsia="Calibri" w:hAnsi="Calibri"/>
          <w:sz w:val="22"/>
          <w:szCs w:val="22"/>
        </w:rPr>
      </w:pPr>
      <w:r>
        <w:rPr>
          <w:rFonts w:asciiTheme="minorHAnsi" w:hAnsiTheme="minorHAnsi" w:cstheme="minorHAnsi"/>
          <w:b/>
          <w:lang w:val="en-GB"/>
        </w:rPr>
        <w:t xml:space="preserve">Background: </w:t>
      </w:r>
      <w:r w:rsidR="004611E6">
        <w:rPr>
          <w:rFonts w:ascii="Calibri" w:eastAsia="Calibri" w:hAnsi="Calibri"/>
          <w:sz w:val="22"/>
          <w:szCs w:val="22"/>
        </w:rPr>
        <w:t>During RAN1#100e there was discussion that scenarios may occur where a parent and child IAB node are not aligned</w:t>
      </w:r>
      <w:r w:rsidRPr="00C1230D">
        <w:rPr>
          <w:rFonts w:ascii="Calibri" w:eastAsia="Calibri" w:hAnsi="Calibri"/>
          <w:sz w:val="22"/>
          <w:szCs w:val="22"/>
        </w:rPr>
        <w:t xml:space="preserve"> on when the MT to DU or DU to MT transitions are happening</w:t>
      </w:r>
      <w:r w:rsidR="004611E6">
        <w:rPr>
          <w:rFonts w:ascii="Calibri" w:eastAsia="Calibri" w:hAnsi="Calibri"/>
          <w:sz w:val="22"/>
          <w:szCs w:val="22"/>
        </w:rPr>
        <w:t>:</w:t>
      </w:r>
    </w:p>
    <w:p w14:paraId="5BA1369F"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a)</w:t>
      </w:r>
      <w:r w:rsidRPr="00C1230D">
        <w:rPr>
          <w:rFonts w:ascii="Calibri" w:eastAsia="Calibri" w:hAnsi="Calibri"/>
          <w:sz w:val="22"/>
          <w:szCs w:val="22"/>
        </w:rPr>
        <w:tab/>
        <w:t>The parent node determines that a MT to DU transition is happening at a given boundary and it inserts guard symbols prior to such boundary. However, the child node is not having a MT to DU transition at such boundary and hence the guard symbols are unnecessarily used by the parent.</w:t>
      </w:r>
    </w:p>
    <w:p w14:paraId="52B94CA6"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b)</w:t>
      </w:r>
      <w:r w:rsidRPr="00C1230D">
        <w:rPr>
          <w:rFonts w:ascii="Calibri" w:eastAsia="Calibri" w:hAnsi="Calibri"/>
          <w:sz w:val="22"/>
          <w:szCs w:val="22"/>
        </w:rPr>
        <w:tab/>
        <w:t>The child node determines a MT to DU transition is happening at a given boundary. However, the parent node is not recognizing that the child node is having a MT to DU transition at such boundary and hence it does not introduce guard symbols while the child expects such guard symbols.</w:t>
      </w:r>
    </w:p>
    <w:p w14:paraId="6002856D" w14:textId="77777777" w:rsidR="004611E6" w:rsidRDefault="004611E6" w:rsidP="00C1230D">
      <w:pPr>
        <w:rPr>
          <w:rFonts w:ascii="Calibri" w:eastAsia="Calibri" w:hAnsi="Calibri"/>
          <w:sz w:val="22"/>
          <w:szCs w:val="22"/>
        </w:rPr>
      </w:pPr>
    </w:p>
    <w:p w14:paraId="29BE62CF" w14:textId="5C2058FB" w:rsidR="00C1230D" w:rsidRPr="00C1230D" w:rsidRDefault="00C1230D" w:rsidP="00C1230D">
      <w:pPr>
        <w:rPr>
          <w:rFonts w:ascii="Calibri" w:eastAsia="Calibri" w:hAnsi="Calibri"/>
          <w:sz w:val="22"/>
          <w:szCs w:val="22"/>
        </w:rPr>
      </w:pPr>
      <w:r w:rsidRPr="00C1230D">
        <w:rPr>
          <w:rFonts w:ascii="Calibri" w:eastAsia="Calibri" w:hAnsi="Calibri"/>
          <w:sz w:val="22"/>
          <w:szCs w:val="22"/>
        </w:rPr>
        <w:t>Both a) and b) are undesirable if occurring systematically, with b) being likely more detrimental to system performance because a conflict between MT and DU is happening and some signal reception (at either the MT or the DU) is likely compromised when the node is subject to half-duplex constraint.</w:t>
      </w:r>
    </w:p>
    <w:p w14:paraId="4411C497" w14:textId="77777777" w:rsidR="00C1230D" w:rsidRDefault="00C1230D" w:rsidP="00C1230D">
      <w:pPr>
        <w:rPr>
          <w:strike/>
        </w:rPr>
      </w:pPr>
    </w:p>
    <w:p w14:paraId="429355D6" w14:textId="77777777" w:rsidR="00C1230D" w:rsidRPr="00585761" w:rsidRDefault="00C1230D" w:rsidP="00C1230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C1230D" w:rsidRPr="008040F5" w14:paraId="1CC8BD40" w14:textId="77777777" w:rsidTr="002262C8">
        <w:tc>
          <w:tcPr>
            <w:tcW w:w="1696" w:type="dxa"/>
          </w:tcPr>
          <w:p w14:paraId="2950CDC8" w14:textId="77777777" w:rsidR="00C1230D" w:rsidRPr="00585761" w:rsidRDefault="00C1230D" w:rsidP="002262C8">
            <w:pPr>
              <w:rPr>
                <w:b/>
                <w:bCs/>
              </w:rPr>
            </w:pPr>
            <w:r w:rsidRPr="00EF0778">
              <w:rPr>
                <w:rFonts w:ascii="Calibri" w:eastAsia="Calibri" w:hAnsi="Calibri"/>
                <w:b/>
                <w:bCs/>
                <w:sz w:val="22"/>
                <w:szCs w:val="22"/>
              </w:rPr>
              <w:t xml:space="preserve">Company </w:t>
            </w:r>
          </w:p>
        </w:tc>
        <w:tc>
          <w:tcPr>
            <w:tcW w:w="2265" w:type="dxa"/>
          </w:tcPr>
          <w:p w14:paraId="1BF33FBC" w14:textId="77777777" w:rsidR="00C1230D" w:rsidRPr="00EF0778" w:rsidRDefault="00C1230D" w:rsidP="002262C8">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E0CD1C" w14:textId="77777777" w:rsidR="00C1230D" w:rsidRPr="00585761" w:rsidRDefault="00C1230D" w:rsidP="002262C8">
            <w:pPr>
              <w:rPr>
                <w:b/>
                <w:bCs/>
              </w:rPr>
            </w:pPr>
            <w:r>
              <w:rPr>
                <w:rFonts w:ascii="Calibri" w:eastAsia="Calibri" w:hAnsi="Calibri"/>
                <w:b/>
                <w:bCs/>
                <w:sz w:val="22"/>
                <w:szCs w:val="22"/>
              </w:rPr>
              <w:t>(Yes/No/Not sure)</w:t>
            </w:r>
          </w:p>
        </w:tc>
        <w:tc>
          <w:tcPr>
            <w:tcW w:w="6109" w:type="dxa"/>
          </w:tcPr>
          <w:p w14:paraId="1429A5C2" w14:textId="77777777" w:rsidR="00C1230D" w:rsidRPr="00585761" w:rsidRDefault="00C1230D" w:rsidP="002262C8">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C1230D" w14:paraId="471482E5" w14:textId="77777777" w:rsidTr="002262C8">
        <w:tc>
          <w:tcPr>
            <w:tcW w:w="1696" w:type="dxa"/>
          </w:tcPr>
          <w:p w14:paraId="5C10F573" w14:textId="71BD09C6" w:rsidR="00C1230D" w:rsidRPr="00574A72" w:rsidRDefault="00574A72" w:rsidP="002262C8">
            <w:pPr>
              <w:rPr>
                <w:rFonts w:ascii="Calibri" w:eastAsia="Calibri" w:hAnsi="Calibri"/>
                <w:sz w:val="22"/>
                <w:szCs w:val="22"/>
              </w:rPr>
            </w:pPr>
            <w:r w:rsidRPr="00574A72">
              <w:rPr>
                <w:rFonts w:ascii="Calibri" w:eastAsia="Calibri" w:hAnsi="Calibri"/>
                <w:sz w:val="22"/>
                <w:szCs w:val="22"/>
              </w:rPr>
              <w:t>AT&amp;T</w:t>
            </w:r>
          </w:p>
        </w:tc>
        <w:tc>
          <w:tcPr>
            <w:tcW w:w="2265" w:type="dxa"/>
          </w:tcPr>
          <w:p w14:paraId="11A51545" w14:textId="3AF2CC31" w:rsidR="00C1230D" w:rsidRPr="00574A72" w:rsidRDefault="00574A72" w:rsidP="002262C8">
            <w:pPr>
              <w:rPr>
                <w:rFonts w:ascii="Calibri" w:eastAsia="Calibri" w:hAnsi="Calibri"/>
                <w:sz w:val="22"/>
                <w:szCs w:val="22"/>
              </w:rPr>
            </w:pPr>
            <w:r>
              <w:rPr>
                <w:rFonts w:ascii="Calibri" w:eastAsia="Calibri" w:hAnsi="Calibri"/>
                <w:sz w:val="22"/>
                <w:szCs w:val="22"/>
              </w:rPr>
              <w:t>Not sure</w:t>
            </w:r>
          </w:p>
        </w:tc>
        <w:tc>
          <w:tcPr>
            <w:tcW w:w="6109" w:type="dxa"/>
          </w:tcPr>
          <w:p w14:paraId="052DBF67" w14:textId="5ABD18E5" w:rsidR="00C1230D" w:rsidRPr="00147151" w:rsidRDefault="00147151" w:rsidP="002262C8">
            <w:pPr>
              <w:rPr>
                <w:i/>
                <w:iCs/>
              </w:rPr>
            </w:pPr>
            <w:r w:rsidRPr="00147151">
              <w:rPr>
                <w:rFonts w:ascii="Calibri" w:eastAsia="Calibri" w:hAnsi="Calibri"/>
                <w:sz w:val="22"/>
                <w:szCs w:val="22"/>
              </w:rPr>
              <w:t>While we u</w:t>
            </w:r>
            <w:r>
              <w:rPr>
                <w:rFonts w:ascii="Calibri" w:eastAsia="Calibri" w:hAnsi="Calibri"/>
                <w:sz w:val="22"/>
                <w:szCs w:val="22"/>
              </w:rPr>
              <w:t>nderstand there may be scenarios where this issue may cause sub-optimal performance we are not sure if it is a critical maintenance issue for Rel-16, or should be handled in Rel-17 as an enhancement to the existing feature (and also considering new scenarios)</w:t>
            </w:r>
          </w:p>
        </w:tc>
      </w:tr>
      <w:tr w:rsidR="00600AC9" w14:paraId="0E4BB97A" w14:textId="77777777" w:rsidTr="002262C8">
        <w:tc>
          <w:tcPr>
            <w:tcW w:w="1696" w:type="dxa"/>
          </w:tcPr>
          <w:p w14:paraId="260E380E" w14:textId="0B357088" w:rsidR="00600AC9" w:rsidRPr="00600AC9" w:rsidRDefault="00600AC9" w:rsidP="002262C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0A892D1B" w14:textId="01A31641" w:rsidR="00600AC9" w:rsidRDefault="00600AC9" w:rsidP="002262C8">
            <w:pPr>
              <w:rPr>
                <w:rFonts w:ascii="Calibri" w:eastAsia="Calibri" w:hAnsi="Calibri"/>
                <w:sz w:val="22"/>
                <w:szCs w:val="22"/>
              </w:rPr>
            </w:pPr>
            <w:r>
              <w:rPr>
                <w:rFonts w:ascii="Calibri" w:eastAsia="Calibri" w:hAnsi="Calibri"/>
                <w:sz w:val="22"/>
                <w:szCs w:val="22"/>
              </w:rPr>
              <w:t>Not sure</w:t>
            </w:r>
          </w:p>
        </w:tc>
        <w:tc>
          <w:tcPr>
            <w:tcW w:w="6109" w:type="dxa"/>
          </w:tcPr>
          <w:p w14:paraId="4B942B3E" w14:textId="3F562332" w:rsidR="00600AC9" w:rsidRPr="00600AC9" w:rsidRDefault="00600AC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there spec is clear </w:t>
            </w:r>
            <w:r w:rsidR="001950A7">
              <w:rPr>
                <w:rFonts w:ascii="Calibri" w:eastAsiaTheme="minorEastAsia" w:hAnsi="Calibri"/>
                <w:sz w:val="22"/>
                <w:szCs w:val="22"/>
                <w:lang w:eastAsia="zh-CN"/>
              </w:rPr>
              <w:t>that the guard symbols are expected by the IAB-MT for the MT/DU transition. The spec has also captured the usage of Hard resources or soft resources that are indicated available. Hence the transition location</w:t>
            </w:r>
            <w:r w:rsidR="00477242">
              <w:rPr>
                <w:rFonts w:ascii="Calibri" w:eastAsiaTheme="minorEastAsia" w:hAnsi="Calibri"/>
                <w:sz w:val="22"/>
                <w:szCs w:val="22"/>
                <w:lang w:eastAsia="zh-CN"/>
              </w:rPr>
              <w:t>s between MT and DU have</w:t>
            </w:r>
            <w:r w:rsidR="001950A7">
              <w:rPr>
                <w:rFonts w:ascii="Calibri" w:eastAsiaTheme="minorEastAsia" w:hAnsi="Calibri"/>
                <w:sz w:val="22"/>
                <w:szCs w:val="22"/>
                <w:lang w:eastAsia="zh-CN"/>
              </w:rPr>
              <w:t xml:space="preserve"> been implicitly captured in the spec. We are not sure whether any further clarification is needed.</w:t>
            </w:r>
          </w:p>
        </w:tc>
      </w:tr>
      <w:tr w:rsidR="001D1FC3" w14:paraId="1E2C454E" w14:textId="77777777" w:rsidTr="002262C8">
        <w:tc>
          <w:tcPr>
            <w:tcW w:w="1696" w:type="dxa"/>
          </w:tcPr>
          <w:p w14:paraId="6057BCB3" w14:textId="5725189D" w:rsidR="001D1FC3" w:rsidRDefault="001D1FC3" w:rsidP="002262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0EF1591" w14:textId="07153274" w:rsidR="001D1FC3" w:rsidRDefault="001D1FC3" w:rsidP="002262C8">
            <w:pPr>
              <w:rPr>
                <w:rFonts w:ascii="Calibri" w:eastAsia="Calibri" w:hAnsi="Calibri"/>
                <w:sz w:val="22"/>
                <w:szCs w:val="22"/>
              </w:rPr>
            </w:pPr>
            <w:r>
              <w:rPr>
                <w:rFonts w:ascii="Calibri" w:eastAsia="Calibri" w:hAnsi="Calibri"/>
                <w:sz w:val="22"/>
                <w:szCs w:val="22"/>
              </w:rPr>
              <w:t>Yes</w:t>
            </w:r>
          </w:p>
        </w:tc>
        <w:tc>
          <w:tcPr>
            <w:tcW w:w="6109" w:type="dxa"/>
          </w:tcPr>
          <w:p w14:paraId="1A5323A9" w14:textId="540F607C" w:rsidR="00C63729" w:rsidRDefault="001D1FC3" w:rsidP="00477242">
            <w:pPr>
              <w:rPr>
                <w:rFonts w:ascii="Calibri" w:eastAsiaTheme="minorEastAsia" w:hAnsi="Calibri"/>
                <w:sz w:val="22"/>
                <w:szCs w:val="22"/>
                <w:lang w:eastAsia="zh-CN"/>
              </w:rPr>
            </w:pPr>
            <w:r>
              <w:rPr>
                <w:rFonts w:ascii="Calibri" w:eastAsiaTheme="minorEastAsia" w:hAnsi="Calibri"/>
                <w:sz w:val="22"/>
                <w:szCs w:val="22"/>
                <w:lang w:eastAsia="zh-CN"/>
              </w:rPr>
              <w:t>The introduction of guard symbols for MT</w:t>
            </w:r>
            <w:r w:rsidRPr="001D1FC3">
              <w:rPr>
                <w:rFonts w:ascii="Calibri" w:eastAsiaTheme="minorEastAsia" w:hAnsi="Calibri"/>
                <w:sz w:val="22"/>
                <w:szCs w:val="22"/>
                <w:lang w:eastAsia="zh-CN"/>
              </w:rPr>
              <w:sym w:font="Wingdings" w:char="F0DF"/>
            </w:r>
            <w:r w:rsidRPr="001D1FC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was introduced as an optimization. We think that if we want this optimization to be meaningful</w:t>
            </w:r>
            <w:r w:rsidR="0076300A">
              <w:rPr>
                <w:rFonts w:ascii="Calibri" w:eastAsiaTheme="minorEastAsia" w:hAnsi="Calibri"/>
                <w:sz w:val="22"/>
                <w:szCs w:val="22"/>
                <w:lang w:eastAsia="zh-CN"/>
              </w:rPr>
              <w:t>, then it should be complete.</w:t>
            </w:r>
          </w:p>
          <w:p w14:paraId="50DA9A5C" w14:textId="2011A983" w:rsidR="001D1FC3"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Our understanding is that a Vendor A parent node may have a different view from a Vendor B child node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occurring</w:t>
            </w:r>
            <w:r w:rsidR="00C63729">
              <w:rPr>
                <w:rFonts w:ascii="Calibri" w:eastAsiaTheme="minorEastAsia" w:hAnsi="Calibri"/>
                <w:sz w:val="22"/>
                <w:szCs w:val="22"/>
                <w:lang w:eastAsia="zh-CN"/>
              </w:rPr>
              <w:t xml:space="preserve"> at the child node</w:t>
            </w:r>
            <w:r>
              <w:rPr>
                <w:rFonts w:ascii="Calibri" w:eastAsiaTheme="minorEastAsia" w:hAnsi="Calibri"/>
                <w:sz w:val="22"/>
                <w:szCs w:val="22"/>
                <w:lang w:eastAsia="zh-CN"/>
              </w:rPr>
              <w:t>, and hence on when guard symbols need to be applied.</w:t>
            </w:r>
          </w:p>
          <w:p w14:paraId="0F1B1CCB" w14:textId="782B4DE5" w:rsidR="0076300A"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Perhaps the discussion can focus on companies stating </w:t>
            </w:r>
            <w:r w:rsidR="00C63729">
              <w:rPr>
                <w:rFonts w:ascii="Calibri" w:eastAsiaTheme="minorEastAsia" w:hAnsi="Calibri"/>
                <w:sz w:val="22"/>
                <w:szCs w:val="22"/>
                <w:lang w:eastAsia="zh-CN"/>
              </w:rPr>
              <w:t xml:space="preserve">explicitly </w:t>
            </w:r>
            <w:r>
              <w:rPr>
                <w:rFonts w:ascii="Calibri" w:eastAsiaTheme="minorEastAsia" w:hAnsi="Calibri"/>
                <w:sz w:val="22"/>
                <w:szCs w:val="22"/>
                <w:lang w:eastAsia="zh-CN"/>
              </w:rPr>
              <w:t>their understanding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happening at a node</w:t>
            </w:r>
            <w:r w:rsidR="00C63729">
              <w:rPr>
                <w:rFonts w:ascii="Calibri" w:eastAsiaTheme="minorEastAsia" w:hAnsi="Calibri"/>
                <w:sz w:val="22"/>
                <w:szCs w:val="22"/>
                <w:lang w:eastAsia="zh-CN"/>
              </w:rPr>
              <w:t xml:space="preserve"> (this should be </w:t>
            </w:r>
            <w:r>
              <w:rPr>
                <w:rFonts w:ascii="Calibri" w:eastAsiaTheme="minorEastAsia" w:hAnsi="Calibri"/>
                <w:sz w:val="22"/>
                <w:szCs w:val="22"/>
                <w:lang w:eastAsia="zh-CN"/>
              </w:rPr>
              <w:t>based solely on the information available at both the node and its parent node</w:t>
            </w:r>
            <w:r w:rsidR="00C63729">
              <w:rPr>
                <w:rFonts w:ascii="Calibri" w:eastAsiaTheme="minorEastAsia" w:hAnsi="Calibri"/>
                <w:sz w:val="22"/>
                <w:szCs w:val="22"/>
                <w:lang w:eastAsia="zh-CN"/>
              </w:rPr>
              <w:t>)</w:t>
            </w:r>
            <w:r>
              <w:rPr>
                <w:rFonts w:ascii="Calibri" w:eastAsiaTheme="minorEastAsia" w:hAnsi="Calibri"/>
                <w:sz w:val="22"/>
                <w:szCs w:val="22"/>
                <w:lang w:eastAsia="zh-CN"/>
              </w:rPr>
              <w:t xml:space="preserve">. Alternatively, since R1-2002535 provides explicitly one view of such understanding, companies can simply comment on whether their understanding aligns with that or not. </w:t>
            </w:r>
            <w:r w:rsidR="00C63729">
              <w:rPr>
                <w:rFonts w:ascii="Calibri" w:eastAsiaTheme="minorEastAsia" w:hAnsi="Calibri"/>
                <w:sz w:val="22"/>
                <w:szCs w:val="22"/>
                <w:lang w:eastAsia="zh-CN"/>
              </w:rPr>
              <w:t xml:space="preserve">If there is alignment then no further action would be strictly needed. If not, then we </w:t>
            </w:r>
            <w:r w:rsidR="00C63729">
              <w:rPr>
                <w:rFonts w:ascii="Calibri" w:eastAsiaTheme="minorEastAsia" w:hAnsi="Calibri"/>
                <w:sz w:val="22"/>
                <w:szCs w:val="22"/>
                <w:lang w:eastAsia="zh-CN"/>
              </w:rPr>
              <w:lastRenderedPageBreak/>
              <w:t>can determine whether it is worth to attempt to address in Rel-16 or accept that this optimization is likely not going to be working effectively in a multi-vendor environment.</w:t>
            </w:r>
          </w:p>
        </w:tc>
      </w:tr>
      <w:tr w:rsidR="00015930" w14:paraId="40738727" w14:textId="77777777" w:rsidTr="002262C8">
        <w:tc>
          <w:tcPr>
            <w:tcW w:w="1696" w:type="dxa"/>
          </w:tcPr>
          <w:p w14:paraId="36C99757" w14:textId="2B14B571" w:rsidR="00015930" w:rsidRDefault="00015930" w:rsidP="002262C8">
            <w:pPr>
              <w:rPr>
                <w:rFonts w:ascii="Calibri" w:eastAsiaTheme="minorEastAsia" w:hAnsi="Calibri"/>
                <w:sz w:val="22"/>
                <w:szCs w:val="22"/>
                <w:lang w:eastAsia="zh-CN"/>
              </w:rPr>
            </w:pPr>
            <w:r>
              <w:rPr>
                <w:rFonts w:ascii="Calibri" w:eastAsiaTheme="minorEastAsia" w:hAnsi="Calibri"/>
                <w:sz w:val="22"/>
                <w:szCs w:val="22"/>
                <w:lang w:eastAsia="zh-CN"/>
              </w:rPr>
              <w:lastRenderedPageBreak/>
              <w:t>ZTE, Sanechips</w:t>
            </w:r>
          </w:p>
        </w:tc>
        <w:tc>
          <w:tcPr>
            <w:tcW w:w="2265" w:type="dxa"/>
          </w:tcPr>
          <w:p w14:paraId="6EBFB4A1" w14:textId="58197310" w:rsidR="00015930" w:rsidRDefault="00015930" w:rsidP="002262C8">
            <w:pPr>
              <w:rPr>
                <w:rFonts w:ascii="Calibri" w:eastAsia="Calibri" w:hAnsi="Calibri"/>
                <w:sz w:val="22"/>
                <w:szCs w:val="22"/>
              </w:rPr>
            </w:pPr>
            <w:r>
              <w:rPr>
                <w:rFonts w:ascii="Calibri" w:eastAsia="Calibri" w:hAnsi="Calibri"/>
                <w:sz w:val="22"/>
                <w:szCs w:val="22"/>
              </w:rPr>
              <w:t>Not sure</w:t>
            </w:r>
          </w:p>
        </w:tc>
        <w:tc>
          <w:tcPr>
            <w:tcW w:w="6109" w:type="dxa"/>
          </w:tcPr>
          <w:p w14:paraId="4B817508" w14:textId="21AC5127" w:rsidR="00015930" w:rsidRDefault="00015930" w:rsidP="00477242">
            <w:pPr>
              <w:rPr>
                <w:rFonts w:ascii="Calibri" w:eastAsiaTheme="minorEastAsia" w:hAnsi="Calibri"/>
                <w:sz w:val="22"/>
                <w:szCs w:val="22"/>
                <w:lang w:eastAsia="zh-CN"/>
              </w:rPr>
            </w:pPr>
            <w:r>
              <w:rPr>
                <w:rFonts w:ascii="Calibri" w:eastAsiaTheme="minorEastAsia" w:hAnsi="Calibri"/>
                <w:sz w:val="22"/>
                <w:szCs w:val="22"/>
                <w:lang w:eastAsia="zh-CN"/>
              </w:rPr>
              <w:t>As mentioned by AT&amp;T, this discussion would be for optimization.</w:t>
            </w:r>
            <w:r w:rsidR="00684D0E">
              <w:rPr>
                <w:rFonts w:ascii="Calibri" w:eastAsiaTheme="minorEastAsia" w:hAnsi="Calibri"/>
                <w:sz w:val="22"/>
                <w:szCs w:val="22"/>
                <w:lang w:eastAsia="zh-CN"/>
              </w:rPr>
              <w:t xml:space="preserve"> So it is not essential.</w:t>
            </w:r>
            <w:r>
              <w:rPr>
                <w:rFonts w:ascii="Calibri" w:eastAsiaTheme="minorEastAsia" w:hAnsi="Calibri"/>
                <w:sz w:val="22"/>
                <w:szCs w:val="22"/>
                <w:lang w:eastAsia="zh-CN"/>
              </w:rPr>
              <w:t xml:space="preserve"> In addition, </w:t>
            </w:r>
            <w:r w:rsidR="00820639">
              <w:rPr>
                <w:rFonts w:ascii="Calibri" w:eastAsiaTheme="minorEastAsia" w:hAnsi="Calibri"/>
                <w:sz w:val="22"/>
                <w:szCs w:val="22"/>
                <w:lang w:eastAsia="zh-CN"/>
              </w:rPr>
              <w:t xml:space="preserve">if we understand correctly, </w:t>
            </w:r>
            <w:r>
              <w:rPr>
                <w:rFonts w:ascii="Calibri" w:eastAsiaTheme="minorEastAsia" w:hAnsi="Calibri"/>
                <w:sz w:val="22"/>
                <w:szCs w:val="22"/>
                <w:lang w:eastAsia="zh-CN"/>
              </w:rPr>
              <w:t>the Proposal 1 in R1-2002535, which says “</w:t>
            </w:r>
            <w:r w:rsidRPr="00015930">
              <w:rPr>
                <w:rStyle w:val="afb"/>
                <w:sz w:val="22"/>
                <w:szCs w:val="22"/>
              </w:rPr>
              <w:t>Guard symbols are inserted by the parent node …. only when all the following conditions are satisfied …</w:t>
            </w:r>
            <w:r>
              <w:rPr>
                <w:rFonts w:ascii="Calibri" w:eastAsiaTheme="minorEastAsia" w:hAnsi="Calibri"/>
                <w:sz w:val="22"/>
                <w:szCs w:val="22"/>
                <w:lang w:eastAsia="zh-CN"/>
              </w:rPr>
              <w:t>”, seems describing a parent node behavior</w:t>
            </w:r>
            <w:r w:rsidR="00820639">
              <w:rPr>
                <w:rFonts w:ascii="Calibri" w:eastAsiaTheme="minorEastAsia" w:hAnsi="Calibri"/>
                <w:sz w:val="22"/>
                <w:szCs w:val="22"/>
                <w:lang w:eastAsia="zh-CN"/>
              </w:rPr>
              <w:t xml:space="preserve">, and the parent node behavior </w:t>
            </w:r>
            <w:r>
              <w:rPr>
                <w:rFonts w:ascii="Calibri" w:eastAsiaTheme="minorEastAsia" w:hAnsi="Calibri"/>
                <w:sz w:val="22"/>
                <w:szCs w:val="22"/>
                <w:lang w:eastAsia="zh-CN"/>
              </w:rPr>
              <w:t xml:space="preserve">is normally not captured in spec. </w:t>
            </w:r>
          </w:p>
        </w:tc>
      </w:tr>
      <w:tr w:rsidR="00F16D3D" w14:paraId="530D1BBB" w14:textId="77777777" w:rsidTr="002262C8">
        <w:tc>
          <w:tcPr>
            <w:tcW w:w="1696" w:type="dxa"/>
          </w:tcPr>
          <w:p w14:paraId="7AC87603" w14:textId="10A9448D" w:rsidR="00F16D3D" w:rsidRPr="00F16D3D" w:rsidRDefault="00F16D3D" w:rsidP="002262C8">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77645AF4" w14:textId="408BA0C3" w:rsidR="00F16D3D" w:rsidRPr="00E0290E" w:rsidRDefault="00E0290E" w:rsidP="002262C8">
            <w:pPr>
              <w:rPr>
                <w:rFonts w:ascii="Calibri" w:eastAsia="맑은 고딕" w:hAnsi="Calibri" w:hint="eastAsia"/>
                <w:sz w:val="22"/>
                <w:szCs w:val="22"/>
                <w:lang w:eastAsia="ko-KR"/>
              </w:rPr>
            </w:pPr>
            <w:r>
              <w:rPr>
                <w:rFonts w:ascii="Calibri" w:eastAsia="맑은 고딕" w:hAnsi="Calibri" w:hint="eastAsia"/>
                <w:sz w:val="22"/>
                <w:szCs w:val="22"/>
                <w:lang w:eastAsia="ko-KR"/>
              </w:rPr>
              <w:t>Not sure</w:t>
            </w:r>
          </w:p>
        </w:tc>
        <w:tc>
          <w:tcPr>
            <w:tcW w:w="6109" w:type="dxa"/>
          </w:tcPr>
          <w:p w14:paraId="60024B3C" w14:textId="500F70C0" w:rsidR="00F16D3D" w:rsidRPr="00E0290E" w:rsidRDefault="00C46C77" w:rsidP="002534FB">
            <w:pPr>
              <w:rPr>
                <w:rFonts w:ascii="Calibri" w:eastAsia="맑은 고딕" w:hAnsi="Calibri" w:hint="eastAsia"/>
                <w:sz w:val="22"/>
                <w:szCs w:val="22"/>
                <w:lang w:eastAsia="ko-KR"/>
              </w:rPr>
            </w:pPr>
            <w:r>
              <w:rPr>
                <w:rFonts w:ascii="Calibri" w:eastAsia="맑은 고딕" w:hAnsi="Calibri" w:hint="eastAsia"/>
                <w:sz w:val="22"/>
                <w:szCs w:val="22"/>
                <w:lang w:eastAsia="ko-KR"/>
              </w:rPr>
              <w:t>If the issue can be solved by parent implementation</w:t>
            </w:r>
            <w:r>
              <w:rPr>
                <w:rFonts w:ascii="Calibri" w:eastAsia="맑은 고딕" w:hAnsi="Calibri"/>
                <w:sz w:val="22"/>
                <w:szCs w:val="22"/>
                <w:lang w:eastAsia="ko-KR"/>
              </w:rPr>
              <w:t xml:space="preserve"> </w:t>
            </w:r>
            <w:r w:rsidR="002534FB">
              <w:rPr>
                <w:rFonts w:ascii="Calibri" w:eastAsia="맑은 고딕" w:hAnsi="Calibri"/>
                <w:sz w:val="22"/>
                <w:szCs w:val="22"/>
                <w:lang w:eastAsia="ko-KR"/>
              </w:rPr>
              <w:t>as commented by</w:t>
            </w:r>
            <w:r>
              <w:rPr>
                <w:rFonts w:ascii="Calibri" w:eastAsia="맑은 고딕" w:hAnsi="Calibri"/>
                <w:sz w:val="22"/>
                <w:szCs w:val="22"/>
                <w:lang w:eastAsia="ko-KR"/>
              </w:rPr>
              <w:t xml:space="preserve"> other companies</w:t>
            </w:r>
            <w:r>
              <w:rPr>
                <w:rFonts w:ascii="Calibri" w:eastAsia="맑은 고딕" w:hAnsi="Calibri" w:hint="eastAsia"/>
                <w:sz w:val="22"/>
                <w:szCs w:val="22"/>
                <w:lang w:eastAsia="ko-KR"/>
              </w:rPr>
              <w:t>, no further specification is preferred.</w:t>
            </w:r>
          </w:p>
        </w:tc>
      </w:tr>
    </w:tbl>
    <w:p w14:paraId="78EE7908" w14:textId="77777777" w:rsidR="00C1230D" w:rsidRDefault="00C1230D" w:rsidP="00C1230D">
      <w:pPr>
        <w:rPr>
          <w:rFonts w:asciiTheme="minorHAnsi" w:hAnsiTheme="minorHAnsi" w:cstheme="minorHAnsi"/>
          <w:bCs/>
          <w:lang w:val="en-GB"/>
        </w:rPr>
      </w:pPr>
    </w:p>
    <w:p w14:paraId="6FA6330C" w14:textId="77777777" w:rsidR="00C1230D" w:rsidRPr="002534FB" w:rsidRDefault="00C1230D" w:rsidP="00C1230D">
      <w:pPr>
        <w:rPr>
          <w:rFonts w:asciiTheme="minorHAnsi" w:hAnsiTheme="minorHAnsi" w:cstheme="minorHAnsi"/>
          <w:bCs/>
          <w:lang w:val="en-GB"/>
        </w:rPr>
      </w:pPr>
    </w:p>
    <w:p w14:paraId="72EAF6D7" w14:textId="77777777" w:rsidR="00C1230D" w:rsidRDefault="00C1230D" w:rsidP="00C1230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68CFD9F8" w14:textId="77777777" w:rsidR="00C1230D" w:rsidRDefault="00C1230D" w:rsidP="00C1230D">
      <w:pPr>
        <w:rPr>
          <w:rFonts w:asciiTheme="minorHAnsi" w:hAnsiTheme="minorHAnsi" w:cstheme="minorHAnsi"/>
          <w:b/>
          <w:lang w:val="en-GB"/>
        </w:rPr>
      </w:pPr>
      <w:bookmarkStart w:id="2" w:name="_GoBack"/>
      <w:bookmarkEnd w:id="2"/>
    </w:p>
    <w:p w14:paraId="54F013DE" w14:textId="77777777" w:rsidR="00C1230D" w:rsidRDefault="00C1230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EDCA1AB" w14:textId="54DE4DE3" w:rsidR="007918EB" w:rsidRDefault="007918EB" w:rsidP="00C1230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sidR="00C1230D">
        <w:rPr>
          <w:rFonts w:asciiTheme="minorHAnsi" w:hAnsiTheme="minorHAnsi" w:cstheme="minorHAnsi"/>
          <w:b/>
          <w:i/>
          <w:iCs/>
          <w:sz w:val="28"/>
          <w:szCs w:val="28"/>
          <w:lang w:val="en-GB"/>
        </w:rPr>
        <w:t>Determination of transition type</w:t>
      </w:r>
      <w:r w:rsidR="004611E6">
        <w:rPr>
          <w:rFonts w:asciiTheme="minorHAnsi" w:hAnsiTheme="minorHAnsi" w:cstheme="minorHAnsi"/>
          <w:b/>
          <w:i/>
          <w:iCs/>
          <w:sz w:val="28"/>
          <w:szCs w:val="28"/>
          <w:lang w:val="en-GB"/>
        </w:rPr>
        <w:t xml:space="preserve"> in case of flexible symbols</w:t>
      </w:r>
    </w:p>
    <w:p w14:paraId="71330A10" w14:textId="20EE75B5" w:rsidR="007918EB" w:rsidRPr="00E235C5" w:rsidRDefault="007918EB" w:rsidP="007918EB">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R1-2001526</w:t>
      </w:r>
      <w:r w:rsidR="00BD1C69">
        <w:rPr>
          <w:rFonts w:asciiTheme="minorHAnsi" w:hAnsiTheme="minorHAnsi" w:cstheme="minorHAnsi"/>
          <w:bCs/>
          <w:lang w:val="en-GB"/>
        </w:rPr>
        <w:t>, R1-2001658</w:t>
      </w:r>
      <w:r w:rsidR="00E7236D">
        <w:rPr>
          <w:rFonts w:asciiTheme="minorHAnsi" w:hAnsiTheme="minorHAnsi" w:cstheme="minorHAnsi"/>
          <w:bCs/>
          <w:lang w:val="en-GB"/>
        </w:rPr>
        <w:t>, R1-2002535</w:t>
      </w:r>
    </w:p>
    <w:p w14:paraId="4042B1C7" w14:textId="68153A59" w:rsidR="00C1230D" w:rsidRDefault="00C34602" w:rsidP="00C1230D">
      <w:pPr>
        <w:rPr>
          <w:rFonts w:ascii="Calibri" w:eastAsia="Calibri" w:hAnsi="Calibri"/>
          <w:sz w:val="22"/>
          <w:szCs w:val="22"/>
        </w:rPr>
      </w:pPr>
      <w:r>
        <w:rPr>
          <w:rFonts w:asciiTheme="minorHAnsi" w:hAnsiTheme="minorHAnsi" w:cstheme="minorHAnsi"/>
          <w:b/>
          <w:lang w:val="en-GB"/>
        </w:rPr>
        <w:t>Background</w:t>
      </w:r>
      <w:r w:rsidR="007918EB">
        <w:rPr>
          <w:rFonts w:asciiTheme="minorHAnsi" w:hAnsiTheme="minorHAnsi" w:cstheme="minorHAnsi"/>
          <w:b/>
          <w:lang w:val="en-GB"/>
        </w:rPr>
        <w:t>:</w:t>
      </w:r>
      <w:r w:rsidR="00190804">
        <w:rPr>
          <w:rFonts w:asciiTheme="minorHAnsi" w:hAnsiTheme="minorHAnsi" w:cstheme="minorHAnsi"/>
          <w:b/>
          <w:lang w:val="en-GB"/>
        </w:rPr>
        <w:t xml:space="preserve"> </w:t>
      </w:r>
      <w:r w:rsidR="004611E6">
        <w:rPr>
          <w:rFonts w:ascii="Calibri" w:eastAsia="Calibri" w:hAnsi="Calibri"/>
          <w:sz w:val="22"/>
          <w:szCs w:val="22"/>
        </w:rPr>
        <w:t>B</w:t>
      </w:r>
      <w:r w:rsidR="00C1230D" w:rsidRPr="00C1230D">
        <w:rPr>
          <w:rFonts w:ascii="Calibri" w:eastAsia="Calibri" w:hAnsi="Calibri"/>
          <w:sz w:val="22"/>
          <w:szCs w:val="22"/>
        </w:rPr>
        <w:t xml:space="preserve">oth the parent node and the child node </w:t>
      </w:r>
      <w:r w:rsidR="004611E6">
        <w:rPr>
          <w:rFonts w:ascii="Calibri" w:eastAsia="Calibri" w:hAnsi="Calibri"/>
          <w:sz w:val="22"/>
          <w:szCs w:val="22"/>
        </w:rPr>
        <w:t>also need to</w:t>
      </w:r>
      <w:r w:rsidR="00C1230D" w:rsidRPr="00C1230D">
        <w:rPr>
          <w:rFonts w:ascii="Calibri" w:eastAsia="Calibri" w:hAnsi="Calibri"/>
          <w:sz w:val="22"/>
          <w:szCs w:val="22"/>
        </w:rPr>
        <w:t xml:space="preserve"> identify the same transition type (e.g. MT Rx to DU Tx)</w:t>
      </w:r>
      <w:r w:rsidR="004611E6">
        <w:rPr>
          <w:rFonts w:ascii="Calibri" w:eastAsia="Calibri" w:hAnsi="Calibri"/>
          <w:sz w:val="22"/>
          <w:szCs w:val="22"/>
        </w:rPr>
        <w:t xml:space="preserve"> when it occurs</w:t>
      </w:r>
      <w:r w:rsidR="00C1230D" w:rsidRPr="00C1230D">
        <w:rPr>
          <w:rFonts w:ascii="Calibri" w:eastAsia="Calibri" w:hAnsi="Calibri"/>
          <w:sz w:val="22"/>
          <w:szCs w:val="22"/>
        </w:rPr>
        <w:t xml:space="preserve">. Otherwise the two nodes will potentially have two different assumptions on the number of guard symbols that will be used for the transition, given that a different number of guard symbols is allowed as a function of the transition type. </w:t>
      </w:r>
    </w:p>
    <w:p w14:paraId="116C66D0" w14:textId="77777777" w:rsidR="004611E6" w:rsidRPr="00C1230D" w:rsidRDefault="004611E6" w:rsidP="00C1230D">
      <w:pPr>
        <w:rPr>
          <w:rFonts w:ascii="Calibri" w:eastAsia="Calibri" w:hAnsi="Calibri"/>
          <w:sz w:val="22"/>
          <w:szCs w:val="22"/>
        </w:rPr>
      </w:pPr>
    </w:p>
    <w:p w14:paraId="1771D5C4" w14:textId="06B1046B" w:rsidR="007918EB" w:rsidRDefault="00C1230D" w:rsidP="00C1230D">
      <w:pPr>
        <w:rPr>
          <w:rFonts w:ascii="Calibri" w:eastAsia="Calibri" w:hAnsi="Calibri"/>
          <w:sz w:val="22"/>
          <w:szCs w:val="22"/>
        </w:rPr>
      </w:pPr>
      <w:r w:rsidRPr="00C1230D">
        <w:rPr>
          <w:rFonts w:ascii="Calibri" w:eastAsia="Calibri" w:hAnsi="Calibri"/>
          <w:sz w:val="22"/>
          <w:szCs w:val="22"/>
        </w:rPr>
        <w:t>As an example, one source of ambiguity derives from the situation in which the node DU’s semi-static configuration contains F symbols. The parent node is made aware of such configuration; however, it cannot tell whether the child DU will use such symbols for Tx (D) or Rx (U).</w:t>
      </w:r>
    </w:p>
    <w:p w14:paraId="500341F4" w14:textId="77777777" w:rsidR="004611E6" w:rsidRDefault="004611E6" w:rsidP="00C1230D">
      <w:pPr>
        <w:rPr>
          <w:strike/>
        </w:rPr>
      </w:pPr>
    </w:p>
    <w:p w14:paraId="052278EE" w14:textId="77777777" w:rsidR="007918EB" w:rsidRPr="00585761" w:rsidRDefault="007918EB" w:rsidP="007918EB">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1ABAA596" w14:textId="77777777" w:rsidTr="002262C8">
        <w:tc>
          <w:tcPr>
            <w:tcW w:w="1696" w:type="dxa"/>
          </w:tcPr>
          <w:p w14:paraId="1685E2D5" w14:textId="1EAB04D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93AEF5F"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295BCAD7" w14:textId="14FE1077" w:rsidR="00BE197A" w:rsidRPr="00585761" w:rsidRDefault="00BE197A" w:rsidP="00BE197A">
            <w:pPr>
              <w:rPr>
                <w:b/>
                <w:bCs/>
              </w:rPr>
            </w:pPr>
            <w:r>
              <w:rPr>
                <w:rFonts w:ascii="Calibri" w:eastAsia="Calibri" w:hAnsi="Calibri"/>
                <w:b/>
                <w:bCs/>
                <w:sz w:val="22"/>
                <w:szCs w:val="22"/>
              </w:rPr>
              <w:t>(Yes/No/Not sure)</w:t>
            </w:r>
          </w:p>
        </w:tc>
        <w:tc>
          <w:tcPr>
            <w:tcW w:w="6109" w:type="dxa"/>
          </w:tcPr>
          <w:p w14:paraId="41815C31" w14:textId="7E322176"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574A72" w14:paraId="2D352AB4" w14:textId="77777777" w:rsidTr="002262C8">
        <w:tc>
          <w:tcPr>
            <w:tcW w:w="1696" w:type="dxa"/>
          </w:tcPr>
          <w:p w14:paraId="056F208C" w14:textId="71BAD4D6" w:rsidR="00574A72" w:rsidRDefault="00574A72" w:rsidP="00574A72">
            <w:r w:rsidRPr="00574A72">
              <w:rPr>
                <w:rFonts w:ascii="Calibri" w:eastAsia="Calibri" w:hAnsi="Calibri"/>
                <w:sz w:val="22"/>
                <w:szCs w:val="22"/>
              </w:rPr>
              <w:t>AT&amp;T</w:t>
            </w:r>
          </w:p>
        </w:tc>
        <w:tc>
          <w:tcPr>
            <w:tcW w:w="2265" w:type="dxa"/>
          </w:tcPr>
          <w:p w14:paraId="13403F0E" w14:textId="73099FC3" w:rsidR="00574A72" w:rsidRDefault="00147151" w:rsidP="00574A72">
            <w:r>
              <w:rPr>
                <w:rFonts w:ascii="Calibri" w:eastAsia="Calibri" w:hAnsi="Calibri"/>
                <w:sz w:val="22"/>
                <w:szCs w:val="22"/>
              </w:rPr>
              <w:t>Not sure</w:t>
            </w:r>
          </w:p>
        </w:tc>
        <w:tc>
          <w:tcPr>
            <w:tcW w:w="6109" w:type="dxa"/>
          </w:tcPr>
          <w:p w14:paraId="22BFA54C" w14:textId="57D90D3B" w:rsidR="00574A72" w:rsidRDefault="00574A72" w:rsidP="00574A72">
            <w:r w:rsidRPr="00574A72">
              <w:rPr>
                <w:rFonts w:ascii="Calibri" w:eastAsia="Calibri" w:hAnsi="Calibri"/>
                <w:sz w:val="22"/>
                <w:szCs w:val="22"/>
              </w:rPr>
              <w:t xml:space="preserve">There does appear to be an </w:t>
            </w:r>
            <w:r w:rsidR="00147151">
              <w:rPr>
                <w:rFonts w:ascii="Calibri" w:eastAsia="Calibri" w:hAnsi="Calibri"/>
                <w:sz w:val="22"/>
                <w:szCs w:val="22"/>
              </w:rPr>
              <w:t>ambiguity</w:t>
            </w:r>
            <w:r w:rsidRPr="00574A72">
              <w:rPr>
                <w:rFonts w:ascii="Calibri" w:eastAsia="Calibri" w:hAnsi="Calibri"/>
                <w:sz w:val="22"/>
                <w:szCs w:val="22"/>
              </w:rPr>
              <w:t xml:space="preserve"> in case of flexible symbols configured for the IAB-DU, however we are not sure if there is a need for specification or if this can be left to implementation</w:t>
            </w:r>
          </w:p>
        </w:tc>
      </w:tr>
      <w:tr w:rsidR="001950A7" w14:paraId="4FF034FA" w14:textId="77777777" w:rsidTr="002262C8">
        <w:tc>
          <w:tcPr>
            <w:tcW w:w="1696" w:type="dxa"/>
          </w:tcPr>
          <w:p w14:paraId="4CF39AB3" w14:textId="6EA150E0"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3882A47D" w14:textId="5180D61A"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6ED12A0" w14:textId="6C858CF1" w:rsidR="001950A7" w:rsidRPr="001950A7" w:rsidRDefault="001950A7" w:rsidP="00477242">
            <w:pPr>
              <w:rPr>
                <w:rFonts w:ascii="Calibri" w:eastAsiaTheme="minorEastAsia" w:hAnsi="Calibri"/>
                <w:sz w:val="22"/>
                <w:szCs w:val="22"/>
                <w:lang w:eastAsia="zh-CN"/>
              </w:rPr>
            </w:pPr>
            <w:r>
              <w:rPr>
                <w:rFonts w:ascii="Calibri" w:eastAsiaTheme="minorEastAsia" w:hAnsi="Calibri"/>
                <w:sz w:val="22"/>
                <w:szCs w:val="22"/>
                <w:lang w:eastAsia="zh-CN"/>
              </w:rPr>
              <w:t>First we think this is not a corner case since DU can be configured with flexible symbols in each slot. Second, we think the main problem without specifying the assumption is either performance waste or resource collision. Third, we think a simple rule will suffice to solve the probl</w:t>
            </w:r>
            <w:r w:rsidR="00477242">
              <w:rPr>
                <w:rFonts w:ascii="Calibri" w:eastAsiaTheme="minorEastAsia" w:hAnsi="Calibri"/>
                <w:sz w:val="22"/>
                <w:szCs w:val="22"/>
                <w:lang w:eastAsia="zh-CN"/>
              </w:rPr>
              <w:t>em without additional signaling.</w:t>
            </w:r>
          </w:p>
        </w:tc>
      </w:tr>
      <w:tr w:rsidR="00F2694E" w14:paraId="29353A80" w14:textId="77777777" w:rsidTr="002262C8">
        <w:tc>
          <w:tcPr>
            <w:tcW w:w="1696" w:type="dxa"/>
          </w:tcPr>
          <w:p w14:paraId="57B38619" w14:textId="23EAC482"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D2C46B3" w14:textId="68F6D623"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46A0FDCB" w14:textId="41242C03" w:rsidR="00F2694E" w:rsidRDefault="00F2694E" w:rsidP="00477242">
            <w:pPr>
              <w:rPr>
                <w:rFonts w:ascii="Calibri" w:eastAsiaTheme="minorEastAsia" w:hAnsi="Calibri"/>
                <w:sz w:val="22"/>
                <w:szCs w:val="22"/>
                <w:lang w:eastAsia="zh-CN"/>
              </w:rPr>
            </w:pPr>
            <w:r>
              <w:rPr>
                <w:rFonts w:ascii="Calibri" w:eastAsiaTheme="minorEastAsia" w:hAnsi="Calibri"/>
                <w:sz w:val="22"/>
                <w:szCs w:val="22"/>
                <w:lang w:eastAsia="zh-CN"/>
              </w:rPr>
              <w:t>While we agree this is an issue and have proposed a solution, we deem the priority of this issue lower than issue 2.2.1, so if we are constrained, our preference is to make sure we discuss 2.2.1 before we get to 2.2.2.</w:t>
            </w:r>
          </w:p>
        </w:tc>
      </w:tr>
      <w:tr w:rsidR="00820639" w14:paraId="03B1D0B6" w14:textId="77777777" w:rsidTr="002262C8">
        <w:tc>
          <w:tcPr>
            <w:tcW w:w="1696" w:type="dxa"/>
          </w:tcPr>
          <w:p w14:paraId="3845CA2D" w14:textId="57A082EC"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6869E428" w14:textId="43CB8967"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4162BB22" w14:textId="7262FCF2" w:rsidR="00820639" w:rsidRDefault="0082063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The issue can be avoided by CU/parent implementation. </w:t>
            </w:r>
          </w:p>
        </w:tc>
      </w:tr>
      <w:tr w:rsidR="004A3649" w14:paraId="62BFA509" w14:textId="77777777" w:rsidTr="002262C8">
        <w:tc>
          <w:tcPr>
            <w:tcW w:w="1696" w:type="dxa"/>
          </w:tcPr>
          <w:p w14:paraId="42B11911" w14:textId="6C94BED9" w:rsidR="004A3649" w:rsidRPr="00A045A2" w:rsidRDefault="00A045A2" w:rsidP="00574A72">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1F1B692F" w14:textId="656CD689" w:rsidR="004A3649" w:rsidRPr="0077613C" w:rsidRDefault="0077613C" w:rsidP="00574A72">
            <w:pPr>
              <w:rPr>
                <w:rFonts w:ascii="Calibri" w:eastAsia="맑은 고딕" w:hAnsi="Calibri" w:hint="eastAsia"/>
                <w:sz w:val="22"/>
                <w:szCs w:val="22"/>
                <w:lang w:eastAsia="ko-KR"/>
              </w:rPr>
            </w:pPr>
            <w:r>
              <w:rPr>
                <w:rFonts w:ascii="Calibri" w:eastAsia="맑은 고딕" w:hAnsi="Calibri" w:hint="eastAsia"/>
                <w:sz w:val="22"/>
                <w:szCs w:val="22"/>
                <w:lang w:eastAsia="ko-KR"/>
              </w:rPr>
              <w:t>Not sure</w:t>
            </w:r>
          </w:p>
        </w:tc>
        <w:tc>
          <w:tcPr>
            <w:tcW w:w="6109" w:type="dxa"/>
          </w:tcPr>
          <w:p w14:paraId="799EF8E7" w14:textId="4F4E47FB" w:rsidR="004A3649" w:rsidRPr="00B616FA" w:rsidRDefault="00A66605" w:rsidP="00010E52">
            <w:pPr>
              <w:rPr>
                <w:rFonts w:ascii="Calibri" w:eastAsia="맑은 고딕" w:hAnsi="Calibri" w:hint="eastAsia"/>
                <w:sz w:val="22"/>
                <w:szCs w:val="22"/>
                <w:lang w:eastAsia="ko-KR"/>
              </w:rPr>
            </w:pPr>
            <w:r>
              <w:rPr>
                <w:rFonts w:ascii="Calibri" w:eastAsia="맑은 고딕" w:hAnsi="Calibri"/>
                <w:sz w:val="22"/>
                <w:szCs w:val="22"/>
                <w:lang w:eastAsia="ko-KR"/>
              </w:rPr>
              <w:t>T</w:t>
            </w:r>
            <w:r>
              <w:rPr>
                <w:rFonts w:ascii="Calibri" w:eastAsia="맑은 고딕" w:hAnsi="Calibri" w:hint="eastAsia"/>
                <w:sz w:val="22"/>
                <w:szCs w:val="22"/>
                <w:lang w:eastAsia="ko-KR"/>
              </w:rPr>
              <w:t>here may be some issues in flexible symbols</w:t>
            </w:r>
            <w:r>
              <w:rPr>
                <w:rFonts w:ascii="Calibri" w:eastAsia="맑은 고딕" w:hAnsi="Calibri"/>
                <w:sz w:val="22"/>
                <w:szCs w:val="22"/>
                <w:lang w:eastAsia="ko-KR"/>
              </w:rPr>
              <w:t xml:space="preserve"> and whether the issues may be severe or not depends on how frequent/how many flexible symbols would be configured. </w:t>
            </w:r>
            <w:r w:rsidR="00134749">
              <w:rPr>
                <w:rFonts w:ascii="Calibri" w:eastAsia="맑은 고딕" w:hAnsi="Calibri"/>
                <w:sz w:val="22"/>
                <w:szCs w:val="22"/>
                <w:lang w:eastAsia="ko-KR"/>
              </w:rPr>
              <w:t xml:space="preserve">In this regards, we </w:t>
            </w:r>
            <w:r w:rsidR="007B39A3">
              <w:rPr>
                <w:rFonts w:ascii="Calibri" w:eastAsia="맑은 고딕" w:hAnsi="Calibri"/>
                <w:sz w:val="22"/>
                <w:szCs w:val="22"/>
                <w:lang w:eastAsia="ko-KR"/>
              </w:rPr>
              <w:t>are not sure</w:t>
            </w:r>
            <w:r w:rsidR="00134749">
              <w:rPr>
                <w:rFonts w:ascii="Calibri" w:eastAsia="맑은 고딕" w:hAnsi="Calibri"/>
                <w:sz w:val="22"/>
                <w:szCs w:val="22"/>
                <w:lang w:eastAsia="ko-KR"/>
              </w:rPr>
              <w:t xml:space="preserve"> </w:t>
            </w:r>
            <w:r w:rsidR="00010E52">
              <w:rPr>
                <w:rFonts w:ascii="Calibri" w:eastAsia="맑은 고딕" w:hAnsi="Calibri"/>
                <w:sz w:val="22"/>
                <w:szCs w:val="22"/>
                <w:lang w:eastAsia="ko-KR"/>
              </w:rPr>
              <w:t xml:space="preserve">whether it is an essential issue to introduce </w:t>
            </w:r>
            <w:r w:rsidR="007B39A3">
              <w:rPr>
                <w:rFonts w:ascii="Calibri" w:eastAsia="맑은 고딕" w:hAnsi="Calibri"/>
                <w:sz w:val="22"/>
                <w:szCs w:val="22"/>
                <w:lang w:eastAsia="ko-KR"/>
              </w:rPr>
              <w:t xml:space="preserve">additional specifications beyond </w:t>
            </w:r>
            <w:r w:rsidR="007B39A3">
              <w:rPr>
                <w:rFonts w:ascii="Calibri" w:eastAsia="맑은 고딕" w:hAnsi="Calibri"/>
                <w:sz w:val="22"/>
                <w:szCs w:val="22"/>
                <w:lang w:eastAsia="ko-KR"/>
              </w:rPr>
              <w:t>parent implementation</w:t>
            </w:r>
            <w:r w:rsidR="007B39A3">
              <w:rPr>
                <w:rFonts w:ascii="Calibri" w:eastAsia="맑은 고딕" w:hAnsi="Calibri"/>
                <w:sz w:val="22"/>
                <w:szCs w:val="22"/>
                <w:lang w:eastAsia="ko-KR"/>
              </w:rPr>
              <w:t>.</w:t>
            </w:r>
          </w:p>
        </w:tc>
      </w:tr>
    </w:tbl>
    <w:p w14:paraId="6BB409EA" w14:textId="77777777" w:rsidR="007918EB" w:rsidRDefault="007918EB" w:rsidP="007918EB">
      <w:pPr>
        <w:rPr>
          <w:rFonts w:asciiTheme="minorHAnsi" w:hAnsiTheme="minorHAnsi" w:cstheme="minorHAnsi"/>
          <w:bCs/>
          <w:lang w:val="en-GB"/>
        </w:rPr>
      </w:pPr>
    </w:p>
    <w:p w14:paraId="74ED3DA1" w14:textId="77777777" w:rsidR="007918EB" w:rsidRPr="00B16D0D" w:rsidRDefault="007918EB" w:rsidP="007918EB">
      <w:pPr>
        <w:rPr>
          <w:rFonts w:asciiTheme="minorHAnsi" w:hAnsiTheme="minorHAnsi" w:cstheme="minorHAnsi"/>
          <w:bCs/>
          <w:lang w:val="en-GB"/>
        </w:rPr>
      </w:pPr>
    </w:p>
    <w:p w14:paraId="17738740" w14:textId="77B973B6" w:rsidR="00EF0F5A" w:rsidRPr="00450639" w:rsidRDefault="007918EB">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D1C69">
        <w:rPr>
          <w:rFonts w:asciiTheme="minorHAnsi" w:hAnsiTheme="minorHAnsi" w:cstheme="minorHAnsi"/>
          <w:b/>
          <w:highlight w:val="yellow"/>
          <w:lang w:val="en-GB"/>
        </w:rPr>
        <w:t>2</w:t>
      </w:r>
      <w:r>
        <w:rPr>
          <w:rFonts w:asciiTheme="minorHAnsi" w:hAnsiTheme="minorHAnsi" w:cstheme="minorHAnsi"/>
          <w:b/>
          <w:highlight w:val="yellow"/>
          <w:lang w:val="en-GB"/>
        </w:rPr>
        <w:t>.</w:t>
      </w:r>
      <w:r w:rsidR="007D6EE2">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EF0F5A">
        <w:rPr>
          <w:rFonts w:asciiTheme="minorHAnsi" w:hAnsiTheme="minorHAnsi" w:cstheme="minorHAnsi"/>
          <w:b/>
          <w:sz w:val="28"/>
          <w:szCs w:val="28"/>
          <w:lang w:val="en-GB"/>
        </w:rPr>
        <w:br w:type="page"/>
      </w:r>
    </w:p>
    <w:p w14:paraId="3FF8FCAF" w14:textId="2DC08491" w:rsidR="00EF0F5A"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221F1A">
        <w:rPr>
          <w:rFonts w:asciiTheme="minorHAnsi" w:hAnsiTheme="minorHAnsi" w:cstheme="minorHAnsi"/>
          <w:b/>
          <w:i/>
          <w:iCs/>
          <w:sz w:val="28"/>
          <w:szCs w:val="28"/>
          <w:lang w:val="en-GB"/>
        </w:rPr>
        <w:t>Clarifications on behaviour for allocations overlapping with guard symbols</w:t>
      </w:r>
    </w:p>
    <w:p w14:paraId="4E029346" w14:textId="254DBACE"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w:t>
      </w:r>
      <w:r w:rsidR="00221F1A">
        <w:rPr>
          <w:rFonts w:asciiTheme="minorHAnsi" w:hAnsiTheme="minorHAnsi" w:cstheme="minorHAnsi"/>
          <w:bCs/>
          <w:lang w:val="en-GB"/>
        </w:rPr>
        <w:t>952</w:t>
      </w:r>
      <w:r w:rsidR="00E7236D">
        <w:rPr>
          <w:rFonts w:asciiTheme="minorHAnsi" w:hAnsiTheme="minorHAnsi" w:cstheme="minorHAnsi"/>
          <w:bCs/>
          <w:lang w:val="en-GB"/>
        </w:rPr>
        <w:t>, R1-2002535</w:t>
      </w:r>
    </w:p>
    <w:p w14:paraId="6972635D" w14:textId="738984B2" w:rsidR="00221F1A" w:rsidRDefault="00EF0F5A" w:rsidP="00221F1A">
      <w:pPr>
        <w:rPr>
          <w:rStyle w:val="afb"/>
          <w:b w:val="0"/>
          <w:bCs w:val="0"/>
        </w:rPr>
      </w:pPr>
      <w:r>
        <w:rPr>
          <w:rFonts w:asciiTheme="minorHAnsi" w:hAnsiTheme="minorHAnsi" w:cstheme="minorHAnsi"/>
          <w:b/>
          <w:lang w:val="en-GB"/>
        </w:rPr>
        <w:t xml:space="preserve">Background: </w:t>
      </w:r>
      <w:r w:rsidR="00221F1A" w:rsidRPr="00221F1A">
        <w:rPr>
          <w:rFonts w:asciiTheme="minorHAnsi" w:hAnsiTheme="minorHAnsi" w:cstheme="minorHAnsi"/>
          <w:bCs/>
          <w:lang w:val="en-GB"/>
        </w:rPr>
        <w:t>In the current TS 38.213 specifications the behavior related to the guard symbols is described as follows:</w:t>
      </w:r>
    </w:p>
    <w:p w14:paraId="645ACE1C" w14:textId="77777777" w:rsidR="00221F1A" w:rsidRDefault="00221F1A" w:rsidP="00221F1A">
      <w:pPr>
        <w:rPr>
          <w:rStyle w:val="afb"/>
          <w:b w:val="0"/>
          <w:bCs w:val="0"/>
        </w:rPr>
      </w:pPr>
    </w:p>
    <w:tbl>
      <w:tblPr>
        <w:tblStyle w:val="af3"/>
        <w:tblW w:w="0" w:type="auto"/>
        <w:tblLook w:val="04A0" w:firstRow="1" w:lastRow="0" w:firstColumn="1" w:lastColumn="0" w:noHBand="0" w:noVBand="1"/>
      </w:tblPr>
      <w:tblGrid>
        <w:gridCol w:w="9629"/>
      </w:tblGrid>
      <w:tr w:rsidR="00221F1A" w14:paraId="022E5ED3" w14:textId="77777777" w:rsidTr="002262C8">
        <w:tc>
          <w:tcPr>
            <w:tcW w:w="9629" w:type="dxa"/>
          </w:tcPr>
          <w:p w14:paraId="0AA1F486" w14:textId="77777777" w:rsidR="00221F1A" w:rsidRDefault="00221F1A" w:rsidP="002262C8">
            <w:pPr>
              <w:rPr>
                <w:rStyle w:val="afb"/>
                <w:b w:val="0"/>
                <w:bCs w:val="0"/>
              </w:rPr>
            </w:pPr>
            <w:r>
              <w:rPr>
                <w:rFonts w:eastAsia="SimSun"/>
                <w:lang w:eastAsia="zh-CN"/>
              </w:rPr>
              <w:t>For a serving cell of an IAB-node MT</w:t>
            </w:r>
            <w:r>
              <w:t>,</w:t>
            </w:r>
            <w:r w:rsidRPr="009861A4">
              <w:rPr>
                <w:rFonts w:eastAsia="SimSun"/>
                <w:lang w:eastAsia="zh-CN"/>
              </w:rPr>
              <w:t xml:space="preserve"> </w:t>
            </w:r>
            <w:r>
              <w:rPr>
                <w:rFonts w:eastAsia="SimSun"/>
                <w:lang w:eastAsia="zh-CN"/>
              </w:rPr>
              <w:t>the</w:t>
            </w:r>
            <w:r w:rsidRPr="009861A4">
              <w:rPr>
                <w:rFonts w:eastAsia="SimSun"/>
                <w:lang w:eastAsia="zh-CN"/>
              </w:rPr>
              <w:t xml:space="preserve"> IAB-node MT can be provided by </w:t>
            </w:r>
            <w:r w:rsidRPr="009861A4">
              <w:rPr>
                <w:rFonts w:eastAsia="SimSun"/>
                <w:i/>
                <w:iCs/>
                <w:lang w:eastAsia="zh-CN"/>
              </w:rPr>
              <w:t>guard-SymbolsProvided</w:t>
            </w:r>
            <w:r w:rsidRPr="009861A4">
              <w:rPr>
                <w:rFonts w:eastAsia="SimSun"/>
                <w:lang w:eastAsia="zh-CN"/>
              </w:rPr>
              <w:t xml:space="preserve"> a number of symbols that will not be used for the IAB-node MT in slots where the IAB-node transitions between IAB-node MT and IAB-node DU.</w:t>
            </w:r>
          </w:p>
        </w:tc>
      </w:tr>
    </w:tbl>
    <w:p w14:paraId="47F86339" w14:textId="77777777" w:rsidR="00221F1A" w:rsidRDefault="00221F1A" w:rsidP="00221F1A">
      <w:pPr>
        <w:rPr>
          <w:rStyle w:val="afb"/>
          <w:b w:val="0"/>
          <w:bCs w:val="0"/>
        </w:rPr>
      </w:pPr>
    </w:p>
    <w:p w14:paraId="1F035FBF" w14:textId="77777777" w:rsidR="00221F1A" w:rsidRPr="00221F1A" w:rsidRDefault="00221F1A" w:rsidP="00221F1A">
      <w:pPr>
        <w:rPr>
          <w:rFonts w:asciiTheme="minorHAnsi" w:hAnsiTheme="minorHAnsi" w:cstheme="minorHAnsi"/>
          <w:bCs/>
          <w:lang w:val="en-GB"/>
        </w:rPr>
      </w:pPr>
      <w:r w:rsidRPr="00221F1A">
        <w:rPr>
          <w:rFonts w:asciiTheme="minorHAnsi" w:hAnsiTheme="minorHAnsi" w:cstheme="minorHAnsi"/>
          <w:bCs/>
          <w:lang w:val="en-GB"/>
        </w:rPr>
        <w:t>There could be situations in which the allocation of signals/channels for the MT at least partially overlaps with the location of guard symbols at the edge of a transition between the MT and the DU (or vice versa), for example in the case of a semi-persistent PDSCH allocation. In such scenarios it is not completely clear from the above specification whether the allocation partially overlapping with the guard symbols should be considered punctured by the guard symbols or should be discarded completely.</w:t>
      </w:r>
    </w:p>
    <w:p w14:paraId="528B2093" w14:textId="0C49ED20" w:rsidR="00EF0F5A" w:rsidRDefault="00EF0F5A" w:rsidP="00221F1A">
      <w:pPr>
        <w:rPr>
          <w:strike/>
        </w:rPr>
      </w:pPr>
    </w:p>
    <w:p w14:paraId="3E6D89A2"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23D8FDA5" w14:textId="77777777" w:rsidTr="002262C8">
        <w:tc>
          <w:tcPr>
            <w:tcW w:w="1696" w:type="dxa"/>
          </w:tcPr>
          <w:p w14:paraId="0B45EAB7" w14:textId="15905909"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BAB8102"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44A2050" w14:textId="5D8106B6" w:rsidR="00BE197A" w:rsidRPr="00585761" w:rsidRDefault="00BE197A" w:rsidP="00BE197A">
            <w:pPr>
              <w:rPr>
                <w:b/>
                <w:bCs/>
              </w:rPr>
            </w:pPr>
            <w:r>
              <w:rPr>
                <w:rFonts w:ascii="Calibri" w:eastAsia="Calibri" w:hAnsi="Calibri"/>
                <w:b/>
                <w:bCs/>
                <w:sz w:val="22"/>
                <w:szCs w:val="22"/>
              </w:rPr>
              <w:t>(Yes/No/Not sure)</w:t>
            </w:r>
          </w:p>
        </w:tc>
        <w:tc>
          <w:tcPr>
            <w:tcW w:w="6109" w:type="dxa"/>
          </w:tcPr>
          <w:p w14:paraId="7AC64885" w14:textId="157EC62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27435FA" w14:textId="77777777" w:rsidTr="002262C8">
        <w:tc>
          <w:tcPr>
            <w:tcW w:w="1696" w:type="dxa"/>
          </w:tcPr>
          <w:p w14:paraId="56876900" w14:textId="0F370FC0" w:rsidR="00EF0778" w:rsidRPr="00574A72" w:rsidRDefault="00574A72" w:rsidP="00EF0778">
            <w:pPr>
              <w:rPr>
                <w:rFonts w:ascii="Calibri" w:eastAsia="Calibri" w:hAnsi="Calibri"/>
                <w:sz w:val="22"/>
                <w:szCs w:val="22"/>
              </w:rPr>
            </w:pPr>
            <w:r w:rsidRPr="00574A72">
              <w:rPr>
                <w:rFonts w:ascii="Calibri" w:eastAsia="Calibri" w:hAnsi="Calibri"/>
                <w:sz w:val="22"/>
                <w:szCs w:val="22"/>
              </w:rPr>
              <w:t>AT&amp;T</w:t>
            </w:r>
          </w:p>
        </w:tc>
        <w:tc>
          <w:tcPr>
            <w:tcW w:w="2265" w:type="dxa"/>
          </w:tcPr>
          <w:p w14:paraId="23D3F879" w14:textId="6D839B0C" w:rsidR="00EF0778" w:rsidRPr="00574A72" w:rsidRDefault="00574A72" w:rsidP="00EF0778">
            <w:pPr>
              <w:rPr>
                <w:rFonts w:ascii="Calibri" w:eastAsia="Calibri" w:hAnsi="Calibri"/>
                <w:sz w:val="22"/>
                <w:szCs w:val="22"/>
              </w:rPr>
            </w:pPr>
            <w:r w:rsidRPr="00574A72">
              <w:rPr>
                <w:rFonts w:ascii="Calibri" w:eastAsia="Calibri" w:hAnsi="Calibri"/>
                <w:sz w:val="22"/>
                <w:szCs w:val="22"/>
              </w:rPr>
              <w:t>No</w:t>
            </w:r>
          </w:p>
        </w:tc>
        <w:tc>
          <w:tcPr>
            <w:tcW w:w="6109" w:type="dxa"/>
          </w:tcPr>
          <w:p w14:paraId="15EFFAC6" w14:textId="20DD4A32" w:rsidR="00EF0778" w:rsidRDefault="00574A72" w:rsidP="00EF0778">
            <w:r w:rsidRPr="00574A72">
              <w:rPr>
                <w:rFonts w:ascii="Calibri" w:eastAsia="Calibri" w:hAnsi="Calibri"/>
                <w:sz w:val="22"/>
                <w:szCs w:val="22"/>
              </w:rPr>
              <w:t>In our understanding the cases where the MT allocation conflicts with the guard symbols inserted by the parent node are under control of the parent node and can be avoided by proper configuration/scheduling</w:t>
            </w:r>
            <w:r>
              <w:t xml:space="preserve"> </w:t>
            </w:r>
          </w:p>
        </w:tc>
      </w:tr>
      <w:tr w:rsidR="001950A7" w14:paraId="5F2A63C3" w14:textId="77777777" w:rsidTr="002262C8">
        <w:tc>
          <w:tcPr>
            <w:tcW w:w="1696" w:type="dxa"/>
          </w:tcPr>
          <w:p w14:paraId="7FC973F9" w14:textId="006357D6"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E7318DB" w14:textId="2AC05953"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508D7E12" w14:textId="54A4D350" w:rsidR="001950A7" w:rsidRPr="001950A7" w:rsidRDefault="001950A7" w:rsidP="00EF0778">
            <w:pPr>
              <w:rPr>
                <w:rFonts w:ascii="Calibri" w:eastAsiaTheme="minorEastAsia" w:hAnsi="Calibri"/>
                <w:sz w:val="22"/>
                <w:szCs w:val="22"/>
                <w:lang w:eastAsia="zh-CN"/>
              </w:rPr>
            </w:pPr>
            <w:r>
              <w:rPr>
                <w:rFonts w:ascii="Calibri" w:eastAsiaTheme="minorEastAsia" w:hAnsi="Calibri"/>
                <w:sz w:val="22"/>
                <w:szCs w:val="22"/>
                <w:lang w:eastAsia="zh-CN"/>
              </w:rPr>
              <w:t>Agree with AT&amp;T.</w:t>
            </w:r>
          </w:p>
        </w:tc>
      </w:tr>
      <w:tr w:rsidR="00A9439C" w14:paraId="2E8F739D" w14:textId="77777777" w:rsidTr="002262C8">
        <w:tc>
          <w:tcPr>
            <w:tcW w:w="1696" w:type="dxa"/>
          </w:tcPr>
          <w:p w14:paraId="309D53BE" w14:textId="428DFA2A"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EA25D9E" w14:textId="44330DC3"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5EE35B6" w14:textId="5B76E489"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In case of semi-persistent allocations it may not be easy to avoid conflicts between MT allocations and guard symbols</w:t>
            </w:r>
            <w:r w:rsidR="000C1B2A">
              <w:rPr>
                <w:rFonts w:ascii="Calibri" w:eastAsiaTheme="minorEastAsia" w:hAnsi="Calibri"/>
                <w:sz w:val="22"/>
                <w:szCs w:val="22"/>
                <w:lang w:eastAsia="zh-CN"/>
              </w:rPr>
              <w:t>, and in some cases it may not even be guaranteed,</w:t>
            </w:r>
            <w:r>
              <w:rPr>
                <w:rFonts w:ascii="Calibri" w:eastAsiaTheme="minorEastAsia" w:hAnsi="Calibri"/>
                <w:sz w:val="22"/>
                <w:szCs w:val="22"/>
                <w:lang w:eastAsia="zh-CN"/>
              </w:rPr>
              <w:t xml:space="preserve">. Following the same principle we used in other similar contexts when conflicts could arise (e.g. conflicts of special signals/channels with NA resources at the DU, or what Rel-15 specifies for UEs in the context of downlink channels allocations that overlap with U symbols) the either we specify some rules to handle such scenarios or we should state clearly that the MT </w:t>
            </w:r>
            <w:r w:rsidRPr="00A9439C">
              <w:rPr>
                <w:rFonts w:ascii="Calibri" w:eastAsiaTheme="minorEastAsia" w:hAnsi="Calibri"/>
                <w:sz w:val="22"/>
                <w:szCs w:val="22"/>
                <w:lang w:eastAsia="zh-CN"/>
              </w:rPr>
              <w:t>does not expect to receive a schedule that (even partially) overlaps with the provided guard symbols</w:t>
            </w:r>
            <w:r>
              <w:rPr>
                <w:rFonts w:ascii="Calibri" w:eastAsiaTheme="minorEastAsia" w:hAnsi="Calibri"/>
                <w:sz w:val="22"/>
                <w:szCs w:val="22"/>
                <w:lang w:eastAsia="zh-CN"/>
              </w:rPr>
              <w:t xml:space="preserve">. Unless we want to leave the behavior to be undefined and left to the implementation, which could lead to </w:t>
            </w:r>
            <w:r w:rsidR="0035436B">
              <w:rPr>
                <w:rFonts w:ascii="Calibri" w:eastAsiaTheme="minorEastAsia" w:hAnsi="Calibri"/>
                <w:sz w:val="22"/>
                <w:szCs w:val="22"/>
                <w:lang w:eastAsia="zh-CN"/>
              </w:rPr>
              <w:t>system inefficiencies</w:t>
            </w:r>
            <w:r>
              <w:rPr>
                <w:rFonts w:ascii="Calibri" w:eastAsiaTheme="minorEastAsia" w:hAnsi="Calibri"/>
                <w:sz w:val="22"/>
                <w:szCs w:val="22"/>
                <w:lang w:eastAsia="zh-CN"/>
              </w:rPr>
              <w:t xml:space="preserve"> when parent and child nodes are from</w:t>
            </w:r>
            <w:r w:rsidR="0035436B">
              <w:rPr>
                <w:rFonts w:ascii="Calibri" w:eastAsiaTheme="minorEastAsia" w:hAnsi="Calibri"/>
                <w:sz w:val="22"/>
                <w:szCs w:val="22"/>
                <w:lang w:eastAsia="zh-CN"/>
              </w:rPr>
              <w:t xml:space="preserve"> different vendors.</w:t>
            </w:r>
          </w:p>
        </w:tc>
      </w:tr>
      <w:tr w:rsidR="00215092" w14:paraId="4616CAA3" w14:textId="77777777" w:rsidTr="002262C8">
        <w:tc>
          <w:tcPr>
            <w:tcW w:w="1696" w:type="dxa"/>
          </w:tcPr>
          <w:p w14:paraId="1B376E9B" w14:textId="704F98B7" w:rsidR="00215092" w:rsidRDefault="00215092" w:rsidP="0021509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389AF445" w14:textId="1AB22055" w:rsidR="00215092" w:rsidRDefault="009D2EC6" w:rsidP="0021509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1B99F033" w14:textId="590B6667" w:rsidR="009D2EC6" w:rsidRDefault="009D2EC6"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Firstly, this issue can be avoided by implementation as commented by AT&amp;T. Secondly, in case it cannot be completely avoided as concerned by Qualcomm, it should not be treated as frequently-occurring event, otherwise the semi-persistent transmission is just badly configured. For each occurring of such event, </w:t>
            </w:r>
            <w:r w:rsidR="009B6E1E">
              <w:rPr>
                <w:rFonts w:ascii="Calibri" w:eastAsiaTheme="minorEastAsia" w:hAnsi="Calibri"/>
                <w:sz w:val="22"/>
                <w:szCs w:val="22"/>
                <w:lang w:eastAsia="zh-CN"/>
              </w:rPr>
              <w:t>taking example of transmission by parent and reception by IAB-MT</w:t>
            </w:r>
          </w:p>
          <w:p w14:paraId="5C7E3BD7" w14:textId="5267EA21" w:rsidR="00B17223" w:rsidRDefault="009D2EC6" w:rsidP="009D2EC6">
            <w:pPr>
              <w:pStyle w:val="a8"/>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If the parent node decides to discard, there is no much difference between two choices on IAB-MT side from RAN1 perspective. </w:t>
            </w:r>
          </w:p>
          <w:p w14:paraId="778DC296" w14:textId="61AAD656" w:rsidR="009D2EC6" w:rsidRPr="009D2EC6" w:rsidRDefault="009D2EC6" w:rsidP="009D2EC6">
            <w:pPr>
              <w:pStyle w:val="a8"/>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t xml:space="preserve">If the parent node decides to puncture and IAB-MT assumes a discard, </w:t>
            </w:r>
            <w:r w:rsidR="009B6E1E">
              <w:rPr>
                <w:rFonts w:ascii="Calibri" w:eastAsiaTheme="minorEastAsia" w:hAnsi="Calibri"/>
                <w:sz w:val="22"/>
                <w:szCs w:val="22"/>
                <w:lang w:eastAsia="zh-CN"/>
              </w:rPr>
              <w:t xml:space="preserve">the performance degradation might not be large comparing to both having the same understanding on the transmission, given the transmission is punctured anyway. </w:t>
            </w:r>
          </w:p>
          <w:p w14:paraId="32CAF8B8" w14:textId="43BB218F" w:rsidR="009D2EC6" w:rsidRPr="00215092" w:rsidRDefault="009B6E1E"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Last, leaving the issue to implementation may also allow the adaptive reception based on number of guard symbols in the concerned situation. </w:t>
            </w:r>
          </w:p>
          <w:p w14:paraId="2B99CB3E" w14:textId="6FFEC803" w:rsidR="00215092" w:rsidRPr="00B17223" w:rsidRDefault="00215092" w:rsidP="00B17223">
            <w:pPr>
              <w:rPr>
                <w:rFonts w:ascii="Calibri" w:eastAsiaTheme="minorEastAsia" w:hAnsi="Calibri"/>
                <w:sz w:val="22"/>
                <w:szCs w:val="22"/>
                <w:lang w:eastAsia="zh-CN"/>
              </w:rPr>
            </w:pPr>
          </w:p>
        </w:tc>
      </w:tr>
      <w:tr w:rsidR="00854C7A" w14:paraId="28C6616F" w14:textId="77777777" w:rsidTr="002262C8">
        <w:tc>
          <w:tcPr>
            <w:tcW w:w="1696" w:type="dxa"/>
          </w:tcPr>
          <w:p w14:paraId="628836CF" w14:textId="49F9BD3F" w:rsidR="00854C7A" w:rsidRPr="00854C7A" w:rsidRDefault="00854C7A" w:rsidP="00215092">
            <w:pPr>
              <w:rPr>
                <w:rFonts w:ascii="Calibri" w:eastAsia="맑은 고딕" w:hAnsi="Calibri" w:hint="eastAsia"/>
                <w:sz w:val="22"/>
                <w:szCs w:val="22"/>
                <w:lang w:eastAsia="ko-KR"/>
              </w:rPr>
            </w:pPr>
            <w:r>
              <w:rPr>
                <w:rFonts w:ascii="Calibri" w:eastAsia="맑은 고딕" w:hAnsi="Calibri" w:hint="eastAsia"/>
                <w:sz w:val="22"/>
                <w:szCs w:val="22"/>
                <w:lang w:eastAsia="ko-KR"/>
              </w:rPr>
              <w:lastRenderedPageBreak/>
              <w:t>Samsung</w:t>
            </w:r>
          </w:p>
        </w:tc>
        <w:tc>
          <w:tcPr>
            <w:tcW w:w="2265" w:type="dxa"/>
          </w:tcPr>
          <w:p w14:paraId="1EAB9F82" w14:textId="161072CC" w:rsidR="00854C7A" w:rsidRPr="0077613C" w:rsidRDefault="0077613C" w:rsidP="00215092">
            <w:pPr>
              <w:rPr>
                <w:rFonts w:ascii="Calibri" w:eastAsia="맑은 고딕" w:hAnsi="Calibri" w:hint="eastAsia"/>
                <w:sz w:val="22"/>
                <w:szCs w:val="22"/>
                <w:lang w:eastAsia="ko-KR"/>
              </w:rPr>
            </w:pPr>
            <w:r>
              <w:rPr>
                <w:rFonts w:ascii="Calibri" w:eastAsia="맑은 고딕" w:hAnsi="Calibri" w:hint="eastAsia"/>
                <w:sz w:val="22"/>
                <w:szCs w:val="22"/>
                <w:lang w:eastAsia="ko-KR"/>
              </w:rPr>
              <w:t>Not sure</w:t>
            </w:r>
          </w:p>
        </w:tc>
        <w:tc>
          <w:tcPr>
            <w:tcW w:w="6109" w:type="dxa"/>
          </w:tcPr>
          <w:p w14:paraId="3912FED1" w14:textId="7EBC0E9B" w:rsidR="00854C7A" w:rsidRPr="0077613C" w:rsidRDefault="0077613C" w:rsidP="0077613C">
            <w:pPr>
              <w:rPr>
                <w:rFonts w:ascii="Calibri" w:eastAsia="맑은 고딕" w:hAnsi="Calibri" w:hint="eastAsia"/>
                <w:sz w:val="22"/>
                <w:szCs w:val="22"/>
                <w:lang w:eastAsia="ko-KR"/>
              </w:rPr>
            </w:pPr>
            <w:r>
              <w:rPr>
                <w:rFonts w:ascii="Calibri" w:eastAsia="맑은 고딕" w:hAnsi="Calibri" w:hint="eastAsia"/>
                <w:sz w:val="22"/>
                <w:szCs w:val="22"/>
                <w:lang w:eastAsia="ko-KR"/>
              </w:rPr>
              <w:t xml:space="preserve">It is unclear why </w:t>
            </w:r>
            <w:r>
              <w:rPr>
                <w:rFonts w:ascii="Calibri" w:eastAsia="맑은 고딕" w:hAnsi="Calibri"/>
                <w:sz w:val="22"/>
                <w:szCs w:val="22"/>
                <w:lang w:eastAsia="ko-KR"/>
              </w:rPr>
              <w:t xml:space="preserve">such situations may happen although </w:t>
            </w:r>
            <w:r w:rsidRPr="00574A72">
              <w:rPr>
                <w:rFonts w:ascii="Calibri" w:eastAsia="Calibri" w:hAnsi="Calibri"/>
                <w:sz w:val="22"/>
                <w:szCs w:val="22"/>
              </w:rPr>
              <w:t xml:space="preserve">the MT allocation </w:t>
            </w:r>
            <w:r>
              <w:rPr>
                <w:rFonts w:ascii="Calibri" w:eastAsia="Calibri" w:hAnsi="Calibri"/>
                <w:sz w:val="22"/>
                <w:szCs w:val="22"/>
              </w:rPr>
              <w:t xml:space="preserve">and </w:t>
            </w:r>
            <w:r w:rsidRPr="00574A72">
              <w:rPr>
                <w:rFonts w:ascii="Calibri" w:eastAsia="Calibri" w:hAnsi="Calibri"/>
                <w:sz w:val="22"/>
                <w:szCs w:val="22"/>
              </w:rPr>
              <w:t xml:space="preserve">the guard symbols </w:t>
            </w:r>
            <w:r>
              <w:rPr>
                <w:rFonts w:ascii="Calibri" w:eastAsia="Calibri" w:hAnsi="Calibri"/>
                <w:sz w:val="22"/>
                <w:szCs w:val="22"/>
              </w:rPr>
              <w:t xml:space="preserve">are fully controlled by </w:t>
            </w:r>
            <w:r w:rsidRPr="00574A72">
              <w:rPr>
                <w:rFonts w:ascii="Calibri" w:eastAsia="Calibri" w:hAnsi="Calibri"/>
                <w:sz w:val="22"/>
                <w:szCs w:val="22"/>
              </w:rPr>
              <w:t>the parent node</w:t>
            </w:r>
            <w:r>
              <w:rPr>
                <w:rFonts w:ascii="Calibri" w:eastAsia="Calibri" w:hAnsi="Calibri"/>
                <w:sz w:val="22"/>
                <w:szCs w:val="22"/>
              </w:rPr>
              <w:t>.</w:t>
            </w:r>
          </w:p>
        </w:tc>
      </w:tr>
    </w:tbl>
    <w:p w14:paraId="2F478C91" w14:textId="7BA09B68" w:rsidR="00EF0F5A" w:rsidRDefault="00EF0F5A" w:rsidP="00EF0F5A">
      <w:pPr>
        <w:rPr>
          <w:rFonts w:asciiTheme="minorHAnsi" w:hAnsiTheme="minorHAnsi" w:cstheme="minorHAnsi"/>
          <w:bCs/>
          <w:lang w:val="en-GB"/>
        </w:rPr>
      </w:pPr>
    </w:p>
    <w:p w14:paraId="66E85ADC" w14:textId="77777777" w:rsidR="00EF0F5A" w:rsidRPr="00B16D0D" w:rsidRDefault="00EF0F5A" w:rsidP="00EF0F5A">
      <w:pPr>
        <w:rPr>
          <w:rFonts w:asciiTheme="minorHAnsi" w:hAnsiTheme="minorHAnsi" w:cstheme="minorHAnsi"/>
          <w:bCs/>
          <w:lang w:val="en-GB"/>
        </w:rPr>
      </w:pPr>
    </w:p>
    <w:p w14:paraId="7AF28EFF" w14:textId="1F950C0A"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w:t>
      </w:r>
      <w:r w:rsidR="00C1230D">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DD95F13" w14:textId="77777777" w:rsidR="00BD1C69" w:rsidRDefault="00BD1C69">
      <w:pPr>
        <w:rPr>
          <w:rFonts w:ascii="Arial" w:hAnsi="Arial"/>
          <w:b/>
          <w:i/>
          <w:sz w:val="28"/>
          <w:szCs w:val="20"/>
        </w:rPr>
      </w:pPr>
      <w:r>
        <w:br w:type="page"/>
      </w:r>
    </w:p>
    <w:p w14:paraId="6AC537C0" w14:textId="01FCE492" w:rsidR="00BD1C69" w:rsidRPr="00BD1C69" w:rsidRDefault="00BD1C69" w:rsidP="000114C1">
      <w:pPr>
        <w:pStyle w:val="2"/>
      </w:pPr>
      <w:r>
        <w:lastRenderedPageBreak/>
        <w:t>Usage of soft resources</w:t>
      </w:r>
    </w:p>
    <w:p w14:paraId="2C1A6EA6" w14:textId="27F752E1" w:rsidR="00BD1C69" w:rsidRDefault="00BD1C69" w:rsidP="00BD1C69">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RRC parameter spreadsheet the following parameter positionInDCI-AI was defined as the (starting) position (bit) of the availabilityCombinationId (AI-Index) for the indicated IAB-DU cell (iabDuCellId-AI) within the DCI payload. It has a value range of INTEGER(0..maxAI-DCI-PayloadSize-1), however maxAI-DCI-PayloadSize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343093A5" w14:textId="3004E749" w:rsidR="00BD1C69" w:rsidRDefault="00BD1C69" w:rsidP="00BD1C69">
      <w:pPr>
        <w:rPr>
          <w:rFonts w:asciiTheme="minorHAnsi" w:hAnsiTheme="minorHAnsi" w:cstheme="minorHAnsi"/>
          <w:bCs/>
          <w:lang w:val="en-GB"/>
        </w:rPr>
      </w:pPr>
    </w:p>
    <w:p w14:paraId="469CFA68" w14:textId="77777777" w:rsidR="00BD1C69" w:rsidRDefault="00BD1C69" w:rsidP="00BD1C69">
      <w:pPr>
        <w:rPr>
          <w:rFonts w:asciiTheme="minorHAnsi" w:hAnsiTheme="minorHAnsi" w:cstheme="minorHAnsi"/>
          <w:b/>
          <w:lang w:val="en-GB"/>
        </w:rPr>
      </w:pPr>
    </w:p>
    <w:p w14:paraId="0F3F3CFA" w14:textId="77777777" w:rsidR="00BD1C69" w:rsidRPr="00585761" w:rsidRDefault="00BD1C69" w:rsidP="00BD1C6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56CBB1A1" w14:textId="77777777" w:rsidTr="002262C8">
        <w:tc>
          <w:tcPr>
            <w:tcW w:w="1696" w:type="dxa"/>
          </w:tcPr>
          <w:p w14:paraId="08130A75" w14:textId="6074FE91"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3AF893E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84D07E" w14:textId="6D4E4839" w:rsidR="00BE197A" w:rsidRPr="00585761" w:rsidRDefault="00BE197A" w:rsidP="00BE197A">
            <w:pPr>
              <w:rPr>
                <w:b/>
                <w:bCs/>
              </w:rPr>
            </w:pPr>
            <w:r>
              <w:rPr>
                <w:rFonts w:ascii="Calibri" w:eastAsia="Calibri" w:hAnsi="Calibri"/>
                <w:b/>
                <w:bCs/>
                <w:sz w:val="22"/>
                <w:szCs w:val="22"/>
              </w:rPr>
              <w:t>(Yes/No/Not sure)</w:t>
            </w:r>
          </w:p>
        </w:tc>
        <w:tc>
          <w:tcPr>
            <w:tcW w:w="6109" w:type="dxa"/>
          </w:tcPr>
          <w:p w14:paraId="4B3F4F22" w14:textId="795FAEEC"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EF889F5" w14:textId="77777777" w:rsidTr="002262C8">
        <w:tc>
          <w:tcPr>
            <w:tcW w:w="1696" w:type="dxa"/>
          </w:tcPr>
          <w:p w14:paraId="5F6A4501" w14:textId="2B03DCC7" w:rsidR="00EF0778" w:rsidRDefault="005108FA" w:rsidP="00EF0778">
            <w:r w:rsidRPr="005108FA">
              <w:rPr>
                <w:rFonts w:ascii="Calibri" w:eastAsia="Calibri" w:hAnsi="Calibri"/>
                <w:sz w:val="22"/>
                <w:szCs w:val="22"/>
              </w:rPr>
              <w:t>AT&amp;T</w:t>
            </w:r>
          </w:p>
        </w:tc>
        <w:tc>
          <w:tcPr>
            <w:tcW w:w="2265" w:type="dxa"/>
          </w:tcPr>
          <w:p w14:paraId="0AE61733" w14:textId="4F970A95"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3814BF38" w14:textId="1469A98F" w:rsidR="00EF0778" w:rsidRDefault="005108FA" w:rsidP="00EF0778">
            <w:r w:rsidRPr="005108FA">
              <w:rPr>
                <w:rFonts w:ascii="Calibri" w:eastAsia="Calibri" w:hAnsi="Calibri"/>
                <w:sz w:val="22"/>
                <w:szCs w:val="22"/>
              </w:rPr>
              <w:t>RAN1 should clarify confirm maxAI-DCI-PayloadSize = maxSFI-DCI-PayloadSize = 128 and inform RAN2.</w:t>
            </w:r>
          </w:p>
        </w:tc>
      </w:tr>
      <w:tr w:rsidR="00F10FFC" w14:paraId="04B31D21" w14:textId="77777777" w:rsidTr="002262C8">
        <w:tc>
          <w:tcPr>
            <w:tcW w:w="1696" w:type="dxa"/>
          </w:tcPr>
          <w:p w14:paraId="714D9B38" w14:textId="0A1650E2"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4948B81E" w14:textId="3E7CB9AD"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5CC2BA5" w14:textId="3C8125A7"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64431F" w14:paraId="57E6F3CE" w14:textId="77777777" w:rsidTr="002262C8">
        <w:tc>
          <w:tcPr>
            <w:tcW w:w="1696" w:type="dxa"/>
          </w:tcPr>
          <w:p w14:paraId="31B12592" w14:textId="5B681051"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73FB27AE" w14:textId="027DF7FC"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52E2FA8" w14:textId="1058725C" w:rsidR="0064431F" w:rsidRDefault="0064431F" w:rsidP="0064431F">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2102C0" w14:paraId="3A45A0CE" w14:textId="77777777" w:rsidTr="002262C8">
        <w:tc>
          <w:tcPr>
            <w:tcW w:w="1696" w:type="dxa"/>
          </w:tcPr>
          <w:p w14:paraId="6ECD399F" w14:textId="61E3A4A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ZTE</w:t>
            </w:r>
            <w:r>
              <w:rPr>
                <w:rFonts w:ascii="Calibri" w:eastAsia="SimSun" w:hAnsi="Calibri"/>
                <w:sz w:val="22"/>
                <w:szCs w:val="22"/>
                <w:lang w:eastAsia="zh-CN"/>
              </w:rPr>
              <w:t>, Sanechips</w:t>
            </w:r>
          </w:p>
        </w:tc>
        <w:tc>
          <w:tcPr>
            <w:tcW w:w="2265" w:type="dxa"/>
          </w:tcPr>
          <w:p w14:paraId="52288990" w14:textId="4E92696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Yes</w:t>
            </w:r>
          </w:p>
        </w:tc>
        <w:tc>
          <w:tcPr>
            <w:tcW w:w="6109" w:type="dxa"/>
          </w:tcPr>
          <w:p w14:paraId="78323C71" w14:textId="0ECD89B7" w:rsidR="002102C0" w:rsidRDefault="002102C0" w:rsidP="002102C0">
            <w:pPr>
              <w:rPr>
                <w:rFonts w:ascii="Calibri" w:eastAsia="Calibri" w:hAnsi="Calibri"/>
                <w:sz w:val="22"/>
                <w:szCs w:val="22"/>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4A3649" w14:paraId="51BE1B5F" w14:textId="77777777" w:rsidTr="002262C8">
        <w:tc>
          <w:tcPr>
            <w:tcW w:w="1696" w:type="dxa"/>
          </w:tcPr>
          <w:p w14:paraId="3890B6D2" w14:textId="72116C6F" w:rsidR="004A3649" w:rsidRPr="004A3649" w:rsidRDefault="004A3649" w:rsidP="002102C0">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22C26830" w14:textId="10AA29D8" w:rsidR="004A3649" w:rsidRPr="004A3649" w:rsidRDefault="004A3649" w:rsidP="002102C0">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6109" w:type="dxa"/>
          </w:tcPr>
          <w:p w14:paraId="1723C15F" w14:textId="70A8F475" w:rsidR="004A3649" w:rsidRPr="004A3649" w:rsidRDefault="004A3649" w:rsidP="002102C0">
            <w:pPr>
              <w:rPr>
                <w:rFonts w:ascii="Calibri" w:eastAsia="맑은 고딕" w:hAnsi="Calibri" w:hint="eastAsia"/>
                <w:sz w:val="22"/>
                <w:szCs w:val="22"/>
                <w:lang w:eastAsia="ko-KR"/>
              </w:rPr>
            </w:pPr>
            <w:r>
              <w:rPr>
                <w:rFonts w:ascii="Calibri" w:eastAsia="맑은 고딕" w:hAnsi="Calibri" w:hint="eastAsia"/>
                <w:sz w:val="22"/>
                <w:szCs w:val="22"/>
                <w:lang w:eastAsia="ko-KR"/>
              </w:rPr>
              <w:t>Agree with the FL</w:t>
            </w:r>
            <w:r>
              <w:rPr>
                <w:rFonts w:ascii="Calibri" w:eastAsia="맑은 고딕" w:hAnsi="Calibri"/>
                <w:sz w:val="22"/>
                <w:szCs w:val="22"/>
                <w:lang w:eastAsia="ko-KR"/>
              </w:rPr>
              <w:t>’s observation.</w:t>
            </w:r>
          </w:p>
        </w:tc>
      </w:tr>
    </w:tbl>
    <w:p w14:paraId="6FD141D6" w14:textId="77777777" w:rsidR="00BD1C69" w:rsidRDefault="00BD1C69" w:rsidP="00BD1C69">
      <w:pPr>
        <w:rPr>
          <w:rFonts w:asciiTheme="minorHAnsi" w:hAnsiTheme="minorHAnsi" w:cstheme="minorHAnsi"/>
          <w:b/>
          <w:lang w:val="en-GB"/>
        </w:rPr>
      </w:pPr>
    </w:p>
    <w:p w14:paraId="49D793AC" w14:textId="31A9CCDD" w:rsidR="00BD1C69" w:rsidRDefault="00BD1C69" w:rsidP="00BD1C6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127FA">
        <w:rPr>
          <w:rFonts w:asciiTheme="minorHAnsi" w:hAnsiTheme="minorHAnsi" w:cstheme="minorHAnsi"/>
          <w:b/>
          <w:highlight w:val="yellow"/>
          <w:lang w:val="en-GB"/>
        </w:rPr>
        <w:t>3.</w:t>
      </w:r>
      <w:r>
        <w:rPr>
          <w:rFonts w:asciiTheme="minorHAnsi" w:hAnsiTheme="minorHAnsi" w:cstheme="minorHAnsi"/>
          <w:b/>
          <w:highlight w:val="yellow"/>
          <w:lang w:val="en-GB"/>
        </w:rPr>
        <w:t>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7891C8F" w14:textId="6640BD3F" w:rsidR="004C776D" w:rsidRDefault="004C776D" w:rsidP="004C776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r w:rsidRPr="004C776D">
        <w:rPr>
          <w:rFonts w:asciiTheme="minorHAnsi" w:hAnsiTheme="minorHAnsi" w:cstheme="minorHAnsi"/>
          <w:b/>
          <w:i/>
          <w:iCs/>
          <w:sz w:val="28"/>
          <w:szCs w:val="28"/>
          <w:lang w:val="en-GB"/>
        </w:rPr>
        <w:t>resourceAvailability</w:t>
      </w:r>
    </w:p>
    <w:p w14:paraId="22195C43" w14:textId="56677CF4" w:rsidR="004C776D" w:rsidRPr="00E235C5" w:rsidRDefault="004C776D" w:rsidP="004C776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R1-2001882</w:t>
      </w:r>
    </w:p>
    <w:p w14:paraId="4405BF2F" w14:textId="77777777" w:rsidR="004C776D" w:rsidRDefault="004C776D" w:rsidP="004C776D">
      <w:pPr>
        <w:spacing w:before="120" w:after="120"/>
        <w:rPr>
          <w:sz w:val="20"/>
        </w:rPr>
      </w:pPr>
      <w:r>
        <w:rPr>
          <w:rFonts w:asciiTheme="minorHAnsi" w:hAnsiTheme="minorHAnsi" w:cstheme="minorHAnsi"/>
          <w:b/>
          <w:lang w:val="en-GB"/>
        </w:rPr>
        <w:t xml:space="preserve">Background: </w:t>
      </w: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resourceAvailability in </w:t>
      </w:r>
      <w:r w:rsidRPr="00346E98">
        <w:rPr>
          <w:rFonts w:ascii="Calibri" w:eastAsia="Calibri" w:hAnsi="Calibri"/>
          <w:i/>
          <w:iCs/>
          <w:sz w:val="22"/>
          <w:szCs w:val="22"/>
        </w:rPr>
        <w:t>AvailabilityCombination</w:t>
      </w:r>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“slotFormats” to “</w:t>
      </w:r>
      <w:r w:rsidRPr="00346E98">
        <w:rPr>
          <w:rFonts w:ascii="Calibri" w:eastAsia="Calibri" w:hAnsi="Calibri"/>
          <w:i/>
          <w:iCs/>
          <w:sz w:val="22"/>
          <w:szCs w:val="22"/>
        </w:rPr>
        <w:t>resourceAvailability</w:t>
      </w:r>
      <w:r w:rsidRPr="00346E98">
        <w:rPr>
          <w:rFonts w:ascii="Calibri" w:eastAsia="Calibri" w:hAnsi="Calibri"/>
          <w:sz w:val="22"/>
          <w:szCs w:val="22"/>
        </w:rPr>
        <w:t>” is not consistently applied in the 2nd sub-bullet.</w:t>
      </w:r>
      <w:r>
        <w:rPr>
          <w:sz w:val="20"/>
        </w:rPr>
        <w:t xml:space="preserve"> </w:t>
      </w:r>
    </w:p>
    <w:p w14:paraId="31D2DE9F" w14:textId="513E07DF" w:rsidR="004C776D" w:rsidRDefault="004C776D" w:rsidP="004C776D">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0654198B" w14:textId="77777777" w:rsidR="004C776D" w:rsidRDefault="004C776D" w:rsidP="004C776D">
      <w:pPr>
        <w:spacing w:before="120" w:after="120"/>
        <w:rPr>
          <w:sz w:val="20"/>
        </w:rPr>
      </w:pPr>
      <w:r>
        <w:rPr>
          <w:sz w:val="20"/>
        </w:rPr>
        <w:t xml:space="preserve">For each serving cell of an IAB-node DU in a set of serving cells of the IAB-node DU, the IAB-node DU can be provided: </w:t>
      </w:r>
    </w:p>
    <w:p w14:paraId="6364A8CF" w14:textId="77777777" w:rsidR="004C776D" w:rsidRDefault="004C776D" w:rsidP="004C776D">
      <w:pPr>
        <w:pStyle w:val="B1"/>
        <w:spacing w:before="120" w:after="120"/>
      </w:pPr>
      <w:r>
        <w:t>-</w:t>
      </w:r>
      <w:r>
        <w:tab/>
        <w:t xml:space="preserve">an identity of the IAB-node DU serving cell by </w:t>
      </w:r>
      <w:r>
        <w:rPr>
          <w:rStyle w:val="fontstyle01"/>
        </w:rPr>
        <w:t>iabDuCellId-AI</w:t>
      </w:r>
    </w:p>
    <w:p w14:paraId="27ACF9B2" w14:textId="77777777" w:rsidR="004C776D" w:rsidRDefault="004C776D" w:rsidP="004C776D">
      <w:pPr>
        <w:pStyle w:val="B1"/>
        <w:spacing w:before="120" w:after="120"/>
      </w:pPr>
      <w:r>
        <w:t>-</w:t>
      </w:r>
      <w:r>
        <w:tab/>
        <w:t xml:space="preserve">a location of an availability indicator (AI) index field in DCI format 2_5 by </w:t>
      </w:r>
      <w:r>
        <w:rPr>
          <w:rStyle w:val="fontstyle01"/>
        </w:rPr>
        <w:t>positionInDCI-AI</w:t>
      </w:r>
    </w:p>
    <w:p w14:paraId="31F3FC1B" w14:textId="77777777" w:rsidR="004C776D" w:rsidRDefault="004C776D" w:rsidP="004C776D">
      <w:pPr>
        <w:pStyle w:val="B1"/>
        <w:spacing w:before="120" w:after="120"/>
      </w:pPr>
      <w:r>
        <w:t>-</w:t>
      </w:r>
      <w:r>
        <w:tab/>
        <w:t xml:space="preserve">a set of availability combinations by </w:t>
      </w:r>
      <w:r>
        <w:rPr>
          <w:rStyle w:val="fontstyle01"/>
        </w:rPr>
        <w:t>availabilityCombinations</w:t>
      </w:r>
      <w:r>
        <w:t>, where each availability combination in the set of availability combinations includes</w:t>
      </w:r>
    </w:p>
    <w:p w14:paraId="36C6C797" w14:textId="77777777" w:rsidR="002F01FC" w:rsidRDefault="004C776D" w:rsidP="002F01FC">
      <w:pPr>
        <w:pStyle w:val="B2"/>
        <w:spacing w:before="120" w:after="120"/>
      </w:pPr>
      <w:r>
        <w:t>-</w:t>
      </w:r>
      <w:r>
        <w:tab/>
      </w:r>
      <w:r>
        <w:rPr>
          <w:rStyle w:val="fontstyle01"/>
        </w:rPr>
        <w:t>resourceAvailability</w:t>
      </w:r>
      <w:r>
        <w:t xml:space="preserve"> indicating availability of soft symbols in one or more slots for the IAB-node DU serving cell, and </w:t>
      </w:r>
    </w:p>
    <w:p w14:paraId="5F3EC68E" w14:textId="51427DCB" w:rsidR="004C776D" w:rsidRPr="002F01FC" w:rsidRDefault="002F01FC" w:rsidP="002F01FC">
      <w:pPr>
        <w:pStyle w:val="B2"/>
        <w:spacing w:before="120" w:after="120"/>
      </w:pPr>
      <w:r>
        <w:t xml:space="preserve">-    </w:t>
      </w:r>
      <w:r w:rsidR="004C776D" w:rsidRPr="00860A0F">
        <w:t xml:space="preserve">a mapping for the soft symbol availability combination provided by </w:t>
      </w:r>
      <w:r w:rsidR="004C776D" w:rsidRPr="00860A0F">
        <w:rPr>
          <w:rStyle w:val="fontstyle01"/>
        </w:rPr>
        <w:t>Availability</w:t>
      </w:r>
      <w:r w:rsidR="004C776D" w:rsidRPr="004C776D">
        <w:rPr>
          <w:rStyle w:val="fontstyle01"/>
          <w:color w:val="000000" w:themeColor="text1"/>
        </w:rPr>
        <w:t>Combination</w:t>
      </w:r>
      <w:r w:rsidR="004C776D" w:rsidRPr="00860A0F">
        <w:t xml:space="preserve"> to a corresponding AI index field value in DCI format 2_5 provided by </w:t>
      </w:r>
      <w:r w:rsidR="004C776D" w:rsidRPr="00860A0F">
        <w:rPr>
          <w:rStyle w:val="fontstyle01"/>
        </w:rPr>
        <w:t>availabilityCombinationId</w:t>
      </w:r>
    </w:p>
    <w:p w14:paraId="19260105" w14:textId="77777777" w:rsidR="004C776D" w:rsidRPr="00860A0F" w:rsidRDefault="004C776D" w:rsidP="004C776D">
      <w:pPr>
        <w:spacing w:before="120" w:after="120"/>
        <w:rPr>
          <w:b/>
          <w:bCs/>
          <w:i/>
          <w:iCs/>
          <w:sz w:val="20"/>
        </w:rPr>
      </w:pPr>
      <w:r>
        <w:rPr>
          <w:b/>
          <w:bCs/>
          <w:i/>
          <w:iCs/>
          <w:sz w:val="20"/>
        </w:rPr>
        <w:t>--------------------------------------------------------------------------------------------------------</w:t>
      </w:r>
    </w:p>
    <w:p w14:paraId="18BF231A" w14:textId="77777777" w:rsidR="00346E98" w:rsidRDefault="00346E98" w:rsidP="00346E98">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77B24979" w14:textId="77777777" w:rsidR="00346E98" w:rsidRPr="00CA657A" w:rsidRDefault="00346E98" w:rsidP="00346E98">
      <w:pPr>
        <w:pStyle w:val="B1"/>
        <w:spacing w:before="120" w:after="120"/>
      </w:pPr>
      <w:r>
        <w:t>-</w:t>
      </w:r>
      <w:r>
        <w:tab/>
      </w:r>
      <w:r w:rsidRPr="00CA657A">
        <w:t xml:space="preserve">a set of slot format combinations by </w:t>
      </w:r>
      <w:r w:rsidRPr="00CA657A">
        <w:rPr>
          <w:i/>
        </w:rPr>
        <w:t>slotFormatCombinations</w:t>
      </w:r>
      <w:r w:rsidRPr="00CA657A">
        <w:t xml:space="preserve">, where each slot format combination in the set of slot format combinations includes </w:t>
      </w:r>
    </w:p>
    <w:p w14:paraId="0DB9AD88" w14:textId="77777777" w:rsidR="00346E98" w:rsidRPr="00CA657A" w:rsidRDefault="00346E98" w:rsidP="00346E98">
      <w:pPr>
        <w:pStyle w:val="B2"/>
        <w:spacing w:before="120" w:after="120"/>
      </w:pPr>
      <w:r>
        <w:t>-</w:t>
      </w:r>
      <w:r>
        <w:tab/>
      </w:r>
      <w:r w:rsidRPr="00CA657A">
        <w:t xml:space="preserve">one or more slot formats indicated by a respective </w:t>
      </w:r>
      <w:r w:rsidRPr="00CA657A">
        <w:rPr>
          <w:i/>
        </w:rPr>
        <w:t>slotFormats</w:t>
      </w:r>
      <w:r w:rsidRPr="00CA657A">
        <w:t xml:space="preserve"> for the slot format combination, and </w:t>
      </w:r>
    </w:p>
    <w:p w14:paraId="2742F693" w14:textId="77777777" w:rsidR="00346E98" w:rsidRPr="00CA657A" w:rsidRDefault="00346E98" w:rsidP="00346E98">
      <w:pPr>
        <w:pStyle w:val="B2"/>
        <w:spacing w:before="120" w:after="120"/>
      </w:pPr>
      <w:r>
        <w:t>-</w:t>
      </w:r>
      <w:r>
        <w:tab/>
      </w:r>
      <w:r w:rsidRPr="00CA657A">
        <w:t xml:space="preserve">a mapping for the slot format combination provided by </w:t>
      </w:r>
      <w:r w:rsidRPr="00CA657A">
        <w:rPr>
          <w:i/>
        </w:rPr>
        <w:t>slotFormats</w:t>
      </w:r>
      <w:r w:rsidRPr="00CA657A">
        <w:t xml:space="preserve"> to a corresponding SFI-index field value in DCI format 2_0 provided by </w:t>
      </w:r>
      <w:r w:rsidRPr="00CA657A">
        <w:rPr>
          <w:i/>
        </w:rPr>
        <w:t>slotFormatCombinationId</w:t>
      </w:r>
    </w:p>
    <w:p w14:paraId="4EFA39C5" w14:textId="77777777" w:rsidR="00346E98" w:rsidRDefault="00346E98" w:rsidP="00346E98">
      <w:pPr>
        <w:spacing w:before="120" w:after="120"/>
        <w:rPr>
          <w:b/>
          <w:bCs/>
          <w:i/>
          <w:iCs/>
          <w:sz w:val="20"/>
        </w:rPr>
      </w:pPr>
      <w:r>
        <w:rPr>
          <w:b/>
          <w:bCs/>
          <w:i/>
          <w:iCs/>
          <w:sz w:val="20"/>
        </w:rPr>
        <w:t>--------------------------------------------------------------------------------------------------------</w:t>
      </w:r>
    </w:p>
    <w:p w14:paraId="3F05EEE1" w14:textId="77777777" w:rsidR="004C776D" w:rsidRDefault="004C776D" w:rsidP="004C776D">
      <w:pPr>
        <w:rPr>
          <w:rFonts w:asciiTheme="minorHAnsi" w:hAnsiTheme="minorHAnsi" w:cstheme="minorHAnsi"/>
          <w:bCs/>
          <w:lang w:val="en-GB"/>
        </w:rPr>
      </w:pPr>
    </w:p>
    <w:p w14:paraId="61A9F2E5" w14:textId="77777777" w:rsidR="004C776D" w:rsidRDefault="004C776D" w:rsidP="004C776D">
      <w:pPr>
        <w:rPr>
          <w:rFonts w:asciiTheme="minorHAnsi" w:hAnsiTheme="minorHAnsi" w:cstheme="minorHAnsi"/>
          <w:b/>
          <w:lang w:val="en-GB"/>
        </w:rPr>
      </w:pPr>
    </w:p>
    <w:p w14:paraId="4FD82E21" w14:textId="77777777" w:rsidR="004C776D" w:rsidRPr="00585761" w:rsidRDefault="004C776D" w:rsidP="004C776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51AD86D8" w14:textId="77777777" w:rsidTr="002262C8">
        <w:tc>
          <w:tcPr>
            <w:tcW w:w="1696" w:type="dxa"/>
          </w:tcPr>
          <w:p w14:paraId="336E9A41" w14:textId="4076F42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0B6208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35208987" w14:textId="460A31D5" w:rsidR="00BE197A" w:rsidRPr="00585761" w:rsidRDefault="00BE197A" w:rsidP="00BE197A">
            <w:pPr>
              <w:rPr>
                <w:b/>
                <w:bCs/>
              </w:rPr>
            </w:pPr>
            <w:r>
              <w:rPr>
                <w:rFonts w:ascii="Calibri" w:eastAsia="Calibri" w:hAnsi="Calibri"/>
                <w:b/>
                <w:bCs/>
                <w:sz w:val="22"/>
                <w:szCs w:val="22"/>
              </w:rPr>
              <w:t>(Yes/No/Not sure)</w:t>
            </w:r>
          </w:p>
        </w:tc>
        <w:tc>
          <w:tcPr>
            <w:tcW w:w="6109" w:type="dxa"/>
          </w:tcPr>
          <w:p w14:paraId="3C48D8AF" w14:textId="3353F98D"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2F01FC" w14:paraId="200774BB" w14:textId="77777777" w:rsidTr="002262C8">
        <w:tc>
          <w:tcPr>
            <w:tcW w:w="1696" w:type="dxa"/>
          </w:tcPr>
          <w:p w14:paraId="091ADB12" w14:textId="369D78EC" w:rsidR="002F01FC" w:rsidRDefault="002F01FC" w:rsidP="002F01FC">
            <w:r w:rsidRPr="005108FA">
              <w:rPr>
                <w:rFonts w:ascii="Calibri" w:eastAsia="Calibri" w:hAnsi="Calibri"/>
                <w:sz w:val="22"/>
                <w:szCs w:val="22"/>
              </w:rPr>
              <w:t>AT&amp;T</w:t>
            </w:r>
          </w:p>
        </w:tc>
        <w:tc>
          <w:tcPr>
            <w:tcW w:w="2265" w:type="dxa"/>
          </w:tcPr>
          <w:p w14:paraId="665309C5" w14:textId="75A306AF" w:rsidR="002F01FC" w:rsidRDefault="002F01FC" w:rsidP="002F01FC">
            <w:r w:rsidRPr="005108FA">
              <w:rPr>
                <w:rFonts w:ascii="Calibri" w:eastAsia="Calibri" w:hAnsi="Calibri"/>
                <w:sz w:val="22"/>
                <w:szCs w:val="22"/>
              </w:rPr>
              <w:t>Yes</w:t>
            </w:r>
          </w:p>
        </w:tc>
        <w:tc>
          <w:tcPr>
            <w:tcW w:w="6109" w:type="dxa"/>
          </w:tcPr>
          <w:p w14:paraId="1AAAA84E" w14:textId="4913E752" w:rsidR="002F01FC" w:rsidRDefault="002F01FC" w:rsidP="002F01FC">
            <w:r w:rsidRPr="002F01FC">
              <w:rPr>
                <w:rFonts w:ascii="Calibri" w:eastAsia="Calibri" w:hAnsi="Calibri"/>
                <w:sz w:val="22"/>
                <w:szCs w:val="22"/>
              </w:rPr>
              <w:t>We agree there is a mismatch between the behavior for DCI Format 2_0 and DCI Format 2_5</w:t>
            </w:r>
          </w:p>
        </w:tc>
      </w:tr>
      <w:tr w:rsidR="00F10FFC" w14:paraId="2E247175" w14:textId="77777777" w:rsidTr="002262C8">
        <w:tc>
          <w:tcPr>
            <w:tcW w:w="1696" w:type="dxa"/>
          </w:tcPr>
          <w:p w14:paraId="5DEE28BE" w14:textId="1CDEAAE8"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tcPr>
          <w:p w14:paraId="149DDD90" w14:textId="12C30B44"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07499D4E" w14:textId="3CA11B6C"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This can be an editorial </w:t>
            </w:r>
            <w:r w:rsidR="00BE235E">
              <w:rPr>
                <w:rFonts w:ascii="Calibri" w:eastAsiaTheme="minorEastAsia" w:hAnsi="Calibri"/>
                <w:sz w:val="22"/>
                <w:szCs w:val="22"/>
                <w:lang w:eastAsia="zh-CN"/>
              </w:rPr>
              <w:t>change</w:t>
            </w:r>
          </w:p>
        </w:tc>
      </w:tr>
      <w:tr w:rsidR="0064431F" w14:paraId="43681BF0" w14:textId="77777777" w:rsidTr="002262C8">
        <w:tc>
          <w:tcPr>
            <w:tcW w:w="1696" w:type="dxa"/>
          </w:tcPr>
          <w:p w14:paraId="3CA20198" w14:textId="53F50EFC"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E240A33" w14:textId="1004650D"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37A8022C" w14:textId="2934882F"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The identified problem needs to be addressed, however, since it should not be controversial, it could indeed possibly be included as part of a list of editorial corrections.</w:t>
            </w:r>
          </w:p>
        </w:tc>
      </w:tr>
      <w:tr w:rsidR="002102C0" w14:paraId="113210ED" w14:textId="77777777" w:rsidTr="002262C8">
        <w:tc>
          <w:tcPr>
            <w:tcW w:w="1696" w:type="dxa"/>
          </w:tcPr>
          <w:p w14:paraId="2EE1D90A" w14:textId="48C01476"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29502BB4" w14:textId="0BDDCDD5"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3A94E6B" w14:textId="09704BEC" w:rsidR="002102C0" w:rsidRDefault="002102C0" w:rsidP="002102C0">
            <w:pPr>
              <w:rPr>
                <w:rFonts w:ascii="Calibri" w:eastAsiaTheme="minorEastAsia" w:hAnsi="Calibri"/>
                <w:sz w:val="22"/>
                <w:szCs w:val="22"/>
                <w:lang w:eastAsia="zh-CN"/>
              </w:rPr>
            </w:pPr>
            <w:r>
              <w:rPr>
                <w:rFonts w:ascii="Calibri" w:eastAsiaTheme="minorEastAsia" w:hAnsi="Calibri"/>
                <w:sz w:val="22"/>
                <w:szCs w:val="22"/>
                <w:lang w:eastAsia="zh-CN"/>
              </w:rPr>
              <w:t xml:space="preserve">We say yes because we think the issue (now at least quite some companies agree it is indeed an issue) should be solved in this meeting. To postpone it does not bring any benefit. On the other hand, we are also ok with suggestion from Qualcomm: to inform the editor of the inconsistency issue, possibly with the some </w:t>
            </w:r>
            <w:r>
              <w:rPr>
                <w:rFonts w:ascii="Calibri" w:eastAsiaTheme="minorEastAsia" w:hAnsi="Calibri"/>
                <w:sz w:val="22"/>
                <w:szCs w:val="22"/>
                <w:lang w:eastAsia="zh-CN"/>
              </w:rPr>
              <w:lastRenderedPageBreak/>
              <w:t xml:space="preserve">potential correction text, and to leave editor to decide how to address the issue.  </w:t>
            </w:r>
          </w:p>
        </w:tc>
      </w:tr>
      <w:tr w:rsidR="002E3DD8" w14:paraId="5D78D5DB" w14:textId="77777777" w:rsidTr="002262C8">
        <w:tc>
          <w:tcPr>
            <w:tcW w:w="1696" w:type="dxa"/>
          </w:tcPr>
          <w:p w14:paraId="652C9910" w14:textId="613558A3" w:rsidR="002E3DD8" w:rsidRPr="002E3DD8" w:rsidRDefault="002E3DD8" w:rsidP="002F01FC">
            <w:pPr>
              <w:rPr>
                <w:rFonts w:ascii="Calibri" w:eastAsia="맑은 고딕" w:hAnsi="Calibri" w:hint="eastAsia"/>
                <w:sz w:val="22"/>
                <w:szCs w:val="22"/>
                <w:lang w:eastAsia="ko-KR"/>
              </w:rPr>
            </w:pPr>
            <w:r>
              <w:rPr>
                <w:rFonts w:ascii="Calibri" w:eastAsia="맑은 고딕" w:hAnsi="Calibri" w:hint="eastAsia"/>
                <w:sz w:val="22"/>
                <w:szCs w:val="22"/>
                <w:lang w:eastAsia="ko-KR"/>
              </w:rPr>
              <w:lastRenderedPageBreak/>
              <w:t>Samsung</w:t>
            </w:r>
          </w:p>
        </w:tc>
        <w:tc>
          <w:tcPr>
            <w:tcW w:w="2265" w:type="dxa"/>
          </w:tcPr>
          <w:p w14:paraId="7AF8F910" w14:textId="48C5EF52" w:rsidR="002E3DD8" w:rsidRPr="002E3DD8" w:rsidRDefault="002E3DD8" w:rsidP="002F01FC">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6109" w:type="dxa"/>
          </w:tcPr>
          <w:p w14:paraId="3C77DD7D" w14:textId="39CED4C9" w:rsidR="002E3DD8" w:rsidRPr="002E3DD8" w:rsidRDefault="002E3DD8" w:rsidP="00B37AF7">
            <w:pPr>
              <w:rPr>
                <w:rFonts w:ascii="Calibri" w:eastAsia="맑은 고딕" w:hAnsi="Calibri" w:hint="eastAsia"/>
                <w:sz w:val="22"/>
                <w:szCs w:val="22"/>
                <w:lang w:eastAsia="ko-KR"/>
              </w:rPr>
            </w:pPr>
            <w:r>
              <w:rPr>
                <w:rFonts w:ascii="Calibri" w:eastAsia="맑은 고딕" w:hAnsi="Calibri" w:hint="eastAsia"/>
                <w:sz w:val="22"/>
                <w:szCs w:val="22"/>
                <w:lang w:eastAsia="ko-KR"/>
              </w:rPr>
              <w:t xml:space="preserve">We see there may be a mismatch between </w:t>
            </w:r>
            <w:r>
              <w:rPr>
                <w:rFonts w:ascii="Calibri" w:eastAsia="맑은 고딕" w:hAnsi="Calibri"/>
                <w:sz w:val="22"/>
                <w:szCs w:val="22"/>
                <w:lang w:eastAsia="ko-KR"/>
              </w:rPr>
              <w:t>2_0 and 2_5. But,</w:t>
            </w:r>
            <w:r w:rsidR="008501FA">
              <w:rPr>
                <w:rFonts w:ascii="Calibri" w:eastAsia="맑은 고딕" w:hAnsi="Calibri"/>
                <w:sz w:val="22"/>
                <w:szCs w:val="22"/>
                <w:lang w:eastAsia="ko-KR"/>
              </w:rPr>
              <w:t xml:space="preserve"> </w:t>
            </w:r>
            <w:r>
              <w:rPr>
                <w:rFonts w:ascii="Calibri" w:eastAsia="맑은 고딕" w:hAnsi="Calibri"/>
                <w:sz w:val="22"/>
                <w:szCs w:val="22"/>
                <w:lang w:eastAsia="ko-KR"/>
              </w:rPr>
              <w:t>it may be editorial.</w:t>
            </w:r>
          </w:p>
        </w:tc>
      </w:tr>
    </w:tbl>
    <w:p w14:paraId="5915ECD8" w14:textId="77777777" w:rsidR="004C776D" w:rsidRDefault="004C776D" w:rsidP="004C776D">
      <w:pPr>
        <w:rPr>
          <w:rFonts w:asciiTheme="minorHAnsi" w:hAnsiTheme="minorHAnsi" w:cstheme="minorHAnsi"/>
          <w:b/>
          <w:lang w:val="en-GB"/>
        </w:rPr>
      </w:pPr>
    </w:p>
    <w:p w14:paraId="392BFC2D" w14:textId="14787466" w:rsidR="004C776D" w:rsidRDefault="004C776D" w:rsidP="004C776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2.3.2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AA31" w14:textId="77777777" w:rsidR="00C34602" w:rsidRDefault="00C34602" w:rsidP="00B127FA">
      <w:pPr>
        <w:rPr>
          <w:rFonts w:asciiTheme="minorHAnsi" w:hAnsiTheme="minorHAnsi" w:cstheme="minorHAnsi"/>
          <w:b/>
          <w:lang w:val="en-GB"/>
        </w:rPr>
      </w:pPr>
    </w:p>
    <w:p w14:paraId="6166C772" w14:textId="77777777" w:rsidR="00B127FA" w:rsidRDefault="00B127FA" w:rsidP="000114C1">
      <w:pPr>
        <w:rPr>
          <w:rFonts w:asciiTheme="minorHAnsi" w:hAnsiTheme="minorHAnsi" w:cstheme="minorHAnsi"/>
          <w:b/>
          <w:lang w:val="en-GB"/>
        </w:rPr>
      </w:pPr>
    </w:p>
    <w:p w14:paraId="7F21C59A" w14:textId="330E03A4" w:rsidR="00B127FA" w:rsidRPr="00BD1C69" w:rsidRDefault="00BD1C69" w:rsidP="00B127FA">
      <w:pPr>
        <w:pStyle w:val="2"/>
      </w:pPr>
      <w:r>
        <w:br w:type="page"/>
      </w:r>
      <w:r w:rsidR="00B127FA">
        <w:lastRenderedPageBreak/>
        <w:t>IAB operation in paired spectrum</w:t>
      </w:r>
    </w:p>
    <w:p w14:paraId="4C90AA14" w14:textId="2A4AF888" w:rsidR="00EF0F5A" w:rsidRPr="00450639"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sidR="00450639">
        <w:rPr>
          <w:rFonts w:asciiTheme="minorHAnsi" w:hAnsiTheme="minorHAnsi" w:cstheme="minorHAnsi"/>
          <w:b/>
          <w:sz w:val="28"/>
          <w:szCs w:val="28"/>
          <w:lang w:val="en-GB"/>
        </w:rPr>
        <w:t>DU Resource Configuration</w:t>
      </w:r>
    </w:p>
    <w:p w14:paraId="64D9AC56" w14:textId="12EEB1E9"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E7236D">
        <w:rPr>
          <w:rFonts w:asciiTheme="minorHAnsi" w:hAnsiTheme="minorHAnsi" w:cstheme="minorHAnsi"/>
          <w:bCs/>
          <w:lang w:val="en-GB"/>
        </w:rPr>
        <w:t>, R1-2002203, R1-2002650</w:t>
      </w:r>
    </w:p>
    <w:p w14:paraId="60DF3BC5" w14:textId="64B9358C" w:rsidR="00EF0F5A" w:rsidRDefault="00E7236D" w:rsidP="00EF0F5A">
      <w:pPr>
        <w:rPr>
          <w:rFonts w:ascii="Calibri" w:eastAsia="Calibri" w:hAnsi="Calibri"/>
          <w:sz w:val="22"/>
          <w:szCs w:val="22"/>
        </w:rPr>
      </w:pPr>
      <w:r>
        <w:rPr>
          <w:rFonts w:asciiTheme="minorHAnsi" w:hAnsiTheme="minorHAnsi" w:cstheme="minorHAnsi"/>
          <w:b/>
          <w:lang w:val="en-GB"/>
        </w:rPr>
        <w:t xml:space="preserve">Background: </w:t>
      </w:r>
      <w:r w:rsidR="00EF0F5A" w:rsidRPr="00E7236D">
        <w:rPr>
          <w:rFonts w:ascii="Calibri" w:eastAsia="Calibri" w:hAnsi="Calibri" w:hint="eastAsia"/>
          <w:sz w:val="22"/>
          <w:szCs w:val="22"/>
        </w:rPr>
        <w:t xml:space="preserve">In RAN1#99 meeting, </w:t>
      </w:r>
      <w:r w:rsidR="00EF0F5A" w:rsidRPr="00E7236D">
        <w:rPr>
          <w:rFonts w:ascii="Calibri" w:eastAsia="Calibri" w:hAnsi="Calibri"/>
          <w:sz w:val="22"/>
          <w:szCs w:val="22"/>
        </w:rPr>
        <w:t>following working assumption regarding IAB in paired spectrum was captured in the chairman’s note as:</w:t>
      </w:r>
    </w:p>
    <w:p w14:paraId="3048164D" w14:textId="77777777" w:rsidR="0037326C" w:rsidRPr="00E7236D" w:rsidRDefault="0037326C" w:rsidP="00EF0F5A">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EF0F5A" w:rsidRPr="00C52FE2" w14:paraId="09710BB9" w14:textId="77777777" w:rsidTr="002262C8">
        <w:tc>
          <w:tcPr>
            <w:tcW w:w="9837" w:type="dxa"/>
            <w:shd w:val="clear" w:color="auto" w:fill="auto"/>
          </w:tcPr>
          <w:p w14:paraId="6F04D080" w14:textId="77777777" w:rsidR="00EF0F5A" w:rsidRPr="00C52FE2" w:rsidRDefault="00EF0F5A" w:rsidP="002262C8">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26BFB9D5" w14:textId="77777777" w:rsidR="00EF0F5A" w:rsidRPr="00C52FE2" w:rsidRDefault="00EF0F5A" w:rsidP="002262C8">
            <w:pPr>
              <w:spacing w:after="180"/>
              <w:rPr>
                <w:rFonts w:eastAsia="Yu Mincho"/>
                <w:sz w:val="20"/>
              </w:rPr>
            </w:pPr>
            <w:r w:rsidRPr="00C52FE2">
              <w:rPr>
                <w:rFonts w:eastAsia="Yu Mincho"/>
                <w:sz w:val="20"/>
              </w:rPr>
              <w:t>For paired spectrum, the H/S/NA DU resource configuration framework is extended with the following:</w:t>
            </w:r>
          </w:p>
          <w:p w14:paraId="2448F99F" w14:textId="77777777" w:rsidR="00EF0F5A" w:rsidRPr="00C52FE2" w:rsidRDefault="00EF0F5A" w:rsidP="00EF0F5A">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1E9D090D" w14:textId="77777777" w:rsidR="00EF0F5A" w:rsidRPr="00C52FE2" w:rsidRDefault="00EF0F5A" w:rsidP="002262C8">
            <w:pPr>
              <w:spacing w:before="180"/>
              <w:rPr>
                <w:rFonts w:eastAsia="SimSun"/>
                <w:sz w:val="20"/>
              </w:rPr>
            </w:pPr>
            <w:r w:rsidRPr="00C52FE2">
              <w:rPr>
                <w:rFonts w:eastAsia="Yu Mincho"/>
                <w:sz w:val="20"/>
              </w:rPr>
              <w:t>FFS: whether the definition of half-duplex operation has to be modified for IAB nodes operating in paired spectrum</w:t>
            </w:r>
          </w:p>
        </w:tc>
      </w:tr>
    </w:tbl>
    <w:p w14:paraId="50DB5D12" w14:textId="77777777" w:rsidR="00EF0F5A" w:rsidRDefault="00EF0F5A" w:rsidP="00EF0F5A">
      <w:pPr>
        <w:rPr>
          <w:lang w:eastAsia="ko-KR"/>
        </w:rPr>
      </w:pPr>
    </w:p>
    <w:p w14:paraId="60D4A8CE" w14:textId="70F5D05A" w:rsidR="00EF0F5A" w:rsidRPr="00E7236D" w:rsidRDefault="0037326C" w:rsidP="00EF0F5A">
      <w:pPr>
        <w:rPr>
          <w:rFonts w:ascii="Calibri" w:eastAsia="Calibri" w:hAnsi="Calibri"/>
          <w:sz w:val="22"/>
          <w:szCs w:val="22"/>
        </w:rPr>
      </w:pPr>
      <w:r>
        <w:rPr>
          <w:rFonts w:ascii="Calibri" w:eastAsia="Calibri" w:hAnsi="Calibri"/>
          <w:sz w:val="22"/>
          <w:szCs w:val="22"/>
        </w:rPr>
        <w:t>C</w:t>
      </w:r>
      <w:r w:rsidR="00E7236D"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00E7236D" w:rsidRPr="00E7236D">
        <w:rPr>
          <w:rFonts w:ascii="Calibri" w:eastAsia="Calibri" w:hAnsi="Calibri"/>
          <w:sz w:val="22"/>
          <w:szCs w:val="22"/>
        </w:rPr>
        <w:t xml:space="preserve">any additional specification impact) was raised during RAN1#100-e, however was not concluded. </w:t>
      </w:r>
    </w:p>
    <w:p w14:paraId="595CC13C" w14:textId="77777777" w:rsidR="00EF0F5A" w:rsidRDefault="00EF0F5A" w:rsidP="00EF0F5A">
      <w:pPr>
        <w:rPr>
          <w:rFonts w:asciiTheme="minorHAnsi" w:hAnsiTheme="minorHAnsi" w:cstheme="minorHAnsi"/>
          <w:b/>
          <w:lang w:val="en-GB"/>
        </w:rPr>
      </w:pPr>
    </w:p>
    <w:p w14:paraId="566E0D96"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3A9EC2A6" w14:textId="77777777" w:rsidTr="002262C8">
        <w:tc>
          <w:tcPr>
            <w:tcW w:w="1696" w:type="dxa"/>
          </w:tcPr>
          <w:p w14:paraId="570C17D2" w14:textId="631AE9CA"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48496BF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05FAB573" w14:textId="43BFB0E1" w:rsidR="00BE197A" w:rsidRPr="00585761" w:rsidRDefault="00BE197A" w:rsidP="00BE197A">
            <w:pPr>
              <w:rPr>
                <w:b/>
                <w:bCs/>
              </w:rPr>
            </w:pPr>
            <w:r>
              <w:rPr>
                <w:rFonts w:ascii="Calibri" w:eastAsia="Calibri" w:hAnsi="Calibri"/>
                <w:b/>
                <w:bCs/>
                <w:sz w:val="22"/>
                <w:szCs w:val="22"/>
              </w:rPr>
              <w:t>(Yes/No/Not sure)</w:t>
            </w:r>
          </w:p>
        </w:tc>
        <w:tc>
          <w:tcPr>
            <w:tcW w:w="6109" w:type="dxa"/>
          </w:tcPr>
          <w:p w14:paraId="7E0FAE4D" w14:textId="6D9CDE90"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A22D15C" w14:textId="77777777" w:rsidTr="002262C8">
        <w:tc>
          <w:tcPr>
            <w:tcW w:w="1696" w:type="dxa"/>
          </w:tcPr>
          <w:p w14:paraId="779E2BC0" w14:textId="5EC734F5" w:rsidR="00EF0778" w:rsidRPr="0037173E" w:rsidRDefault="00BE197A"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0A014F9A" w14:textId="6C6A187D" w:rsidR="00EF0778" w:rsidRPr="0037173E" w:rsidRDefault="0037173E" w:rsidP="00EF0778">
            <w:pPr>
              <w:rPr>
                <w:rFonts w:asciiTheme="minorHAnsi" w:hAnsiTheme="minorHAnsi" w:cstheme="minorHAnsi"/>
                <w:bCs/>
                <w:lang w:val="en-GB"/>
              </w:rPr>
            </w:pPr>
            <w:r>
              <w:rPr>
                <w:rFonts w:asciiTheme="minorHAnsi" w:hAnsiTheme="minorHAnsi" w:cstheme="minorHAnsi"/>
                <w:bCs/>
                <w:lang w:val="en-GB"/>
              </w:rPr>
              <w:t>Yes</w:t>
            </w:r>
          </w:p>
        </w:tc>
        <w:tc>
          <w:tcPr>
            <w:tcW w:w="6109" w:type="dxa"/>
          </w:tcPr>
          <w:p w14:paraId="6F577B51" w14:textId="39383CA7" w:rsidR="00EF0778" w:rsidRPr="0037173E" w:rsidRDefault="0037173E" w:rsidP="00EF0778">
            <w:pPr>
              <w:rPr>
                <w:rFonts w:asciiTheme="minorHAnsi" w:hAnsiTheme="minorHAnsi" w:cstheme="minorHAnsi"/>
                <w:bCs/>
                <w:u w:val="single"/>
                <w:lang w:val="en-GB"/>
              </w:rPr>
            </w:pPr>
            <w:r>
              <w:rPr>
                <w:rFonts w:asciiTheme="minorHAnsi" w:hAnsiTheme="minorHAnsi" w:cstheme="minorHAnsi"/>
                <w:bCs/>
                <w:lang w:val="en-GB"/>
              </w:rPr>
              <w:t xml:space="preserve">It should be discussed if the WA </w:t>
            </w:r>
            <w:r w:rsidR="00147151">
              <w:rPr>
                <w:rFonts w:asciiTheme="minorHAnsi" w:hAnsiTheme="minorHAnsi" w:cstheme="minorHAnsi"/>
                <w:bCs/>
                <w:lang w:val="en-GB"/>
              </w:rPr>
              <w:t>is sufficient or if there is</w:t>
            </w:r>
            <w:r>
              <w:rPr>
                <w:rFonts w:asciiTheme="minorHAnsi" w:hAnsiTheme="minorHAnsi" w:cstheme="minorHAnsi"/>
                <w:bCs/>
                <w:lang w:val="en-GB"/>
              </w:rPr>
              <w:t xml:space="preserve"> additional impact for </w:t>
            </w:r>
            <w:r w:rsidR="00147151">
              <w:rPr>
                <w:rFonts w:asciiTheme="minorHAnsi" w:hAnsiTheme="minorHAnsi" w:cstheme="minorHAnsi"/>
                <w:bCs/>
                <w:lang w:val="en-GB"/>
              </w:rPr>
              <w:t>other WGs to ensure timely completion of Rel-16</w:t>
            </w:r>
          </w:p>
        </w:tc>
      </w:tr>
      <w:tr w:rsidR="00BE235E" w14:paraId="7751D250" w14:textId="77777777" w:rsidTr="002262C8">
        <w:tc>
          <w:tcPr>
            <w:tcW w:w="1696" w:type="dxa"/>
          </w:tcPr>
          <w:p w14:paraId="45E1B6F5" w14:textId="52D04D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H</w:t>
            </w:r>
            <w:r>
              <w:rPr>
                <w:rFonts w:asciiTheme="minorHAnsi" w:eastAsiaTheme="minorEastAsia" w:hAnsiTheme="minorHAnsi" w:cstheme="minorHAnsi"/>
                <w:bCs/>
                <w:lang w:val="en-GB" w:eastAsia="zh-CN"/>
              </w:rPr>
              <w:t>uawei</w:t>
            </w:r>
          </w:p>
        </w:tc>
        <w:tc>
          <w:tcPr>
            <w:tcW w:w="2265" w:type="dxa"/>
          </w:tcPr>
          <w:p w14:paraId="7F34BCB3" w14:textId="1D800A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5382E38" w14:textId="4E278D10" w:rsidR="00F0410C" w:rsidRPr="00BE235E" w:rsidRDefault="00BE235E" w:rsidP="00F0410C">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Some</w:t>
            </w:r>
            <w:r>
              <w:rPr>
                <w:rFonts w:asciiTheme="minorHAnsi" w:eastAsiaTheme="minorEastAsia" w:hAnsiTheme="minorHAnsi" w:cstheme="minorHAnsi"/>
                <w:bCs/>
                <w:lang w:val="en-GB" w:eastAsia="zh-CN"/>
              </w:rPr>
              <w:t xml:space="preserve"> discussion is needed on whether restricting to slot-level configuration for paired spectrum is acceptable.</w:t>
            </w:r>
            <w:r w:rsidR="00F0410C">
              <w:rPr>
                <w:rFonts w:asciiTheme="minorHAnsi" w:eastAsiaTheme="minorEastAsia" w:hAnsiTheme="minorHAnsi" w:cstheme="minorHAnsi"/>
                <w:bCs/>
                <w:lang w:val="en-GB" w:eastAsia="zh-CN"/>
              </w:rPr>
              <w:t xml:space="preserve"> And how to extend AI-DCI to paired spectrum may need some discussion since this involves both uplink and downlink similar to DCI format 2_0.</w:t>
            </w:r>
          </w:p>
        </w:tc>
      </w:tr>
      <w:tr w:rsidR="000B29C2" w14:paraId="25654274" w14:textId="77777777" w:rsidTr="002262C8">
        <w:tc>
          <w:tcPr>
            <w:tcW w:w="1696" w:type="dxa"/>
          </w:tcPr>
          <w:p w14:paraId="0AF17ABD" w14:textId="36539E7F"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Qualcomm</w:t>
            </w:r>
          </w:p>
        </w:tc>
        <w:tc>
          <w:tcPr>
            <w:tcW w:w="2265" w:type="dxa"/>
          </w:tcPr>
          <w:p w14:paraId="6CFE6266" w14:textId="01704C12"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7611D6AB" w14:textId="770E19BE" w:rsidR="000B29C2" w:rsidRDefault="000B29C2" w:rsidP="00F0410C">
            <w:pPr>
              <w:rPr>
                <w:rFonts w:asciiTheme="minorHAnsi" w:eastAsiaTheme="minorEastAsia" w:hAnsiTheme="minorHAnsi" w:cstheme="minorHAnsi"/>
                <w:bCs/>
                <w:lang w:val="en-GB" w:eastAsia="zh-CN"/>
              </w:rPr>
            </w:pPr>
            <w:r>
              <w:rPr>
                <w:rFonts w:ascii="Calibri" w:eastAsia="Calibri" w:hAnsi="Calibri"/>
                <w:sz w:val="22"/>
                <w:szCs w:val="22"/>
              </w:rPr>
              <w:t>Agree with AT&amp;T’s guidance on scope of the discussion.</w:t>
            </w:r>
          </w:p>
        </w:tc>
      </w:tr>
      <w:tr w:rsidR="00026581" w14:paraId="6F7DA42F" w14:textId="77777777" w:rsidTr="002262C8">
        <w:tc>
          <w:tcPr>
            <w:tcW w:w="1696" w:type="dxa"/>
          </w:tcPr>
          <w:p w14:paraId="7709C593" w14:textId="05FE2EDA"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ZTE, Sanechips</w:t>
            </w:r>
          </w:p>
        </w:tc>
        <w:tc>
          <w:tcPr>
            <w:tcW w:w="2265" w:type="dxa"/>
          </w:tcPr>
          <w:p w14:paraId="4CED8905" w14:textId="03580A1C"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Yes</w:t>
            </w:r>
          </w:p>
        </w:tc>
        <w:tc>
          <w:tcPr>
            <w:tcW w:w="6109" w:type="dxa"/>
          </w:tcPr>
          <w:p w14:paraId="4FAE5EF4" w14:textId="63888E64" w:rsidR="00026581" w:rsidRDefault="00026581" w:rsidP="00026581">
            <w:pPr>
              <w:rPr>
                <w:rFonts w:ascii="Calibri" w:eastAsia="Calibri" w:hAnsi="Calibri"/>
                <w:sz w:val="22"/>
                <w:szCs w:val="22"/>
              </w:rPr>
            </w:pPr>
            <w:r>
              <w:rPr>
                <w:rFonts w:ascii="Calibri" w:eastAsia="Calibri" w:hAnsi="Calibri"/>
                <w:sz w:val="22"/>
                <w:szCs w:val="22"/>
              </w:rPr>
              <w:t>Agree with AT&amp;T</w:t>
            </w:r>
          </w:p>
        </w:tc>
      </w:tr>
      <w:tr w:rsidR="00BB1272" w14:paraId="52674997" w14:textId="77777777" w:rsidTr="002262C8">
        <w:tc>
          <w:tcPr>
            <w:tcW w:w="1696" w:type="dxa"/>
          </w:tcPr>
          <w:p w14:paraId="5EEA2593" w14:textId="16D65441" w:rsidR="00BB1272" w:rsidRPr="00BB1272" w:rsidRDefault="00BB1272" w:rsidP="00026581">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57B05D2E" w14:textId="36967373" w:rsidR="00BB1272" w:rsidRPr="00BB1272" w:rsidRDefault="00BB1272" w:rsidP="00026581">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6109" w:type="dxa"/>
          </w:tcPr>
          <w:p w14:paraId="23F39351" w14:textId="54A72240" w:rsidR="00BB1272" w:rsidRPr="00BB1272" w:rsidRDefault="00BB1272" w:rsidP="00026581">
            <w:pPr>
              <w:rPr>
                <w:rFonts w:ascii="Calibri" w:eastAsia="맑은 고딕" w:hAnsi="Calibri" w:hint="eastAsia"/>
                <w:sz w:val="22"/>
                <w:szCs w:val="22"/>
                <w:lang w:eastAsia="ko-KR"/>
              </w:rPr>
            </w:pPr>
            <w:r>
              <w:rPr>
                <w:rFonts w:ascii="Calibri" w:eastAsia="맑은 고딕" w:hAnsi="Calibri" w:hint="eastAsia"/>
                <w:sz w:val="22"/>
                <w:szCs w:val="22"/>
                <w:lang w:eastAsia="ko-KR"/>
              </w:rPr>
              <w:t>It can be discussed</w:t>
            </w:r>
            <w:r>
              <w:rPr>
                <w:rFonts w:ascii="Calibri" w:eastAsia="맑은 고딕" w:hAnsi="Calibri"/>
                <w:sz w:val="22"/>
                <w:szCs w:val="22"/>
                <w:lang w:eastAsia="ko-KR"/>
              </w:rPr>
              <w:t xml:space="preserve"> in this e-meeting.</w:t>
            </w:r>
          </w:p>
        </w:tc>
      </w:tr>
    </w:tbl>
    <w:p w14:paraId="74C65E81" w14:textId="77777777" w:rsidR="00EF0F5A" w:rsidRDefault="00EF0F5A" w:rsidP="00EF0F5A">
      <w:pPr>
        <w:rPr>
          <w:rFonts w:asciiTheme="minorHAnsi" w:hAnsiTheme="minorHAnsi" w:cstheme="minorHAnsi"/>
          <w:b/>
          <w:lang w:val="en-GB"/>
        </w:rPr>
      </w:pPr>
    </w:p>
    <w:p w14:paraId="792481E2" w14:textId="61AD6EC7"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5094B" w14:textId="4DA6933D" w:rsidR="00BD1C69" w:rsidRDefault="00BD1C69">
      <w:pPr>
        <w:rPr>
          <w:rFonts w:ascii="Arial" w:hAnsi="Arial"/>
          <w:b/>
          <w:sz w:val="32"/>
          <w:szCs w:val="20"/>
        </w:rPr>
      </w:pPr>
    </w:p>
    <w:p w14:paraId="765D0C5E" w14:textId="0E572723" w:rsidR="00EF0F5A" w:rsidRDefault="00B127FA" w:rsidP="00EF0F5A">
      <w:pPr>
        <w:rPr>
          <w:rFonts w:asciiTheme="minorHAnsi" w:hAnsiTheme="minorHAnsi" w:cstheme="minorHAnsi"/>
          <w:b/>
          <w:lang w:val="en-GB"/>
        </w:rPr>
      </w:pPr>
      <w:r>
        <w:br w:type="page"/>
      </w:r>
      <w:r w:rsidR="00EF0F5A" w:rsidRPr="00585761">
        <w:rPr>
          <w:rFonts w:asciiTheme="minorHAnsi" w:hAnsiTheme="minorHAnsi" w:cstheme="minorHAnsi"/>
          <w:b/>
          <w:sz w:val="28"/>
          <w:szCs w:val="28"/>
          <w:lang w:val="en-GB"/>
        </w:rPr>
        <w:lastRenderedPageBreak/>
        <w:t>2.</w:t>
      </w:r>
      <w:r w:rsidR="00EF0F5A">
        <w:rPr>
          <w:rFonts w:asciiTheme="minorHAnsi" w:hAnsiTheme="minorHAnsi" w:cstheme="minorHAnsi"/>
          <w:b/>
          <w:sz w:val="28"/>
          <w:szCs w:val="28"/>
          <w:lang w:val="en-GB"/>
        </w:rPr>
        <w:t>4</w:t>
      </w:r>
      <w:r w:rsidR="00EF0F5A" w:rsidRPr="00585761">
        <w:rPr>
          <w:rFonts w:asciiTheme="minorHAnsi" w:hAnsiTheme="minorHAnsi" w:cstheme="minorHAnsi"/>
          <w:b/>
          <w:sz w:val="28"/>
          <w:szCs w:val="28"/>
          <w:lang w:val="en-GB"/>
        </w:rPr>
        <w:t>.</w:t>
      </w:r>
      <w:r w:rsidR="00EF0F5A">
        <w:rPr>
          <w:rFonts w:asciiTheme="minorHAnsi" w:hAnsiTheme="minorHAnsi" w:cstheme="minorHAnsi"/>
          <w:b/>
          <w:sz w:val="28"/>
          <w:szCs w:val="28"/>
          <w:lang w:val="en-GB"/>
        </w:rPr>
        <w:t>2</w:t>
      </w:r>
      <w:r w:rsidR="00EF0F5A" w:rsidRPr="00585761">
        <w:rPr>
          <w:rFonts w:asciiTheme="minorHAnsi" w:hAnsiTheme="minorHAnsi" w:cstheme="minorHAnsi"/>
          <w:b/>
          <w:sz w:val="28"/>
          <w:szCs w:val="28"/>
          <w:lang w:val="en-GB"/>
        </w:rPr>
        <w:t xml:space="preserve"> </w:t>
      </w:r>
      <w:r w:rsidR="00EF0F5A" w:rsidRPr="00EF0F5A">
        <w:rPr>
          <w:rFonts w:asciiTheme="minorHAnsi" w:hAnsiTheme="minorHAnsi" w:cstheme="minorHAnsi"/>
          <w:b/>
          <w:i/>
          <w:iCs/>
          <w:sz w:val="28"/>
          <w:szCs w:val="28"/>
          <w:lang w:val="en-GB"/>
        </w:rPr>
        <w:t>Soft resource availability indication in paired spectrum</w:t>
      </w:r>
    </w:p>
    <w:p w14:paraId="6AB07558" w14:textId="084ADC8A"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R1-2002535</w:t>
      </w:r>
    </w:p>
    <w:p w14:paraId="011434F3" w14:textId="6B045B28" w:rsidR="00EF0F5A" w:rsidRDefault="00E7236D" w:rsidP="00EF0F5A">
      <w:pPr>
        <w:rPr>
          <w:rFonts w:asciiTheme="minorHAnsi" w:hAnsiTheme="minorHAnsi" w:cstheme="minorHAnsi"/>
          <w:bCs/>
          <w:lang w:val="en-GB"/>
        </w:rPr>
      </w:pPr>
      <w:r w:rsidRPr="00E7236D">
        <w:rPr>
          <w:rFonts w:asciiTheme="minorHAnsi" w:hAnsiTheme="minorHAnsi" w:cstheme="minorHAnsi"/>
          <w:b/>
          <w:lang w:val="en-GB"/>
        </w:rPr>
        <w:t>Background:</w:t>
      </w:r>
      <w:r w:rsidRPr="00E7236D">
        <w:rPr>
          <w:rFonts w:asciiTheme="minorHAnsi" w:hAnsiTheme="minorHAnsi" w:cstheme="minorHAnsi"/>
          <w:bCs/>
          <w:lang w:val="en-GB"/>
        </w:rPr>
        <w:t xml:space="preserve"> </w:t>
      </w:r>
      <w:r w:rsidR="00EF0F5A" w:rsidRPr="00E7236D">
        <w:rPr>
          <w:rFonts w:asciiTheme="minorHAnsi" w:hAnsiTheme="minorHAnsi" w:cstheme="minorHAnsi" w:hint="eastAsia"/>
          <w:bCs/>
          <w:lang w:val="en-GB"/>
        </w:rPr>
        <w:t>Another issue</w:t>
      </w:r>
      <w:r w:rsidR="00EF0F5A" w:rsidRPr="00E7236D">
        <w:rPr>
          <w:rFonts w:asciiTheme="minorHAnsi" w:hAnsiTheme="minorHAnsi" w:cstheme="minorHAnsi"/>
          <w:bCs/>
          <w:lang w:val="en-GB"/>
        </w:rPr>
        <w:t xml:space="preserve"> in paired spectrum</w:t>
      </w:r>
      <w:r w:rsidR="00EF0F5A" w:rsidRPr="00E7236D">
        <w:rPr>
          <w:rFonts w:asciiTheme="minorHAnsi" w:hAnsiTheme="minorHAnsi" w:cstheme="minorHAnsi" w:hint="eastAsia"/>
          <w:bCs/>
          <w:lang w:val="en-GB"/>
        </w:rPr>
        <w:t xml:space="preserve"> is the </w:t>
      </w:r>
      <w:r w:rsidR="00EF0F5A" w:rsidRPr="00E7236D">
        <w:rPr>
          <w:rFonts w:asciiTheme="minorHAnsi" w:hAnsiTheme="minorHAnsi" w:cstheme="minorHAnsi"/>
          <w:bCs/>
          <w:lang w:val="en-GB"/>
        </w:rPr>
        <w:t>interpretation of</w:t>
      </w:r>
      <w:r w:rsidR="00EF0F5A" w:rsidRPr="00E7236D">
        <w:rPr>
          <w:rFonts w:asciiTheme="minorHAnsi" w:hAnsiTheme="minorHAnsi" w:cstheme="minorHAnsi" w:hint="eastAsia"/>
          <w:bCs/>
          <w:lang w:val="en-GB"/>
        </w:rPr>
        <w:t xml:space="preserve"> AI-DCI</w:t>
      </w:r>
      <w:r w:rsidR="00EF0F5A" w:rsidRPr="00E7236D">
        <w:rPr>
          <w:rFonts w:asciiTheme="minorHAnsi" w:hAnsiTheme="minorHAnsi" w:cstheme="minorHAnsi"/>
          <w:bCs/>
          <w:lang w:val="en-GB"/>
        </w:rPr>
        <w:t>. The AI-DCI consists of 8 states to indicate the availability of D/U/F soft resources. However, in paired spectrum, there is no flexible resource. So, there may be some ambiguity if the current AI-DCI is employed in order to dynamically indicate the availability of soft resource for uplink and downlink.</w:t>
      </w:r>
    </w:p>
    <w:p w14:paraId="7F40050C" w14:textId="77777777" w:rsidR="00EF0F5A" w:rsidRDefault="00EF0F5A" w:rsidP="00EF0F5A">
      <w:pPr>
        <w:rPr>
          <w:rFonts w:asciiTheme="minorHAnsi" w:hAnsiTheme="minorHAnsi" w:cstheme="minorHAnsi"/>
          <w:b/>
          <w:lang w:val="en-GB"/>
        </w:rPr>
      </w:pPr>
    </w:p>
    <w:p w14:paraId="560E9518"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4C910FCA" w14:textId="77777777" w:rsidTr="002262C8">
        <w:tc>
          <w:tcPr>
            <w:tcW w:w="1696" w:type="dxa"/>
          </w:tcPr>
          <w:p w14:paraId="087AA924" w14:textId="561D03B2"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0B5016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4B78160" w14:textId="4B049E0B" w:rsidR="00BE197A" w:rsidRPr="00585761" w:rsidRDefault="00BE197A" w:rsidP="00BE197A">
            <w:pPr>
              <w:rPr>
                <w:b/>
                <w:bCs/>
              </w:rPr>
            </w:pPr>
            <w:r>
              <w:rPr>
                <w:rFonts w:ascii="Calibri" w:eastAsia="Calibri" w:hAnsi="Calibri"/>
                <w:b/>
                <w:bCs/>
                <w:sz w:val="22"/>
                <w:szCs w:val="22"/>
              </w:rPr>
              <w:t>(Yes/No/Not sure)</w:t>
            </w:r>
          </w:p>
        </w:tc>
        <w:tc>
          <w:tcPr>
            <w:tcW w:w="6109" w:type="dxa"/>
          </w:tcPr>
          <w:p w14:paraId="6EEB1BA9" w14:textId="4A48B51E"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FAFB2BA" w14:textId="77777777" w:rsidTr="002262C8">
        <w:tc>
          <w:tcPr>
            <w:tcW w:w="1696" w:type="dxa"/>
          </w:tcPr>
          <w:p w14:paraId="741799B6" w14:textId="345F853E"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4870D972" w14:textId="1969711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No</w:t>
            </w:r>
          </w:p>
        </w:tc>
        <w:tc>
          <w:tcPr>
            <w:tcW w:w="6109" w:type="dxa"/>
          </w:tcPr>
          <w:p w14:paraId="2C52CDD8" w14:textId="605C15D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This does not appear to be an essential correction, but an optimization for paired spectrum</w:t>
            </w:r>
          </w:p>
        </w:tc>
      </w:tr>
      <w:tr w:rsidR="00BE235E" w14:paraId="4B01C417" w14:textId="77777777" w:rsidTr="002262C8">
        <w:tc>
          <w:tcPr>
            <w:tcW w:w="1696" w:type="dxa"/>
          </w:tcPr>
          <w:p w14:paraId="152421C7" w14:textId="485A5FD4"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Huawei</w:t>
            </w:r>
          </w:p>
        </w:tc>
        <w:tc>
          <w:tcPr>
            <w:tcW w:w="2265" w:type="dxa"/>
          </w:tcPr>
          <w:p w14:paraId="263094E7" w14:textId="06838D72"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N</w:t>
            </w:r>
            <w:r w:rsidR="00F0410C">
              <w:rPr>
                <w:rFonts w:asciiTheme="minorHAnsi" w:hAnsiTheme="minorHAnsi" w:cstheme="minorHAnsi" w:hint="eastAsia"/>
                <w:bCs/>
                <w:lang w:val="en-GB"/>
              </w:rPr>
              <w:t>o</w:t>
            </w:r>
          </w:p>
        </w:tc>
        <w:tc>
          <w:tcPr>
            <w:tcW w:w="6109" w:type="dxa"/>
          </w:tcPr>
          <w:p w14:paraId="30CD31F1" w14:textId="38426245" w:rsidR="00BE235E" w:rsidRPr="00BE235E" w:rsidRDefault="00F0410C"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The 8 states</w:t>
            </w:r>
            <w:r w:rsidR="008A629B">
              <w:rPr>
                <w:rFonts w:asciiTheme="minorHAnsi" w:eastAsiaTheme="minorEastAsia" w:hAnsiTheme="minorHAnsi" w:cstheme="minorHAnsi"/>
                <w:bCs/>
                <w:lang w:val="en-GB" w:eastAsia="zh-CN"/>
              </w:rPr>
              <w:t xml:space="preserve"> defined</w:t>
            </w:r>
            <w:r>
              <w:rPr>
                <w:rFonts w:asciiTheme="minorHAnsi" w:eastAsiaTheme="minorEastAsia" w:hAnsiTheme="minorHAnsi" w:cstheme="minorHAnsi"/>
                <w:bCs/>
                <w:lang w:val="en-GB" w:eastAsia="zh-CN"/>
              </w:rPr>
              <w:t xml:space="preserve"> in current specification are sufficient since even in TDD there will be slots without flexible symbols. One can reply on the curren</w:t>
            </w:r>
            <w:r w:rsidR="008A629B">
              <w:rPr>
                <w:rFonts w:asciiTheme="minorHAnsi" w:eastAsiaTheme="minorEastAsia" w:hAnsiTheme="minorHAnsi" w:cstheme="minorHAnsi"/>
                <w:bCs/>
                <w:lang w:val="en-GB" w:eastAsia="zh-CN"/>
              </w:rPr>
              <w:t>t 8 states by not indicating the availability for flexible symbols such as “1”, “2”, ”3”.</w:t>
            </w:r>
          </w:p>
        </w:tc>
      </w:tr>
      <w:tr w:rsidR="000B29C2" w14:paraId="0FE99BF8" w14:textId="77777777" w:rsidTr="002262C8">
        <w:tc>
          <w:tcPr>
            <w:tcW w:w="1696" w:type="dxa"/>
          </w:tcPr>
          <w:p w14:paraId="2A4A6527" w14:textId="74213391"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Qualcomm</w:t>
            </w:r>
          </w:p>
        </w:tc>
        <w:tc>
          <w:tcPr>
            <w:tcW w:w="2265" w:type="dxa"/>
          </w:tcPr>
          <w:p w14:paraId="031749FC" w14:textId="4C7FBF18"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Not sure</w:t>
            </w:r>
          </w:p>
        </w:tc>
        <w:tc>
          <w:tcPr>
            <w:tcW w:w="6109" w:type="dxa"/>
          </w:tcPr>
          <w:p w14:paraId="2F7E0098" w14:textId="07FC19E4" w:rsidR="000B29C2" w:rsidRDefault="000B29C2"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Whether the AI DCI format 2_5 requires some adjustments for paired spectrum depends on the outcome of the discussion on 2.4.1. </w:t>
            </w:r>
          </w:p>
        </w:tc>
      </w:tr>
      <w:tr w:rsidR="00026581" w14:paraId="7920B33F" w14:textId="77777777" w:rsidTr="002262C8">
        <w:tc>
          <w:tcPr>
            <w:tcW w:w="1696" w:type="dxa"/>
          </w:tcPr>
          <w:p w14:paraId="7DAA8E94" w14:textId="1F3A2775"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ZTE, Sanechips</w:t>
            </w:r>
          </w:p>
        </w:tc>
        <w:tc>
          <w:tcPr>
            <w:tcW w:w="2265" w:type="dxa"/>
          </w:tcPr>
          <w:p w14:paraId="132CB702" w14:textId="68C38981"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No</w:t>
            </w:r>
          </w:p>
        </w:tc>
        <w:tc>
          <w:tcPr>
            <w:tcW w:w="6109" w:type="dxa"/>
          </w:tcPr>
          <w:p w14:paraId="3575894A" w14:textId="33DF850D" w:rsidR="00026581" w:rsidRDefault="00026581" w:rsidP="00026581">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We share similar view with Huawei. As far as this issue is concerned, a slot in paired spectrum is of no difference from a slot w/o any soft F symbol in unpaired spectrum. If the latter one has no mentioned problem (this was confirmed in earlier RAN1 discussion), the former one also does not have. </w:t>
            </w:r>
          </w:p>
        </w:tc>
      </w:tr>
      <w:tr w:rsidR="00F53D7A" w14:paraId="11F0041A" w14:textId="77777777" w:rsidTr="002262C8">
        <w:tc>
          <w:tcPr>
            <w:tcW w:w="1696" w:type="dxa"/>
          </w:tcPr>
          <w:p w14:paraId="62EAAF62" w14:textId="1A91FD7E" w:rsidR="00F53D7A" w:rsidRPr="00F53D7A" w:rsidRDefault="00F53D7A" w:rsidP="00026581">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605723A2" w14:textId="568B676F" w:rsidR="00F53D7A" w:rsidRPr="00F53D7A" w:rsidRDefault="00F53D7A" w:rsidP="00026581">
            <w:pPr>
              <w:rPr>
                <w:rFonts w:ascii="Calibri" w:eastAsia="맑은 고딕" w:hAnsi="Calibri" w:hint="eastAsia"/>
                <w:sz w:val="22"/>
                <w:szCs w:val="22"/>
                <w:lang w:eastAsia="ko-KR"/>
              </w:rPr>
            </w:pPr>
            <w:r>
              <w:rPr>
                <w:rFonts w:ascii="Calibri" w:eastAsia="맑은 고딕" w:hAnsi="Calibri" w:hint="eastAsia"/>
                <w:sz w:val="22"/>
                <w:szCs w:val="22"/>
                <w:lang w:eastAsia="ko-KR"/>
              </w:rPr>
              <w:t>Not sure</w:t>
            </w:r>
          </w:p>
        </w:tc>
        <w:tc>
          <w:tcPr>
            <w:tcW w:w="6109" w:type="dxa"/>
          </w:tcPr>
          <w:p w14:paraId="09FEE050" w14:textId="115F7DEE" w:rsidR="00F53D7A" w:rsidRDefault="006B37B5" w:rsidP="00C248A1">
            <w:pPr>
              <w:rPr>
                <w:rFonts w:asciiTheme="minorHAnsi" w:eastAsiaTheme="minorEastAsia" w:hAnsiTheme="minorHAnsi" w:cstheme="minorHAnsi"/>
                <w:bCs/>
                <w:lang w:val="en-GB" w:eastAsia="zh-CN"/>
              </w:rPr>
            </w:pPr>
            <w:r>
              <w:rPr>
                <w:rFonts w:asciiTheme="minorHAnsi" w:hAnsiTheme="minorHAnsi" w:cstheme="minorHAnsi"/>
                <w:bCs/>
                <w:lang w:val="en-GB"/>
              </w:rPr>
              <w:t xml:space="preserve">It seems true that </w:t>
            </w:r>
            <w:r w:rsidRPr="00E7236D">
              <w:rPr>
                <w:rFonts w:asciiTheme="minorHAnsi" w:hAnsiTheme="minorHAnsi" w:cstheme="minorHAnsi"/>
                <w:bCs/>
                <w:lang w:val="en-GB"/>
              </w:rPr>
              <w:t>in paired spectrum, there is no flexible resource.</w:t>
            </w:r>
            <w:r>
              <w:rPr>
                <w:rFonts w:asciiTheme="minorHAnsi" w:hAnsiTheme="minorHAnsi" w:cstheme="minorHAnsi"/>
                <w:bCs/>
                <w:lang w:val="en-GB"/>
              </w:rPr>
              <w:t xml:space="preserve"> But, we </w:t>
            </w:r>
            <w:r w:rsidR="00C248A1">
              <w:rPr>
                <w:rFonts w:asciiTheme="minorHAnsi" w:hAnsiTheme="minorHAnsi" w:cstheme="minorHAnsi"/>
                <w:bCs/>
                <w:lang w:val="en-GB"/>
              </w:rPr>
              <w:t xml:space="preserve">don’t </w:t>
            </w:r>
            <w:r>
              <w:rPr>
                <w:rFonts w:asciiTheme="minorHAnsi" w:hAnsiTheme="minorHAnsi" w:cstheme="minorHAnsi"/>
                <w:bCs/>
                <w:lang w:val="en-GB"/>
              </w:rPr>
              <w:t xml:space="preserve">see issues by utilizing the current </w:t>
            </w:r>
            <w:r w:rsidRPr="00E7236D">
              <w:rPr>
                <w:rFonts w:asciiTheme="minorHAnsi" w:hAnsiTheme="minorHAnsi" w:cstheme="minorHAnsi"/>
                <w:bCs/>
                <w:lang w:val="en-GB"/>
              </w:rPr>
              <w:t>AI-DCI</w:t>
            </w:r>
            <w:r>
              <w:rPr>
                <w:rFonts w:asciiTheme="minorHAnsi" w:hAnsiTheme="minorHAnsi" w:cstheme="minorHAnsi"/>
                <w:bCs/>
                <w:lang w:val="en-GB"/>
              </w:rPr>
              <w:t>.</w:t>
            </w:r>
          </w:p>
        </w:tc>
      </w:tr>
    </w:tbl>
    <w:p w14:paraId="126892EB" w14:textId="77777777" w:rsidR="00EF0F5A" w:rsidRDefault="00EF0F5A" w:rsidP="00EF0F5A">
      <w:pPr>
        <w:rPr>
          <w:rFonts w:asciiTheme="minorHAnsi" w:hAnsiTheme="minorHAnsi" w:cstheme="minorHAnsi"/>
          <w:b/>
          <w:lang w:val="en-GB"/>
        </w:rPr>
      </w:pPr>
    </w:p>
    <w:p w14:paraId="50D8F2E6" w14:textId="6CA72C81"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2E68ED95" w14:textId="2DEB3DDE" w:rsidR="00B127FA" w:rsidRDefault="00B127FA">
      <w:pPr>
        <w:rPr>
          <w:rFonts w:ascii="Arial" w:hAnsi="Arial"/>
          <w:b/>
          <w:sz w:val="32"/>
          <w:szCs w:val="20"/>
        </w:rPr>
      </w:pPr>
    </w:p>
    <w:p w14:paraId="77C29046" w14:textId="77777777" w:rsidR="00450639" w:rsidRDefault="00450639">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673C93F" w14:textId="75D13DF4" w:rsidR="00450639" w:rsidRPr="00450639" w:rsidRDefault="00450639" w:rsidP="00450639">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E7236D">
        <w:rPr>
          <w:rFonts w:asciiTheme="minorHAnsi" w:hAnsiTheme="minorHAnsi" w:cstheme="minorHAnsi"/>
          <w:b/>
          <w:sz w:val="28"/>
          <w:szCs w:val="28"/>
          <w:lang w:val="en-GB"/>
        </w:rPr>
        <w:t>IAB Node Multiplexing Capability</w:t>
      </w:r>
    </w:p>
    <w:p w14:paraId="22FC1F79" w14:textId="478AC86B" w:rsidR="00450639" w:rsidRPr="00E235C5" w:rsidRDefault="00450639" w:rsidP="0045063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147151">
        <w:rPr>
          <w:rFonts w:asciiTheme="minorHAnsi" w:hAnsiTheme="minorHAnsi" w:cstheme="minorHAnsi"/>
          <w:bCs/>
          <w:lang w:val="en-GB"/>
        </w:rPr>
        <w:t>, R1-2002650</w:t>
      </w:r>
    </w:p>
    <w:p w14:paraId="29E008A7" w14:textId="51099C82" w:rsidR="0037326C" w:rsidRDefault="00E7236D" w:rsidP="0045063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w:t>
      </w:r>
      <w:r w:rsidR="00450639" w:rsidRPr="00E7236D">
        <w:rPr>
          <w:rFonts w:asciiTheme="minorHAnsi" w:hAnsiTheme="minorHAnsi" w:cstheme="minorHAnsi"/>
          <w:bCs/>
          <w:lang w:val="en-GB"/>
        </w:rPr>
        <w:t>n RAN1#98bis and RAN1#99 meetings, followings are agreed and captures in the chairman’s note as:</w:t>
      </w:r>
    </w:p>
    <w:p w14:paraId="5D9FAC4E" w14:textId="77777777" w:rsidR="0037326C" w:rsidRPr="00C52FE2" w:rsidRDefault="0037326C" w:rsidP="0037326C">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51A2190E" w14:textId="77777777" w:rsidR="0037326C" w:rsidRPr="00C52FE2" w:rsidRDefault="0037326C" w:rsidP="0037326C">
      <w:pPr>
        <w:spacing w:after="180"/>
        <w:rPr>
          <w:rFonts w:eastAsia="Yu Mincho"/>
          <w:sz w:val="20"/>
        </w:rPr>
      </w:pPr>
      <w:r w:rsidRPr="00C52FE2">
        <w:rPr>
          <w:rFonts w:eastAsia="Yu Mincho"/>
          <w:sz w:val="20"/>
        </w:rPr>
        <w:t>For paired spectrum, the H/S/NA DU resource configuration framework is extended with the following:</w:t>
      </w:r>
    </w:p>
    <w:p w14:paraId="52A81D6E" w14:textId="77777777" w:rsidR="0037326C" w:rsidRPr="00C52FE2" w:rsidRDefault="0037326C" w:rsidP="0037326C">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78C5F6F2" w14:textId="75607593" w:rsidR="0037326C" w:rsidRDefault="0037326C" w:rsidP="0037326C">
      <w:pPr>
        <w:rPr>
          <w:rFonts w:eastAsia="Yu Mincho"/>
          <w:sz w:val="20"/>
        </w:rPr>
      </w:pPr>
      <w:r w:rsidRPr="00C52FE2">
        <w:rPr>
          <w:rFonts w:eastAsia="Yu Mincho"/>
          <w:sz w:val="20"/>
        </w:rPr>
        <w:t>FFS: whether the definition of half-duplex operation has to be modified for IAB nodes operating in paired spectrum</w:t>
      </w:r>
    </w:p>
    <w:p w14:paraId="108B756D" w14:textId="77777777" w:rsidR="0037326C" w:rsidRPr="0037326C" w:rsidRDefault="0037326C" w:rsidP="0037326C">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50639" w:rsidRPr="00C52FE2" w14:paraId="734B8846" w14:textId="77777777" w:rsidTr="002262C8">
        <w:tc>
          <w:tcPr>
            <w:tcW w:w="9837" w:type="dxa"/>
            <w:shd w:val="clear" w:color="auto" w:fill="auto"/>
          </w:tcPr>
          <w:p w14:paraId="6511A42B" w14:textId="77777777" w:rsidR="00450639" w:rsidRPr="00C52FE2" w:rsidRDefault="00450639" w:rsidP="002262C8">
            <w:pPr>
              <w:spacing w:before="180"/>
              <w:rPr>
                <w:b/>
                <w:bCs/>
                <w:sz w:val="20"/>
              </w:rPr>
            </w:pPr>
            <w:r w:rsidRPr="00C52FE2">
              <w:rPr>
                <w:sz w:val="20"/>
                <w:highlight w:val="green"/>
              </w:rPr>
              <w:t>Agreements</w:t>
            </w:r>
            <w:r w:rsidRPr="00C52FE2">
              <w:rPr>
                <w:b/>
                <w:bCs/>
                <w:sz w:val="20"/>
              </w:rPr>
              <w:t>:</w:t>
            </w:r>
          </w:p>
          <w:p w14:paraId="70D3F6E9" w14:textId="77777777" w:rsidR="00450639" w:rsidRPr="00C52FE2" w:rsidRDefault="00450639" w:rsidP="002262C8">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0EB44973" w14:textId="77777777" w:rsidR="00450639" w:rsidRPr="00C52FE2" w:rsidRDefault="00450639" w:rsidP="002262C8">
            <w:pPr>
              <w:pStyle w:val="maintext"/>
              <w:numPr>
                <w:ilvl w:val="0"/>
                <w:numId w:val="43"/>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35727D8C" w14:textId="77777777" w:rsidR="00450639" w:rsidRPr="00C52FE2" w:rsidRDefault="00450639" w:rsidP="002262C8">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04472341" w14:textId="77777777" w:rsidR="00450639" w:rsidRPr="00C52FE2" w:rsidRDefault="00450639" w:rsidP="002262C8">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38201B5A"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MT-TX/DU-TX</w:t>
            </w:r>
          </w:p>
          <w:p w14:paraId="42C6220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4613B085"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MT-RX/DU-TX</w:t>
            </w:r>
          </w:p>
          <w:p w14:paraId="7C67B99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MT-RX/DU-RX</w:t>
            </w:r>
          </w:p>
          <w:p w14:paraId="324745BF" w14:textId="77777777" w:rsidR="00450639" w:rsidRPr="00C52FE2" w:rsidRDefault="00450639" w:rsidP="002262C8">
            <w:pPr>
              <w:tabs>
                <w:tab w:val="left" w:pos="0"/>
              </w:tabs>
              <w:ind w:left="1701" w:hanging="1701"/>
              <w:rPr>
                <w:rFonts w:eastAsia="SimSun"/>
                <w:sz w:val="20"/>
              </w:rPr>
            </w:pPr>
            <w:r w:rsidRPr="00C52FE2">
              <w:rPr>
                <w:sz w:val="20"/>
              </w:rPr>
              <w:t>Note: This agreement does not require any additional specification impact in RAN1 in Rel-16, i.e. in Rel-16 the behaviour of the IAB node is only defined for TDM cases. The behaviour for no-TDM is left to IAB-node/network implementation in Rel-16.</w:t>
            </w:r>
          </w:p>
        </w:tc>
      </w:tr>
    </w:tbl>
    <w:p w14:paraId="33B7E81B" w14:textId="77777777" w:rsidR="00450639" w:rsidRDefault="00450639" w:rsidP="00450639">
      <w:pPr>
        <w:rPr>
          <w:lang w:eastAsia="ko-KR"/>
        </w:rPr>
      </w:pPr>
    </w:p>
    <w:p w14:paraId="6AB21975" w14:textId="0CF9FD05" w:rsidR="00450639" w:rsidRPr="00E7236D" w:rsidRDefault="00450639" w:rsidP="0045063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behavior in Rel-16 IAB. However, in case of paired spectrum, uplink and downlink are separated in frequency domain and </w:t>
      </w:r>
      <w:r w:rsidR="0037326C">
        <w:rPr>
          <w:rFonts w:asciiTheme="minorHAnsi" w:hAnsiTheme="minorHAnsi" w:cstheme="minorHAnsi"/>
          <w:bCs/>
          <w:lang w:val="en-GB"/>
        </w:rPr>
        <w:t>therefore there was a FFS point related to the half-duplex operation definition for IAB nodes.</w:t>
      </w:r>
      <w:r w:rsidRPr="00E7236D">
        <w:rPr>
          <w:rFonts w:asciiTheme="minorHAnsi" w:hAnsiTheme="minorHAnsi" w:cstheme="minorHAnsi"/>
          <w:bCs/>
          <w:lang w:val="en-GB"/>
        </w:rPr>
        <w:t xml:space="preserve"> </w:t>
      </w:r>
    </w:p>
    <w:p w14:paraId="35BE7EA3" w14:textId="77777777" w:rsidR="00450639" w:rsidRDefault="00450639" w:rsidP="00450639">
      <w:pPr>
        <w:rPr>
          <w:rFonts w:asciiTheme="minorHAnsi" w:hAnsiTheme="minorHAnsi" w:cstheme="minorHAnsi"/>
          <w:b/>
          <w:lang w:val="en-GB"/>
        </w:rPr>
      </w:pPr>
    </w:p>
    <w:p w14:paraId="680D0077" w14:textId="77777777" w:rsidR="00450639" w:rsidRPr="00585761" w:rsidRDefault="00450639" w:rsidP="0045063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439"/>
        <w:gridCol w:w="5935"/>
      </w:tblGrid>
      <w:tr w:rsidR="00BE197A" w:rsidRPr="008040F5" w14:paraId="726F4322" w14:textId="77777777" w:rsidTr="00450639">
        <w:tc>
          <w:tcPr>
            <w:tcW w:w="1696" w:type="dxa"/>
          </w:tcPr>
          <w:p w14:paraId="55D7B97C" w14:textId="1FE5C586" w:rsidR="00BE197A" w:rsidRPr="00585761" w:rsidRDefault="00BE197A" w:rsidP="00BE197A">
            <w:pPr>
              <w:rPr>
                <w:b/>
                <w:bCs/>
              </w:rPr>
            </w:pPr>
            <w:r w:rsidRPr="00EF0778">
              <w:rPr>
                <w:rFonts w:ascii="Calibri" w:eastAsia="Calibri" w:hAnsi="Calibri"/>
                <w:b/>
                <w:bCs/>
                <w:sz w:val="22"/>
                <w:szCs w:val="22"/>
              </w:rPr>
              <w:t xml:space="preserve">Company </w:t>
            </w:r>
          </w:p>
        </w:tc>
        <w:tc>
          <w:tcPr>
            <w:tcW w:w="2439" w:type="dxa"/>
          </w:tcPr>
          <w:p w14:paraId="6A67871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4FF3A53C" w14:textId="20B753DB" w:rsidR="00BE197A" w:rsidRPr="00585761" w:rsidRDefault="00BE197A" w:rsidP="00BE197A">
            <w:pPr>
              <w:rPr>
                <w:b/>
                <w:bCs/>
              </w:rPr>
            </w:pPr>
            <w:r>
              <w:rPr>
                <w:rFonts w:ascii="Calibri" w:eastAsia="Calibri" w:hAnsi="Calibri"/>
                <w:b/>
                <w:bCs/>
                <w:sz w:val="22"/>
                <w:szCs w:val="22"/>
              </w:rPr>
              <w:t>(Yes/No/Not sure)</w:t>
            </w:r>
          </w:p>
        </w:tc>
        <w:tc>
          <w:tcPr>
            <w:tcW w:w="5935" w:type="dxa"/>
          </w:tcPr>
          <w:p w14:paraId="5116CACF" w14:textId="3327B473"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CB7CFF9" w14:textId="77777777" w:rsidTr="00450639">
        <w:tc>
          <w:tcPr>
            <w:tcW w:w="1696" w:type="dxa"/>
          </w:tcPr>
          <w:p w14:paraId="316F6AAF" w14:textId="52E14CD3"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 </w:t>
            </w:r>
            <w:r>
              <w:rPr>
                <w:rFonts w:ascii="Calibri" w:eastAsia="Calibri" w:hAnsi="Calibri"/>
                <w:sz w:val="22"/>
                <w:szCs w:val="22"/>
              </w:rPr>
              <w:t>AT&amp;T</w:t>
            </w:r>
          </w:p>
        </w:tc>
        <w:tc>
          <w:tcPr>
            <w:tcW w:w="2439" w:type="dxa"/>
          </w:tcPr>
          <w:p w14:paraId="1A5C94D1" w14:textId="0FA299BD" w:rsidR="00EF0778" w:rsidRPr="00147151" w:rsidRDefault="00147151" w:rsidP="00EF0778">
            <w:pPr>
              <w:rPr>
                <w:rFonts w:ascii="Calibri" w:eastAsia="Calibri" w:hAnsi="Calibri"/>
                <w:sz w:val="22"/>
                <w:szCs w:val="22"/>
              </w:rPr>
            </w:pPr>
            <w:r w:rsidRPr="00147151">
              <w:rPr>
                <w:rFonts w:ascii="Calibri" w:eastAsia="Calibri" w:hAnsi="Calibri"/>
                <w:sz w:val="22"/>
                <w:szCs w:val="22"/>
              </w:rPr>
              <w:t>Yes</w:t>
            </w:r>
          </w:p>
        </w:tc>
        <w:tc>
          <w:tcPr>
            <w:tcW w:w="5935" w:type="dxa"/>
          </w:tcPr>
          <w:p w14:paraId="6CC5D636" w14:textId="453DCA32"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It should be discussed if the FFS regarding the definition of half-duplex operation for IAB nodes can be removed in the case of paired spectrum and if not what is the specification impact </w:t>
            </w:r>
          </w:p>
        </w:tc>
      </w:tr>
      <w:tr w:rsidR="00BE235E" w14:paraId="5FAFD69C" w14:textId="77777777" w:rsidTr="00450639">
        <w:tc>
          <w:tcPr>
            <w:tcW w:w="1696" w:type="dxa"/>
          </w:tcPr>
          <w:p w14:paraId="7904A426" w14:textId="16937AF3" w:rsidR="00BE235E" w:rsidRPr="00147151" w:rsidRDefault="00BE235E" w:rsidP="00EF0778">
            <w:pPr>
              <w:rPr>
                <w:rFonts w:ascii="Calibri" w:eastAsia="Calibri" w:hAnsi="Calibri"/>
                <w:sz w:val="22"/>
                <w:szCs w:val="22"/>
              </w:rPr>
            </w:pPr>
            <w:r>
              <w:rPr>
                <w:rFonts w:asciiTheme="minorEastAsia" w:eastAsiaTheme="minorEastAsia" w:hAnsiTheme="minorEastAsia"/>
                <w:sz w:val="22"/>
                <w:szCs w:val="22"/>
                <w:lang w:eastAsia="zh-CN"/>
              </w:rPr>
              <w:t>Huawei</w:t>
            </w:r>
          </w:p>
        </w:tc>
        <w:tc>
          <w:tcPr>
            <w:tcW w:w="2439" w:type="dxa"/>
          </w:tcPr>
          <w:p w14:paraId="421A49D4" w14:textId="5B798797" w:rsidR="00BE235E" w:rsidRPr="00BE235E" w:rsidRDefault="00BE235E" w:rsidP="00EF0778">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058F25F5" w14:textId="6A954DB9" w:rsidR="00BE235E" w:rsidRPr="00BE235E" w:rsidRDefault="00BE235E" w:rsidP="00CE43D4">
            <w:pPr>
              <w:rPr>
                <w:rFonts w:ascii="Calibri" w:eastAsiaTheme="minorEastAsia" w:hAnsi="Calibri"/>
                <w:sz w:val="22"/>
                <w:szCs w:val="22"/>
                <w:lang w:eastAsia="zh-CN"/>
              </w:rPr>
            </w:pPr>
            <w:r>
              <w:rPr>
                <w:rFonts w:ascii="Calibri" w:eastAsiaTheme="minorEastAsia" w:hAnsi="Calibri"/>
                <w:sz w:val="22"/>
                <w:szCs w:val="22"/>
                <w:lang w:eastAsia="zh-CN"/>
              </w:rPr>
              <w:t>The specification impact is unclear</w:t>
            </w:r>
            <w:r w:rsidR="00EB35F2">
              <w:rPr>
                <w:rFonts w:ascii="Calibri" w:eastAsiaTheme="minorEastAsia" w:hAnsi="Calibri"/>
                <w:sz w:val="22"/>
                <w:szCs w:val="22"/>
                <w:lang w:eastAsia="zh-CN"/>
              </w:rPr>
              <w:t>.</w:t>
            </w:r>
            <w:r w:rsidR="00477242">
              <w:rPr>
                <w:rFonts w:ascii="Calibri" w:eastAsiaTheme="minorEastAsia" w:hAnsi="Calibri"/>
                <w:sz w:val="22"/>
                <w:szCs w:val="22"/>
                <w:lang w:eastAsia="zh-CN"/>
              </w:rPr>
              <w:t xml:space="preserve"> Maybe this can be discussed in the IAB feature agenda.</w:t>
            </w:r>
          </w:p>
        </w:tc>
      </w:tr>
      <w:tr w:rsidR="00E34004" w14:paraId="327333A9" w14:textId="77777777" w:rsidTr="00450639">
        <w:tc>
          <w:tcPr>
            <w:tcW w:w="1696" w:type="dxa"/>
          </w:tcPr>
          <w:p w14:paraId="4A6CA8ED" w14:textId="1FB18119" w:rsidR="00E34004" w:rsidRDefault="00E34004" w:rsidP="00EF077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Qualcomm</w:t>
            </w:r>
          </w:p>
        </w:tc>
        <w:tc>
          <w:tcPr>
            <w:tcW w:w="2439" w:type="dxa"/>
          </w:tcPr>
          <w:p w14:paraId="45996FFA" w14:textId="0BB5368B" w:rsidR="00E34004" w:rsidRDefault="00E34004"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69A888" w14:textId="4333F1D1" w:rsidR="00E34004" w:rsidRDefault="00E34004" w:rsidP="00CE43D4">
            <w:pPr>
              <w:rPr>
                <w:rFonts w:ascii="Calibri" w:eastAsiaTheme="minorEastAsia" w:hAnsi="Calibri"/>
                <w:sz w:val="22"/>
                <w:szCs w:val="22"/>
                <w:lang w:eastAsia="zh-CN"/>
              </w:rPr>
            </w:pPr>
            <w:r>
              <w:rPr>
                <w:rFonts w:ascii="Calibri" w:eastAsiaTheme="minorEastAsia" w:hAnsi="Calibri"/>
                <w:sz w:val="22"/>
                <w:szCs w:val="22"/>
                <w:lang w:eastAsia="zh-CN"/>
              </w:rPr>
              <w:t xml:space="preserve">It should be discussed whether the definition of half-duplex constraint for an IAB-node (which should really be about half-duplex operation between the MT and the DU and different </w:t>
            </w:r>
            <w:r>
              <w:rPr>
                <w:rFonts w:ascii="Calibri" w:eastAsiaTheme="minorEastAsia" w:hAnsi="Calibri"/>
                <w:sz w:val="22"/>
                <w:szCs w:val="22"/>
                <w:lang w:eastAsia="zh-CN"/>
              </w:rPr>
              <w:lastRenderedPageBreak/>
              <w:t>from duplexing capability on a given link) needs any adjustment for paired spectrum operation at the link level.</w:t>
            </w:r>
          </w:p>
        </w:tc>
      </w:tr>
      <w:tr w:rsidR="00684D0E" w14:paraId="5142A754" w14:textId="77777777" w:rsidTr="00450639">
        <w:tc>
          <w:tcPr>
            <w:tcW w:w="1696" w:type="dxa"/>
          </w:tcPr>
          <w:p w14:paraId="18665B20" w14:textId="5E86F078" w:rsidR="00684D0E" w:rsidRDefault="00684D0E" w:rsidP="00684D0E">
            <w:pPr>
              <w:rPr>
                <w:rFonts w:asciiTheme="minorEastAsia" w:eastAsiaTheme="minorEastAsia" w:hAnsiTheme="minorEastAsia"/>
                <w:sz w:val="22"/>
                <w:szCs w:val="22"/>
                <w:lang w:eastAsia="zh-CN"/>
              </w:rPr>
            </w:pPr>
            <w:r>
              <w:rPr>
                <w:rFonts w:ascii="Calibri" w:eastAsiaTheme="minorEastAsia" w:hAnsi="Calibri"/>
                <w:sz w:val="22"/>
                <w:szCs w:val="22"/>
                <w:lang w:eastAsia="zh-CN"/>
              </w:rPr>
              <w:lastRenderedPageBreak/>
              <w:t>ZTE, Sanechips</w:t>
            </w:r>
          </w:p>
        </w:tc>
        <w:tc>
          <w:tcPr>
            <w:tcW w:w="2439" w:type="dxa"/>
          </w:tcPr>
          <w:p w14:paraId="29C2A2A2" w14:textId="79C40761"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E5E9AF" w14:textId="60A3C944"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 xml:space="preserve">The FFS seems to be a part of WA. So the “Yes” on issue 2.4.1 also means “Yes” on issue 2.4.3. </w:t>
            </w:r>
          </w:p>
        </w:tc>
      </w:tr>
      <w:tr w:rsidR="005970F0" w14:paraId="16D2F55A" w14:textId="77777777" w:rsidTr="00450639">
        <w:tc>
          <w:tcPr>
            <w:tcW w:w="1696" w:type="dxa"/>
          </w:tcPr>
          <w:p w14:paraId="5F64399F" w14:textId="48D5B08C" w:rsidR="005970F0" w:rsidRPr="005970F0" w:rsidRDefault="005970F0" w:rsidP="00684D0E">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439" w:type="dxa"/>
          </w:tcPr>
          <w:p w14:paraId="23037A35" w14:textId="76EC765C" w:rsidR="005970F0" w:rsidRPr="005970F0" w:rsidRDefault="005970F0" w:rsidP="00684D0E">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5935" w:type="dxa"/>
          </w:tcPr>
          <w:p w14:paraId="5773F6E1" w14:textId="7FF5AA48" w:rsidR="005970F0" w:rsidRDefault="005970F0" w:rsidP="005970F0">
            <w:pPr>
              <w:rPr>
                <w:rFonts w:ascii="Calibri" w:eastAsiaTheme="minorEastAsia" w:hAnsi="Calibri"/>
                <w:sz w:val="22"/>
                <w:szCs w:val="22"/>
                <w:lang w:eastAsia="zh-CN"/>
              </w:rPr>
            </w:pPr>
            <w:r>
              <w:rPr>
                <w:rFonts w:ascii="Calibri" w:eastAsia="맑은 고딕" w:hAnsi="Calibri" w:hint="eastAsia"/>
                <w:sz w:val="22"/>
                <w:szCs w:val="22"/>
                <w:lang w:eastAsia="ko-KR"/>
              </w:rPr>
              <w:t xml:space="preserve">It can be </w:t>
            </w:r>
            <w:r>
              <w:rPr>
                <w:rFonts w:ascii="Calibri" w:eastAsia="맑은 고딕" w:hAnsi="Calibri"/>
                <w:sz w:val="22"/>
                <w:szCs w:val="22"/>
                <w:lang w:eastAsia="ko-KR"/>
              </w:rPr>
              <w:t xml:space="preserve">also </w:t>
            </w:r>
            <w:r>
              <w:rPr>
                <w:rFonts w:ascii="Calibri" w:eastAsia="맑은 고딕" w:hAnsi="Calibri" w:hint="eastAsia"/>
                <w:sz w:val="22"/>
                <w:szCs w:val="22"/>
                <w:lang w:eastAsia="ko-KR"/>
              </w:rPr>
              <w:t>discussed</w:t>
            </w:r>
            <w:r>
              <w:rPr>
                <w:rFonts w:ascii="Calibri" w:eastAsia="맑은 고딕" w:hAnsi="Calibri"/>
                <w:sz w:val="22"/>
                <w:szCs w:val="22"/>
                <w:lang w:eastAsia="ko-KR"/>
              </w:rPr>
              <w:t xml:space="preserve"> </w:t>
            </w:r>
            <w:r>
              <w:rPr>
                <w:rFonts w:ascii="Calibri" w:eastAsia="맑은 고딕" w:hAnsi="Calibri"/>
                <w:sz w:val="22"/>
                <w:szCs w:val="22"/>
                <w:lang w:eastAsia="ko-KR"/>
              </w:rPr>
              <w:t>under the issue 2.4.1</w:t>
            </w:r>
            <w:r>
              <w:rPr>
                <w:rFonts w:ascii="Calibri" w:eastAsia="맑은 고딕" w:hAnsi="Calibri"/>
                <w:sz w:val="22"/>
                <w:szCs w:val="22"/>
                <w:lang w:eastAsia="ko-KR"/>
              </w:rPr>
              <w:t>.</w:t>
            </w:r>
          </w:p>
        </w:tc>
      </w:tr>
    </w:tbl>
    <w:p w14:paraId="32B27520" w14:textId="77777777" w:rsidR="00450639" w:rsidRDefault="00450639" w:rsidP="00450639">
      <w:pPr>
        <w:rPr>
          <w:rFonts w:asciiTheme="minorHAnsi" w:hAnsiTheme="minorHAnsi" w:cstheme="minorHAnsi"/>
          <w:b/>
          <w:lang w:val="en-GB"/>
        </w:rPr>
      </w:pPr>
    </w:p>
    <w:p w14:paraId="0344153C" w14:textId="222F6DCE" w:rsidR="00450639" w:rsidRDefault="00450639" w:rsidP="0045063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BDD8B" w14:textId="77777777" w:rsidR="00EF0F5A" w:rsidRDefault="00EF0F5A">
      <w:pPr>
        <w:rPr>
          <w:rFonts w:ascii="Arial" w:hAnsi="Arial"/>
          <w:b/>
          <w:sz w:val="32"/>
          <w:szCs w:val="20"/>
        </w:rPr>
      </w:pPr>
      <w:r>
        <w:br w:type="page"/>
      </w:r>
    </w:p>
    <w:p w14:paraId="0A9BEB44" w14:textId="64634646" w:rsidR="002F634C" w:rsidRPr="00156B89" w:rsidRDefault="002F634C" w:rsidP="002F634C">
      <w:pPr>
        <w:pStyle w:val="1"/>
      </w:pPr>
      <w:r>
        <w:lastRenderedPageBreak/>
        <w:t>Summary</w:t>
      </w:r>
    </w:p>
    <w:p w14:paraId="0ADFD495" w14:textId="141945EE" w:rsidR="005C6208" w:rsidRDefault="000114C1" w:rsidP="005C6208">
      <w:pPr>
        <w:rPr>
          <w:rFonts w:ascii="Calibri" w:hAnsi="Calibri" w:cs="Calibri"/>
          <w:color w:val="000000"/>
          <w:sz w:val="22"/>
          <w:szCs w:val="22"/>
        </w:rPr>
      </w:pPr>
      <w:r>
        <w:rPr>
          <w:rFonts w:ascii="Calibri" w:hAnsi="Calibri" w:cs="Calibri"/>
          <w:color w:val="000000"/>
          <w:sz w:val="22"/>
          <w:szCs w:val="22"/>
        </w:rPr>
        <w:t>The following</w:t>
      </w:r>
      <w:r w:rsidR="00A607BD">
        <w:rPr>
          <w:rFonts w:ascii="Calibri" w:hAnsi="Calibri" w:cs="Calibri"/>
          <w:color w:val="000000"/>
          <w:sz w:val="22"/>
          <w:szCs w:val="22"/>
        </w:rPr>
        <w:t xml:space="preserve"> </w:t>
      </w:r>
      <w:r>
        <w:rPr>
          <w:rFonts w:ascii="Calibri" w:hAnsi="Calibri" w:cs="Calibri"/>
          <w:color w:val="000000"/>
          <w:sz w:val="22"/>
          <w:szCs w:val="22"/>
        </w:rPr>
        <w:t xml:space="preserve">issues </w:t>
      </w:r>
      <w:r w:rsidR="00A607BD">
        <w:rPr>
          <w:rFonts w:ascii="Calibri" w:hAnsi="Calibri" w:cs="Calibri"/>
          <w:color w:val="000000"/>
          <w:sz w:val="22"/>
          <w:szCs w:val="22"/>
        </w:rPr>
        <w:t xml:space="preserve">for </w:t>
      </w:r>
      <w:r w:rsidR="00350C6D">
        <w:rPr>
          <w:rFonts w:ascii="Calibri" w:hAnsi="Calibri" w:cs="Calibri"/>
          <w:color w:val="000000"/>
          <w:sz w:val="22"/>
          <w:szCs w:val="22"/>
        </w:rPr>
        <w:t>maintenance</w:t>
      </w:r>
      <w:r w:rsidR="00A607BD">
        <w:rPr>
          <w:rFonts w:ascii="Calibri" w:hAnsi="Calibri" w:cs="Calibri"/>
          <w:color w:val="000000"/>
          <w:sz w:val="22"/>
          <w:szCs w:val="22"/>
        </w:rPr>
        <w:t xml:space="preserve"> of Rel-16 IAB</w:t>
      </w:r>
      <w:r>
        <w:rPr>
          <w:rFonts w:ascii="Calibri" w:hAnsi="Calibri" w:cs="Calibri"/>
          <w:color w:val="000000"/>
          <w:sz w:val="22"/>
          <w:szCs w:val="22"/>
        </w:rPr>
        <w:t xml:space="preserve"> will be considered in RAN1#100bis-e</w:t>
      </w:r>
      <w:r w:rsidR="005C6208" w:rsidRPr="005C6208">
        <w:rPr>
          <w:rFonts w:ascii="Calibri" w:hAnsi="Calibri" w:cs="Calibri"/>
          <w:color w:val="000000"/>
          <w:sz w:val="22"/>
          <w:szCs w:val="22"/>
        </w:rPr>
        <w:t>:</w:t>
      </w:r>
    </w:p>
    <w:p w14:paraId="289C66FF" w14:textId="13280C92" w:rsidR="000114C1" w:rsidRDefault="000114C1" w:rsidP="005C6208">
      <w:pPr>
        <w:rPr>
          <w:rFonts w:ascii="Calibri" w:hAnsi="Calibri" w:cs="Calibri"/>
          <w:color w:val="000000"/>
          <w:sz w:val="22"/>
          <w:szCs w:val="22"/>
        </w:rPr>
      </w:pPr>
    </w:p>
    <w:p w14:paraId="0276FEE8" w14:textId="209151CB" w:rsidR="000114C1" w:rsidRDefault="0037326C" w:rsidP="005C6208">
      <w:pPr>
        <w:rPr>
          <w:rFonts w:ascii="Calibri" w:hAnsi="Calibri" w:cs="Calibri"/>
          <w:color w:val="000000"/>
          <w:sz w:val="22"/>
          <w:szCs w:val="22"/>
        </w:rPr>
      </w:pPr>
      <w:r w:rsidRPr="0037326C">
        <w:rPr>
          <w:rFonts w:ascii="Calibri" w:hAnsi="Calibri" w:cs="Calibri"/>
          <w:color w:val="000000"/>
          <w:sz w:val="22"/>
          <w:szCs w:val="22"/>
          <w:highlight w:val="yellow"/>
        </w:rPr>
        <w:t>TBD</w:t>
      </w:r>
    </w:p>
    <w:p w14:paraId="397C96B4" w14:textId="77777777" w:rsidR="0037326C" w:rsidRDefault="0037326C" w:rsidP="005C6208">
      <w:pPr>
        <w:rPr>
          <w:rFonts w:ascii="Calibri" w:hAnsi="Calibri" w:cs="Calibri"/>
          <w:color w:val="000000"/>
          <w:sz w:val="22"/>
          <w:szCs w:val="22"/>
        </w:rPr>
      </w:pPr>
    </w:p>
    <w:p w14:paraId="50144386" w14:textId="26177BC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1"/>
        <w:numPr>
          <w:ilvl w:val="0"/>
          <w:numId w:val="0"/>
        </w:numPr>
        <w:ind w:left="432" w:hanging="432"/>
      </w:pPr>
      <w:r>
        <w:lastRenderedPageBreak/>
        <w:t>Appendix A Editorial corrections to existing specifications</w:t>
      </w:r>
    </w:p>
    <w:p w14:paraId="638B52CA" w14:textId="6334DBDB" w:rsidR="00A607BD" w:rsidRDefault="00A607BD" w:rsidP="005C6208"/>
    <w:p w14:paraId="134F5531" w14:textId="660566D1" w:rsidR="00B127FA" w:rsidRPr="00BD1C69" w:rsidRDefault="00B127FA" w:rsidP="00B127FA">
      <w:pPr>
        <w:pStyle w:val="2"/>
        <w:numPr>
          <w:ilvl w:val="0"/>
          <w:numId w:val="0"/>
        </w:numPr>
      </w:pPr>
      <w:r w:rsidRPr="0037326C">
        <w:rPr>
          <w:i w:val="0"/>
          <w:iCs/>
        </w:rPr>
        <w:t>A.1</w:t>
      </w:r>
      <w:r>
        <w:t xml:space="preserve"> </w:t>
      </w:r>
      <w:r w:rsidRPr="0037326C">
        <w:rPr>
          <w:i w:val="0"/>
          <w:iCs/>
        </w:rPr>
        <w:t>Higher layer parameters</w:t>
      </w:r>
    </w:p>
    <w:p w14:paraId="7DE34808" w14:textId="6DF51780" w:rsidR="00B127FA" w:rsidRDefault="00B127FA" w:rsidP="005C6208"/>
    <w:p w14:paraId="51C96D63" w14:textId="77D40780"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61F82C7F"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“An IAB-node MT can be provided, by SlotFormatCombinationsPerCell-IAB-MT, a list of slot format combinations applicable for one serving cell and, by SlotFormatIndicator-IAB-MT, a configuration for monitor a DCI format 2_0 indicating a slot format combination, from the list of slot format combinations, over a number of slots as described in Subclause 11.1.1. In addition to the slot formats in Table 11.1.1-1, an SFI field for an IAB-node MT in DCI format 2_0 can indicate to the IAB-node MT a slot format from the slot formats in Table 14-1.”</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SlotFormatCombinationsPerCell-IAB-MT</w:t>
      </w:r>
      <w:r w:rsidRPr="00EF0778">
        <w:rPr>
          <w:rFonts w:ascii="Calibri" w:hAnsi="Calibri" w:cs="Calibri" w:hint="eastAsia"/>
          <w:color w:val="000000"/>
          <w:sz w:val="22"/>
          <w:szCs w:val="22"/>
        </w:rPr>
        <w:t xml:space="preserve"> and </w:t>
      </w:r>
      <w:r w:rsidRPr="00EF0778">
        <w:rPr>
          <w:rFonts w:ascii="Calibri" w:hAnsi="Calibri" w:cs="Calibri"/>
          <w:color w:val="000000"/>
          <w:sz w:val="22"/>
          <w:szCs w:val="22"/>
        </w:rPr>
        <w:t>SlotFormatIndicator-IAB-MT,</w:t>
      </w:r>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0CF63E09" w14:textId="77777777" w:rsidR="00FC54C6" w:rsidRDefault="00FC54C6" w:rsidP="00D1103C">
      <w:pPr>
        <w:rPr>
          <w:rFonts w:asciiTheme="minorHAnsi" w:hAnsiTheme="minorHAnsi" w:cstheme="minorHAnsi"/>
          <w:b/>
          <w:lang w:val="en-GB"/>
        </w:rPr>
      </w:pPr>
    </w:p>
    <w:p w14:paraId="5D84A476" w14:textId="44A62DF1" w:rsidR="00FC54C6" w:rsidRDefault="00FC54C6" w:rsidP="00D1103C"/>
    <w:p w14:paraId="66C0DAD6" w14:textId="7518E2DF"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A.1.2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gNB-DU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af3"/>
        <w:tblW w:w="9876" w:type="dxa"/>
        <w:tblLayout w:type="fixed"/>
        <w:tblLook w:val="04A0" w:firstRow="1" w:lastRow="0" w:firstColumn="1" w:lastColumn="0" w:noHBand="0" w:noVBand="1"/>
      </w:tblPr>
      <w:tblGrid>
        <w:gridCol w:w="9876"/>
      </w:tblGrid>
      <w:tr w:rsidR="00FC54C6" w14:paraId="578B0547" w14:textId="77777777" w:rsidTr="002262C8">
        <w:tc>
          <w:tcPr>
            <w:tcW w:w="9876" w:type="dxa"/>
          </w:tcPr>
          <w:p w14:paraId="5CDE4F09" w14:textId="77777777" w:rsidR="00FC54C6" w:rsidRDefault="00FC54C6" w:rsidP="002262C8">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IAB-DU-Resource-Configuration</w:t>
            </w:r>
            <w:r>
              <w:rPr>
                <w:i/>
                <w:iCs/>
                <w:color w:val="FF0000"/>
                <w:lang w:eastAsia="ja-JP"/>
              </w:rPr>
              <w:t>gNB-DU Cell Resource Configuration</w:t>
            </w:r>
          </w:p>
        </w:tc>
      </w:tr>
      <w:tr w:rsidR="00FC54C6" w14:paraId="0B15F761" w14:textId="77777777" w:rsidTr="002262C8">
        <w:tc>
          <w:tcPr>
            <w:tcW w:w="9876" w:type="dxa"/>
          </w:tcPr>
          <w:p w14:paraId="0B565C0C" w14:textId="77777777" w:rsidR="00FC54C6" w:rsidRDefault="00FC54C6" w:rsidP="002262C8">
            <w:pPr>
              <w:pStyle w:val="B1"/>
              <w:spacing w:before="120" w:after="120"/>
              <w:ind w:left="0" w:firstLine="0"/>
            </w:pPr>
            <w:r>
              <w:t xml:space="preserve">The IAB-node DU can assume a same SCS configuration for </w:t>
            </w:r>
            <w:r>
              <w:rPr>
                <w:i/>
              </w:rPr>
              <w:t>availabilityCombinations</w:t>
            </w:r>
            <w:r>
              <w:t xml:space="preserve"> for a serving cell as an SCS configuration provided by </w:t>
            </w:r>
            <w:r>
              <w:rPr>
                <w:i/>
                <w:iCs/>
                <w:strike/>
                <w:color w:val="FF0000"/>
              </w:rPr>
              <w:t>IAB-DU-Resource-Configuration</w:t>
            </w:r>
            <w:r>
              <w:rPr>
                <w:i/>
                <w:strike/>
                <w:color w:val="FF0000"/>
              </w:rPr>
              <w:t>-TDD-Confi</w:t>
            </w:r>
            <w:r>
              <w:rPr>
                <w:i/>
                <w:iCs/>
                <w:color w:val="FF0000"/>
                <w:lang w:eastAsia="ja-JP"/>
              </w:rPr>
              <w:t>gNB-DU Cell Resource Configuration</w:t>
            </w:r>
            <w:r>
              <w:t xml:space="preserve"> for the serving cell</w:t>
            </w:r>
          </w:p>
        </w:tc>
      </w:tr>
    </w:tbl>
    <w:p w14:paraId="363D3FAF" w14:textId="77777777" w:rsidR="00FC54C6" w:rsidRPr="00033FC1" w:rsidRDefault="00FC54C6" w:rsidP="00D1103C"/>
    <w:sectPr w:rsidR="00FC54C6" w:rsidRPr="00033F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D41AC" w14:textId="77777777" w:rsidR="00F50397" w:rsidRDefault="00F50397" w:rsidP="00424124">
      <w:r>
        <w:separator/>
      </w:r>
    </w:p>
  </w:endnote>
  <w:endnote w:type="continuationSeparator" w:id="0">
    <w:p w14:paraId="10BFD370" w14:textId="77777777" w:rsidR="00F50397" w:rsidRDefault="00F50397" w:rsidP="00424124">
      <w:r>
        <w:continuationSeparator/>
      </w:r>
    </w:p>
  </w:endnote>
  <w:endnote w:type="continuationNotice" w:id="1">
    <w:p w14:paraId="05F6E68E" w14:textId="77777777" w:rsidR="00F50397" w:rsidRDefault="00F50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ZapfDingbats">
    <w:charset w:val="02"/>
    <w:family w:val="decorative"/>
    <w:pitch w:val="default"/>
    <w:sig w:usb0="00000000" w:usb1="0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E2357" w14:textId="77777777" w:rsidR="00F50397" w:rsidRDefault="00F50397" w:rsidP="00424124">
      <w:r>
        <w:separator/>
      </w:r>
    </w:p>
  </w:footnote>
  <w:footnote w:type="continuationSeparator" w:id="0">
    <w:p w14:paraId="220D673E" w14:textId="77777777" w:rsidR="00F50397" w:rsidRDefault="00F50397" w:rsidP="00424124">
      <w:r>
        <w:continuationSeparator/>
      </w:r>
    </w:p>
  </w:footnote>
  <w:footnote w:type="continuationNotice" w:id="1">
    <w:p w14:paraId="345CA7FC" w14:textId="77777777" w:rsidR="00F50397" w:rsidRDefault="00F5039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BD0CA652"/>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3" w15:restartNumberingAfterBreak="0">
    <w:nsid w:val="01F82348"/>
    <w:multiLevelType w:val="hybridMultilevel"/>
    <w:tmpl w:val="8F16E0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6" w15:restartNumberingAfterBreak="0">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2014"/>
        </w:tabs>
        <w:ind w:left="201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67A43"/>
    <w:multiLevelType w:val="hybridMultilevel"/>
    <w:tmpl w:val="4B36C1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F29747A"/>
    <w:multiLevelType w:val="multilevel"/>
    <w:tmpl w:val="BDA05010"/>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4" w15:restartNumberingAfterBreak="0">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C952EF9"/>
    <w:multiLevelType w:val="multilevel"/>
    <w:tmpl w:val="9CE68928"/>
    <w:lvl w:ilvl="0">
      <w:start w:val="2"/>
      <w:numFmt w:val="lowerLetter"/>
      <w:lvlText w:val="%1"/>
      <w:lvlJc w:val="left"/>
      <w:pPr>
        <w:ind w:left="360" w:hanging="360"/>
      </w:pPr>
      <w:rPr>
        <w:rFonts w:ascii="Calibri" w:eastAsia="Calibri" w:hAnsi="Calibri" w:cs="Times New Roman" w:hint="default"/>
        <w:b w:val="0"/>
        <w:sz w:val="22"/>
      </w:rPr>
    </w:lvl>
    <w:lvl w:ilvl="1">
      <w:start w:val="2"/>
      <w:numFmt w:val="decimal"/>
      <w:lvlText w:val="%1.%2"/>
      <w:lvlJc w:val="left"/>
      <w:pPr>
        <w:ind w:left="360" w:hanging="360"/>
      </w:pPr>
      <w:rPr>
        <w:rFonts w:ascii="Calibri" w:eastAsia="Calibri" w:hAnsi="Calibri" w:cs="Times New Roman" w:hint="default"/>
        <w:b w:val="0"/>
        <w:sz w:val="22"/>
      </w:rPr>
    </w:lvl>
    <w:lvl w:ilvl="2">
      <w:start w:val="1"/>
      <w:numFmt w:val="decimal"/>
      <w:lvlText w:val="%1.%2.%3"/>
      <w:lvlJc w:val="left"/>
      <w:pPr>
        <w:ind w:left="720" w:hanging="720"/>
      </w:pPr>
      <w:rPr>
        <w:rFonts w:ascii="Calibri" w:eastAsia="Calibri" w:hAnsi="Calibri" w:cs="Times New Roman" w:hint="default"/>
        <w:b w:val="0"/>
        <w:sz w:val="22"/>
      </w:rPr>
    </w:lvl>
    <w:lvl w:ilvl="3">
      <w:start w:val="1"/>
      <w:numFmt w:val="decimal"/>
      <w:lvlText w:val="%1.%2.%3.%4"/>
      <w:lvlJc w:val="left"/>
      <w:pPr>
        <w:ind w:left="720" w:hanging="720"/>
      </w:pPr>
      <w:rPr>
        <w:rFonts w:ascii="Calibri" w:eastAsia="Calibri" w:hAnsi="Calibri" w:cs="Times New Roman" w:hint="default"/>
        <w:b w:val="0"/>
        <w:sz w:val="22"/>
      </w:rPr>
    </w:lvl>
    <w:lvl w:ilvl="4">
      <w:start w:val="1"/>
      <w:numFmt w:val="decimal"/>
      <w:lvlText w:val="%1.%2.%3.%4.%5"/>
      <w:lvlJc w:val="left"/>
      <w:pPr>
        <w:ind w:left="1080" w:hanging="1080"/>
      </w:pPr>
      <w:rPr>
        <w:rFonts w:ascii="Calibri" w:eastAsia="Calibri" w:hAnsi="Calibri" w:cs="Times New Roman" w:hint="default"/>
        <w:b w:val="0"/>
        <w:sz w:val="22"/>
      </w:rPr>
    </w:lvl>
    <w:lvl w:ilvl="5">
      <w:start w:val="1"/>
      <w:numFmt w:val="decimal"/>
      <w:lvlText w:val="%1.%2.%3.%4.%5.%6"/>
      <w:lvlJc w:val="left"/>
      <w:pPr>
        <w:ind w:left="1080" w:hanging="1080"/>
      </w:pPr>
      <w:rPr>
        <w:rFonts w:ascii="Calibri" w:eastAsia="Calibri" w:hAnsi="Calibri" w:cs="Times New Roman" w:hint="default"/>
        <w:b w:val="0"/>
        <w:sz w:val="22"/>
      </w:rPr>
    </w:lvl>
    <w:lvl w:ilvl="6">
      <w:start w:val="1"/>
      <w:numFmt w:val="decimal"/>
      <w:lvlText w:val="%1.%2.%3.%4.%5.%6.%7"/>
      <w:lvlJc w:val="left"/>
      <w:pPr>
        <w:ind w:left="1440" w:hanging="1440"/>
      </w:pPr>
      <w:rPr>
        <w:rFonts w:ascii="Calibri" w:eastAsia="Calibri" w:hAnsi="Calibri" w:cs="Times New Roman" w:hint="default"/>
        <w:b w:val="0"/>
        <w:sz w:val="22"/>
      </w:rPr>
    </w:lvl>
    <w:lvl w:ilvl="7">
      <w:start w:val="1"/>
      <w:numFmt w:val="decimal"/>
      <w:lvlText w:val="%1.%2.%3.%4.%5.%6.%7.%8"/>
      <w:lvlJc w:val="left"/>
      <w:pPr>
        <w:ind w:left="1440" w:hanging="1440"/>
      </w:pPr>
      <w:rPr>
        <w:rFonts w:ascii="Calibri" w:eastAsia="Calibri" w:hAnsi="Calibri" w:cs="Times New Roman" w:hint="default"/>
        <w:b w:val="0"/>
        <w:sz w:val="22"/>
      </w:rPr>
    </w:lvl>
    <w:lvl w:ilvl="8">
      <w:start w:val="1"/>
      <w:numFmt w:val="decimal"/>
      <w:lvlText w:val="%1.%2.%3.%4.%5.%6.%7.%8.%9"/>
      <w:lvlJc w:val="left"/>
      <w:pPr>
        <w:ind w:left="1440" w:hanging="1440"/>
      </w:pPr>
      <w:rPr>
        <w:rFonts w:ascii="Calibri" w:eastAsia="Calibri" w:hAnsi="Calibri" w:cs="Times New Roman" w:hint="default"/>
        <w:b w:val="0"/>
        <w:sz w:val="22"/>
      </w:rPr>
    </w:lvl>
  </w:abstractNum>
  <w:abstractNum w:abstractNumId="4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0"/>
  </w:num>
  <w:num w:numId="4">
    <w:abstractNumId w:val="16"/>
  </w:num>
  <w:num w:numId="5">
    <w:abstractNumId w:val="26"/>
  </w:num>
  <w:num w:numId="6">
    <w:abstractNumId w:val="37"/>
  </w:num>
  <w:num w:numId="7">
    <w:abstractNumId w:val="22"/>
  </w:num>
  <w:num w:numId="8">
    <w:abstractNumId w:val="2"/>
  </w:num>
  <w:num w:numId="9">
    <w:abstractNumId w:val="38"/>
  </w:num>
  <w:num w:numId="10">
    <w:abstractNumId w:val="5"/>
  </w:num>
  <w:num w:numId="11">
    <w:abstractNumId w:val="33"/>
  </w:num>
  <w:num w:numId="12">
    <w:abstractNumId w:val="20"/>
  </w:num>
  <w:num w:numId="13">
    <w:abstractNumId w:val="4"/>
  </w:num>
  <w:num w:numId="14">
    <w:abstractNumId w:val="25"/>
  </w:num>
  <w:num w:numId="15">
    <w:abstractNumId w:val="41"/>
  </w:num>
  <w:num w:numId="16">
    <w:abstractNumId w:val="39"/>
  </w:num>
  <w:num w:numId="17">
    <w:abstractNumId w:val="35"/>
  </w:num>
  <w:num w:numId="18">
    <w:abstractNumId w:val="9"/>
  </w:num>
  <w:num w:numId="19">
    <w:abstractNumId w:val="43"/>
  </w:num>
  <w:num w:numId="20">
    <w:abstractNumId w:val="13"/>
  </w:num>
  <w:num w:numId="21">
    <w:abstractNumId w:val="36"/>
  </w:num>
  <w:num w:numId="22">
    <w:abstractNumId w:val="34"/>
  </w:num>
  <w:num w:numId="23">
    <w:abstractNumId w:val="11"/>
  </w:num>
  <w:num w:numId="24">
    <w:abstractNumId w:val="11"/>
  </w:num>
  <w:num w:numId="25">
    <w:abstractNumId w:val="27"/>
  </w:num>
  <w:num w:numId="26">
    <w:abstractNumId w:val="8"/>
  </w:num>
  <w:num w:numId="27">
    <w:abstractNumId w:val="7"/>
  </w:num>
  <w:num w:numId="28">
    <w:abstractNumId w:val="15"/>
  </w:num>
  <w:num w:numId="29">
    <w:abstractNumId w:val="33"/>
  </w:num>
  <w:num w:numId="30">
    <w:abstractNumId w:val="6"/>
  </w:num>
  <w:num w:numId="31">
    <w:abstractNumId w:val="42"/>
  </w:num>
  <w:num w:numId="32">
    <w:abstractNumId w:val="17"/>
  </w:num>
  <w:num w:numId="33">
    <w:abstractNumId w:val="24"/>
  </w:num>
  <w:num w:numId="34">
    <w:abstractNumId w:val="18"/>
  </w:num>
  <w:num w:numId="35">
    <w:abstractNumId w:val="32"/>
  </w:num>
  <w:num w:numId="36">
    <w:abstractNumId w:val="31"/>
  </w:num>
  <w:num w:numId="37">
    <w:abstractNumId w:val="12"/>
  </w:num>
  <w:num w:numId="38">
    <w:abstractNumId w:val="21"/>
  </w:num>
  <w:num w:numId="39">
    <w:abstractNumId w:val="0"/>
  </w:num>
  <w:num w:numId="40">
    <w:abstractNumId w:val="1"/>
  </w:num>
  <w:num w:numId="41">
    <w:abstractNumId w:val="23"/>
  </w:num>
  <w:num w:numId="42">
    <w:abstractNumId w:val="14"/>
  </w:num>
  <w:num w:numId="43">
    <w:abstractNumId w:val="28"/>
  </w:num>
  <w:num w:numId="44">
    <w:abstractNumId w:val="40"/>
  </w:num>
  <w:num w:numId="45">
    <w:abstractNumId w:val="3"/>
  </w:num>
  <w:num w:numId="4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0E52"/>
    <w:rsid w:val="00011324"/>
    <w:rsid w:val="000114C1"/>
    <w:rsid w:val="00013D7D"/>
    <w:rsid w:val="0001485D"/>
    <w:rsid w:val="000149EC"/>
    <w:rsid w:val="00015930"/>
    <w:rsid w:val="00015EF4"/>
    <w:rsid w:val="000161B8"/>
    <w:rsid w:val="00016778"/>
    <w:rsid w:val="00020202"/>
    <w:rsid w:val="00020F1A"/>
    <w:rsid w:val="00021726"/>
    <w:rsid w:val="00022B99"/>
    <w:rsid w:val="000248D8"/>
    <w:rsid w:val="00024D11"/>
    <w:rsid w:val="0002658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8AF"/>
    <w:rsid w:val="000B6772"/>
    <w:rsid w:val="000B6D99"/>
    <w:rsid w:val="000B7F70"/>
    <w:rsid w:val="000C0C9A"/>
    <w:rsid w:val="000C1B2A"/>
    <w:rsid w:val="000C21D0"/>
    <w:rsid w:val="000C2BCE"/>
    <w:rsid w:val="000C3426"/>
    <w:rsid w:val="000C57B9"/>
    <w:rsid w:val="000C5ADA"/>
    <w:rsid w:val="000C5B23"/>
    <w:rsid w:val="000C5D6D"/>
    <w:rsid w:val="000C708A"/>
    <w:rsid w:val="000D3338"/>
    <w:rsid w:val="000D389B"/>
    <w:rsid w:val="000D38DC"/>
    <w:rsid w:val="000D45A2"/>
    <w:rsid w:val="000D4D20"/>
    <w:rsid w:val="000E1E45"/>
    <w:rsid w:val="000E29D8"/>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4749"/>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2C0"/>
    <w:rsid w:val="00210359"/>
    <w:rsid w:val="00210DCD"/>
    <w:rsid w:val="00211955"/>
    <w:rsid w:val="00211D37"/>
    <w:rsid w:val="00211F9F"/>
    <w:rsid w:val="00212204"/>
    <w:rsid w:val="00212D20"/>
    <w:rsid w:val="00213492"/>
    <w:rsid w:val="0021352C"/>
    <w:rsid w:val="00215092"/>
    <w:rsid w:val="00216763"/>
    <w:rsid w:val="00216938"/>
    <w:rsid w:val="00216945"/>
    <w:rsid w:val="002219DB"/>
    <w:rsid w:val="00221F1A"/>
    <w:rsid w:val="00222269"/>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28A7"/>
    <w:rsid w:val="002534FB"/>
    <w:rsid w:val="00253796"/>
    <w:rsid w:val="00253B1C"/>
    <w:rsid w:val="00254398"/>
    <w:rsid w:val="002556E2"/>
    <w:rsid w:val="00261393"/>
    <w:rsid w:val="00262116"/>
    <w:rsid w:val="002641FE"/>
    <w:rsid w:val="00265254"/>
    <w:rsid w:val="00265C43"/>
    <w:rsid w:val="00265EC3"/>
    <w:rsid w:val="0026679D"/>
    <w:rsid w:val="00267362"/>
    <w:rsid w:val="002725E8"/>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94E"/>
    <w:rsid w:val="002D1F05"/>
    <w:rsid w:val="002D21FC"/>
    <w:rsid w:val="002D2616"/>
    <w:rsid w:val="002D2C5E"/>
    <w:rsid w:val="002D3D42"/>
    <w:rsid w:val="002D3E3F"/>
    <w:rsid w:val="002D479B"/>
    <w:rsid w:val="002D5651"/>
    <w:rsid w:val="002D5A3C"/>
    <w:rsid w:val="002D6EC9"/>
    <w:rsid w:val="002D787B"/>
    <w:rsid w:val="002E2249"/>
    <w:rsid w:val="002E3DD8"/>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7CE6"/>
    <w:rsid w:val="003702D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4218"/>
    <w:rsid w:val="003950BC"/>
    <w:rsid w:val="003A011D"/>
    <w:rsid w:val="003A1FF9"/>
    <w:rsid w:val="003A298A"/>
    <w:rsid w:val="003A2C25"/>
    <w:rsid w:val="003A368F"/>
    <w:rsid w:val="003A44CD"/>
    <w:rsid w:val="003A553B"/>
    <w:rsid w:val="003A566A"/>
    <w:rsid w:val="003A68B3"/>
    <w:rsid w:val="003A7B86"/>
    <w:rsid w:val="003B0395"/>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21A"/>
    <w:rsid w:val="003E764E"/>
    <w:rsid w:val="003F0731"/>
    <w:rsid w:val="003F159F"/>
    <w:rsid w:val="003F1B0E"/>
    <w:rsid w:val="003F2683"/>
    <w:rsid w:val="003F3355"/>
    <w:rsid w:val="003F33B4"/>
    <w:rsid w:val="003F4780"/>
    <w:rsid w:val="00402CF5"/>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5ED3"/>
    <w:rsid w:val="00466E46"/>
    <w:rsid w:val="004678E1"/>
    <w:rsid w:val="004704E9"/>
    <w:rsid w:val="00471971"/>
    <w:rsid w:val="00471A9F"/>
    <w:rsid w:val="004723A7"/>
    <w:rsid w:val="00473281"/>
    <w:rsid w:val="00473B68"/>
    <w:rsid w:val="00475737"/>
    <w:rsid w:val="004768FC"/>
    <w:rsid w:val="00477242"/>
    <w:rsid w:val="00477CC3"/>
    <w:rsid w:val="0048301B"/>
    <w:rsid w:val="00483AC8"/>
    <w:rsid w:val="00483EA9"/>
    <w:rsid w:val="00485EA0"/>
    <w:rsid w:val="00486561"/>
    <w:rsid w:val="00490888"/>
    <w:rsid w:val="00490FF5"/>
    <w:rsid w:val="00493920"/>
    <w:rsid w:val="004943DC"/>
    <w:rsid w:val="00495463"/>
    <w:rsid w:val="004A3649"/>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E9B"/>
    <w:rsid w:val="00570343"/>
    <w:rsid w:val="0057145F"/>
    <w:rsid w:val="00572592"/>
    <w:rsid w:val="00573EF9"/>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0F0"/>
    <w:rsid w:val="0059738D"/>
    <w:rsid w:val="005A128E"/>
    <w:rsid w:val="005A4678"/>
    <w:rsid w:val="005A50E7"/>
    <w:rsid w:val="005A5367"/>
    <w:rsid w:val="005B2AE6"/>
    <w:rsid w:val="005B3076"/>
    <w:rsid w:val="005B3A72"/>
    <w:rsid w:val="005B3F09"/>
    <w:rsid w:val="005B47BD"/>
    <w:rsid w:val="005B5BD1"/>
    <w:rsid w:val="005B5D4C"/>
    <w:rsid w:val="005B6FA6"/>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600AC9"/>
    <w:rsid w:val="00603015"/>
    <w:rsid w:val="0060603E"/>
    <w:rsid w:val="006066A0"/>
    <w:rsid w:val="0061165B"/>
    <w:rsid w:val="006120B3"/>
    <w:rsid w:val="006132F7"/>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705B"/>
    <w:rsid w:val="00697A39"/>
    <w:rsid w:val="006A0EDC"/>
    <w:rsid w:val="006A18DB"/>
    <w:rsid w:val="006A1DC9"/>
    <w:rsid w:val="006A2550"/>
    <w:rsid w:val="006A2D2E"/>
    <w:rsid w:val="006A537E"/>
    <w:rsid w:val="006B0CA8"/>
    <w:rsid w:val="006B0FD2"/>
    <w:rsid w:val="006B213F"/>
    <w:rsid w:val="006B37B5"/>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16F9"/>
    <w:rsid w:val="006E2274"/>
    <w:rsid w:val="006E2495"/>
    <w:rsid w:val="006E3717"/>
    <w:rsid w:val="006E3939"/>
    <w:rsid w:val="006E3AB5"/>
    <w:rsid w:val="006E75F2"/>
    <w:rsid w:val="006E790B"/>
    <w:rsid w:val="006F055C"/>
    <w:rsid w:val="006F6165"/>
    <w:rsid w:val="006F7889"/>
    <w:rsid w:val="00700A03"/>
    <w:rsid w:val="007014CE"/>
    <w:rsid w:val="00702214"/>
    <w:rsid w:val="00702C40"/>
    <w:rsid w:val="00703E3A"/>
    <w:rsid w:val="00707D20"/>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643C"/>
    <w:rsid w:val="00727105"/>
    <w:rsid w:val="00727952"/>
    <w:rsid w:val="00731417"/>
    <w:rsid w:val="00731CE6"/>
    <w:rsid w:val="007338D6"/>
    <w:rsid w:val="007340BC"/>
    <w:rsid w:val="00734983"/>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13C"/>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9A3"/>
    <w:rsid w:val="007B3AB2"/>
    <w:rsid w:val="007B473A"/>
    <w:rsid w:val="007B5621"/>
    <w:rsid w:val="007B6DB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1FA"/>
    <w:rsid w:val="00850DCE"/>
    <w:rsid w:val="00853591"/>
    <w:rsid w:val="00854C7A"/>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934"/>
    <w:rsid w:val="008F538D"/>
    <w:rsid w:val="008F5F3D"/>
    <w:rsid w:val="00900F00"/>
    <w:rsid w:val="00903BD8"/>
    <w:rsid w:val="00903C0A"/>
    <w:rsid w:val="009044E8"/>
    <w:rsid w:val="009046D6"/>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B6E1E"/>
    <w:rsid w:val="009C0762"/>
    <w:rsid w:val="009C1254"/>
    <w:rsid w:val="009C2167"/>
    <w:rsid w:val="009C3BDC"/>
    <w:rsid w:val="009C4497"/>
    <w:rsid w:val="009C60C6"/>
    <w:rsid w:val="009C72C1"/>
    <w:rsid w:val="009C74B7"/>
    <w:rsid w:val="009C768A"/>
    <w:rsid w:val="009D0E10"/>
    <w:rsid w:val="009D0ED7"/>
    <w:rsid w:val="009D2D5A"/>
    <w:rsid w:val="009D2EC6"/>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35E"/>
    <w:rsid w:val="00A031BD"/>
    <w:rsid w:val="00A04526"/>
    <w:rsid w:val="00A045A2"/>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6605"/>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6228"/>
    <w:rsid w:val="00AB6473"/>
    <w:rsid w:val="00AB6B18"/>
    <w:rsid w:val="00AB758E"/>
    <w:rsid w:val="00AB75A3"/>
    <w:rsid w:val="00AB7B89"/>
    <w:rsid w:val="00AB7E05"/>
    <w:rsid w:val="00AB7FC6"/>
    <w:rsid w:val="00AC05AE"/>
    <w:rsid w:val="00AC1A7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A6A"/>
    <w:rsid w:val="00B04278"/>
    <w:rsid w:val="00B0786D"/>
    <w:rsid w:val="00B12672"/>
    <w:rsid w:val="00B127FA"/>
    <w:rsid w:val="00B12D8B"/>
    <w:rsid w:val="00B138DA"/>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AF7"/>
    <w:rsid w:val="00B37ED3"/>
    <w:rsid w:val="00B46001"/>
    <w:rsid w:val="00B47CE0"/>
    <w:rsid w:val="00B501EE"/>
    <w:rsid w:val="00B502B1"/>
    <w:rsid w:val="00B50A69"/>
    <w:rsid w:val="00B5335B"/>
    <w:rsid w:val="00B5760B"/>
    <w:rsid w:val="00B60315"/>
    <w:rsid w:val="00B616FA"/>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B0265"/>
    <w:rsid w:val="00BB02ED"/>
    <w:rsid w:val="00BB0893"/>
    <w:rsid w:val="00BB1272"/>
    <w:rsid w:val="00BB3CBF"/>
    <w:rsid w:val="00BB494D"/>
    <w:rsid w:val="00BB4A3F"/>
    <w:rsid w:val="00BB7612"/>
    <w:rsid w:val="00BC01DF"/>
    <w:rsid w:val="00BC1870"/>
    <w:rsid w:val="00BC1F72"/>
    <w:rsid w:val="00BC2CA1"/>
    <w:rsid w:val="00BC31F9"/>
    <w:rsid w:val="00BC3E1B"/>
    <w:rsid w:val="00BC6F83"/>
    <w:rsid w:val="00BD028B"/>
    <w:rsid w:val="00BD0FEA"/>
    <w:rsid w:val="00BD1C69"/>
    <w:rsid w:val="00BD34B4"/>
    <w:rsid w:val="00BE18C4"/>
    <w:rsid w:val="00BE193F"/>
    <w:rsid w:val="00BE197A"/>
    <w:rsid w:val="00BE235E"/>
    <w:rsid w:val="00BE4ACC"/>
    <w:rsid w:val="00BE6C72"/>
    <w:rsid w:val="00BE7DAA"/>
    <w:rsid w:val="00BF1CB9"/>
    <w:rsid w:val="00BF2489"/>
    <w:rsid w:val="00BF2C5D"/>
    <w:rsid w:val="00BF2FC7"/>
    <w:rsid w:val="00BF31E3"/>
    <w:rsid w:val="00BF3B8B"/>
    <w:rsid w:val="00BF5855"/>
    <w:rsid w:val="00BF5F1C"/>
    <w:rsid w:val="00BF7FE7"/>
    <w:rsid w:val="00C0021B"/>
    <w:rsid w:val="00C0082D"/>
    <w:rsid w:val="00C013D9"/>
    <w:rsid w:val="00C01961"/>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48A1"/>
    <w:rsid w:val="00C26A5E"/>
    <w:rsid w:val="00C3106E"/>
    <w:rsid w:val="00C315A8"/>
    <w:rsid w:val="00C33A4F"/>
    <w:rsid w:val="00C33E07"/>
    <w:rsid w:val="00C34602"/>
    <w:rsid w:val="00C35FE8"/>
    <w:rsid w:val="00C36C7C"/>
    <w:rsid w:val="00C40BE6"/>
    <w:rsid w:val="00C44B24"/>
    <w:rsid w:val="00C46C77"/>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4402"/>
    <w:rsid w:val="00D3442F"/>
    <w:rsid w:val="00D37B92"/>
    <w:rsid w:val="00D37B93"/>
    <w:rsid w:val="00D42D89"/>
    <w:rsid w:val="00D437CC"/>
    <w:rsid w:val="00D446F1"/>
    <w:rsid w:val="00D451C1"/>
    <w:rsid w:val="00D456D8"/>
    <w:rsid w:val="00D45A0E"/>
    <w:rsid w:val="00D45DDE"/>
    <w:rsid w:val="00D463A9"/>
    <w:rsid w:val="00D46DEA"/>
    <w:rsid w:val="00D4758C"/>
    <w:rsid w:val="00D516AF"/>
    <w:rsid w:val="00D51C1F"/>
    <w:rsid w:val="00D52727"/>
    <w:rsid w:val="00D53113"/>
    <w:rsid w:val="00D53A68"/>
    <w:rsid w:val="00D542FB"/>
    <w:rsid w:val="00D55FAB"/>
    <w:rsid w:val="00D56786"/>
    <w:rsid w:val="00D56DCF"/>
    <w:rsid w:val="00D57B3D"/>
    <w:rsid w:val="00D61EAB"/>
    <w:rsid w:val="00D621B3"/>
    <w:rsid w:val="00D64748"/>
    <w:rsid w:val="00D67BA7"/>
    <w:rsid w:val="00D701D3"/>
    <w:rsid w:val="00D70656"/>
    <w:rsid w:val="00D714EF"/>
    <w:rsid w:val="00D72A97"/>
    <w:rsid w:val="00D72B4D"/>
    <w:rsid w:val="00D734D8"/>
    <w:rsid w:val="00D7445F"/>
    <w:rsid w:val="00D74DDF"/>
    <w:rsid w:val="00D76504"/>
    <w:rsid w:val="00D814AA"/>
    <w:rsid w:val="00D817BE"/>
    <w:rsid w:val="00D833F5"/>
    <w:rsid w:val="00D845E9"/>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0E"/>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10FFC"/>
    <w:rsid w:val="00F114BF"/>
    <w:rsid w:val="00F12C1B"/>
    <w:rsid w:val="00F14A31"/>
    <w:rsid w:val="00F15319"/>
    <w:rsid w:val="00F154D0"/>
    <w:rsid w:val="00F15566"/>
    <w:rsid w:val="00F15C63"/>
    <w:rsid w:val="00F16D3D"/>
    <w:rsid w:val="00F23A08"/>
    <w:rsid w:val="00F23B93"/>
    <w:rsid w:val="00F24848"/>
    <w:rsid w:val="00F251D9"/>
    <w:rsid w:val="00F261D6"/>
    <w:rsid w:val="00F2694E"/>
    <w:rsid w:val="00F26D45"/>
    <w:rsid w:val="00F31A7E"/>
    <w:rsid w:val="00F31F2B"/>
    <w:rsid w:val="00F33570"/>
    <w:rsid w:val="00F33DD9"/>
    <w:rsid w:val="00F349AF"/>
    <w:rsid w:val="00F35911"/>
    <w:rsid w:val="00F36A15"/>
    <w:rsid w:val="00F36B48"/>
    <w:rsid w:val="00F37A1B"/>
    <w:rsid w:val="00F4127C"/>
    <w:rsid w:val="00F41C32"/>
    <w:rsid w:val="00F42D43"/>
    <w:rsid w:val="00F45A34"/>
    <w:rsid w:val="00F4616A"/>
    <w:rsid w:val="00F47F12"/>
    <w:rsid w:val="00F50397"/>
    <w:rsid w:val="00F50590"/>
    <w:rsid w:val="00F50988"/>
    <w:rsid w:val="00F51745"/>
    <w:rsid w:val="00F53D7A"/>
    <w:rsid w:val="00F55BA0"/>
    <w:rsid w:val="00F57965"/>
    <w:rsid w:val="00F611D4"/>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4DD3"/>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a0"/>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lang w:eastAsia="x-none"/>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eastAsia="x-none"/>
    </w:rPr>
  </w:style>
  <w:style w:type="character" w:customStyle="1" w:styleId="Charc">
    <w:name w:val="날짜 Char"/>
    <w:basedOn w:val="a1"/>
    <w:link w:val="aff"/>
    <w:rsid w:val="00984F1E"/>
    <w:rPr>
      <w:rFonts w:ascii="Times" w:eastAsia="바탕"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3"/>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a">
    <w:name w:val="List Bullet"/>
    <w:basedOn w:val="a0"/>
    <w:rsid w:val="00984F1E"/>
    <w:pPr>
      <w:widowControl w:val="0"/>
      <w:numPr>
        <w:numId w:val="15"/>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20"/>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lang w:val="x-none"/>
    </w:rPr>
  </w:style>
  <w:style w:type="character" w:customStyle="1" w:styleId="Chard">
    <w:name w:val="글자만 Char"/>
    <w:basedOn w:val="a1"/>
    <w:link w:val="aff1"/>
    <w:uiPriority w:val="99"/>
    <w:rsid w:val="00984F1E"/>
    <w:rPr>
      <w:rFonts w:ascii="Arial" w:eastAsia="MS Gothic" w:hAnsi="Arial"/>
      <w:color w:val="000000"/>
      <w:lang w:val="x-none"/>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eastAsia="x-none"/>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before="12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4-5">
    <w:name w:val="Grid Table 4 Accent 5"/>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8"/>
      </w:numPr>
    </w:pPr>
  </w:style>
  <w:style w:type="numbering" w:customStyle="1" w:styleId="StyleBulletedSymbolsymbolLeft025Hanging0251">
    <w:name w:val="Style Bulleted Symbol (symbol) Left:  0.25&quot; Hanging:  0.25&quot;1"/>
    <w:basedOn w:val="a3"/>
    <w:rsid w:val="00984F1E"/>
    <w:pPr>
      <w:numPr>
        <w:numId w:val="19"/>
      </w:numPr>
    </w:pPr>
  </w:style>
  <w:style w:type="numbering" w:customStyle="1" w:styleId="StyleBulletedSymbolsymbolLeft025Hanging0252">
    <w:name w:val="Style Bulleted Symbol (symbol) Left:  0.25&quot; Hanging:  0.25&quot;2"/>
    <w:basedOn w:val="a3"/>
    <w:rsid w:val="00984F1E"/>
    <w:pPr>
      <w:numPr>
        <w:numId w:val="21"/>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DAEB-4427-4710-B638-EF771315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18</Pages>
  <Words>3890</Words>
  <Characters>22178</Characters>
  <Application>Microsoft Office Word</Application>
  <DocSecurity>0</DocSecurity>
  <Lines>184</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최승훈/표준연구팀(SR)/Principal Engineer/삼성전자</cp:lastModifiedBy>
  <cp:revision>24</cp:revision>
  <cp:lastPrinted>2016-02-23T10:51:00Z</cp:lastPrinted>
  <dcterms:created xsi:type="dcterms:W3CDTF">2020-04-16T06:40:00Z</dcterms:created>
  <dcterms:modified xsi:type="dcterms:W3CDTF">2020-04-16T08:57:00Z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NSCPROP_SA">
    <vt:lpwstr>D:\회사\업무\3GPP\3GPP meeting\202004_RAN1#100b-e_Busan_Cancel\feature lead drafts\7.2.3 IAB\R1-20xxxxx Summary of 7.2.3.3 v4-QC-ZTE.docx</vt:lpwstr>
  </property>
</Properties>
</file>