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, a question arose in RAN2 RRC discussions of whether the newly introduced NR-U PRACH root sequences (of length 571 and 1151) are applicable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  <w:tr w:rsidR="004F2FC7" w14:paraId="515165F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37" w14:textId="5691D2B0" w:rsidR="004F2FC7" w:rsidRDefault="004F2FC7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F12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14:paraId="6762B89E" w14:textId="7636FC65" w:rsidR="004F2FC7" w:rsidRPr="00EB79C5" w:rsidRDefault="004F2FC7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In our understanding these new ZC sequences were designed to meet both OCB and PSD requirements for both 2-step and 4-step RACH NR-U.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>Just clarify our position, we don’t see the need to introduce the long root sequence for 2-step RACH in licensed band. If two sequences are introduced for NR-U only, we are 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lastRenderedPageBreak/>
              <w:t>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  <w:tr w:rsidR="004F2FC7" w14:paraId="010AF97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39" w14:textId="0EA3F86C" w:rsidR="004F2FC7" w:rsidRDefault="004F2FC7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C1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  <w:p w14:paraId="58098A49" w14:textId="73329E0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As mentioned by Ericsson supporting these</w:t>
            </w:r>
            <w:r>
              <w:rPr>
                <w:lang w:eastAsia="zh-CN"/>
              </w:rPr>
              <w:t xml:space="preserve"> new ZC sequences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for both 2-step and 4-step RACH NR-U</w:t>
            </w:r>
            <w:r>
              <w:rPr>
                <w:lang w:eastAsia="zh-CN"/>
              </w:rPr>
              <w:t xml:space="preserve"> may ha</w:t>
            </w:r>
            <w:r w:rsidR="000506BF">
              <w:rPr>
                <w:lang w:eastAsia="zh-CN"/>
              </w:rPr>
              <w:t>ve benefits regarding PSD requirements.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0902AD09" w:rsidR="000506BF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  <w:tr w:rsidR="000506BF" w14:paraId="25361ED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FE4" w14:textId="21F66E55" w:rsidR="000506BF" w:rsidRDefault="000506BF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839" w14:textId="77777777" w:rsidR="000506BF" w:rsidRDefault="000506BF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We support the answer to RAN2 with the “</w:t>
            </w:r>
            <w:r w:rsidRPr="000506BF">
              <w:rPr>
                <w:b/>
                <w:bCs/>
                <w:lang w:eastAsia="zh-CN"/>
              </w:rPr>
              <w:t>for NR-U</w:t>
            </w:r>
            <w:r>
              <w:rPr>
                <w:lang w:eastAsia="zh-CN"/>
              </w:rPr>
              <w:t>” wording added at the end.</w:t>
            </w:r>
          </w:p>
          <w:p w14:paraId="7C173AA1" w14:textId="77777777" w:rsidR="006D4970" w:rsidRDefault="006D4970" w:rsidP="00155985">
            <w:pPr>
              <w:rPr>
                <w:rStyle w:val="normaltextrun"/>
              </w:rPr>
            </w:pPr>
            <w:r>
              <w:rPr>
                <w:lang w:eastAsia="zh-CN"/>
              </w:rPr>
              <w:t xml:space="preserve">BTW the ACTION from the RAN2 LS is as follows: </w:t>
            </w:r>
            <w:r w:rsidRPr="006D4970">
              <w:rPr>
                <w:rStyle w:val="normaltextrun"/>
                <w:i/>
                <w:iCs/>
              </w:rPr>
              <w:t xml:space="preserve">RAN2 respectfully ask RAN1 to consider whether the two new root sequences above are applicable to 2-step RA </w:t>
            </w:r>
            <w:r w:rsidRPr="006D4970">
              <w:rPr>
                <w:rStyle w:val="normaltextrun"/>
                <w:b/>
                <w:bCs/>
                <w:i/>
                <w:iCs/>
              </w:rPr>
              <w:t>for NR-U</w:t>
            </w:r>
            <w:r w:rsidRPr="006D4970">
              <w:rPr>
                <w:rStyle w:val="normaltextrun"/>
              </w:rPr>
              <w:t>.</w:t>
            </w:r>
          </w:p>
          <w:p w14:paraId="5AD47FC2" w14:textId="641BB229" w:rsidR="006D4970" w:rsidRPr="006D4970" w:rsidRDefault="006D4970" w:rsidP="00155985">
            <w:pPr>
              <w:rPr>
                <w:lang w:eastAsia="zh-CN"/>
              </w:rPr>
            </w:pPr>
            <w:r>
              <w:rPr>
                <w:rStyle w:val="normaltextrun"/>
              </w:rPr>
              <w:t>Hence in our understanding RAN2 ask their question for NR-U only.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lastRenderedPageBreak/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pt;height:15.5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074973" r:id="rId13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.5pt;height:43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074974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5pt;height:37.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074975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pt;height:1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074976" r:id="rId19"/>
        </w:object>
      </w:r>
      <w:r>
        <w:rPr>
          <w:rFonts w:eastAsia="SimSun"/>
        </w:rPr>
        <w:t xml:space="preserve">, </w:t>
      </w:r>
      <w:bookmarkStart w:id="7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5.5pt;height:1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074977" r:id="rId21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7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TP is not needed. UE is following the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be captured and PRACH sequence lengths can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 by gNB.</w:t>
            </w:r>
          </w:p>
        </w:tc>
      </w:tr>
      <w:tr w:rsidR="006D4970" w14:paraId="7B365CB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D7F" w14:textId="6E06492C" w:rsidR="006D4970" w:rsidRDefault="006D4970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3F2" w14:textId="672D780D" w:rsidR="006D4970" w:rsidRDefault="006D497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</w:t>
            </w:r>
            <w:r w:rsidR="00837777">
              <w:rPr>
                <w:lang w:eastAsia="zh-CN"/>
              </w:rPr>
              <w:t xml:space="preserve">a similar </w:t>
            </w:r>
            <w:r>
              <w:rPr>
                <w:lang w:eastAsia="zh-CN"/>
              </w:rPr>
              <w:t>TP, as proposed within our R1-2002278 contribution:</w:t>
            </w:r>
          </w:p>
          <w:p w14:paraId="6DEDF4C2" w14:textId="77777777" w:rsidR="005966F6" w:rsidRDefault="005966F6" w:rsidP="005966F6">
            <w:pPr>
              <w:pStyle w:val="Heading4"/>
              <w:outlineLvl w:val="3"/>
            </w:pPr>
            <w:r w:rsidRPr="00091FD4">
              <w:t>6</w:t>
            </w:r>
            <w:r w:rsidRPr="00AF66CB">
              <w:t>.</w:t>
            </w:r>
            <w:r>
              <w:t>3.3.1</w:t>
            </w:r>
            <w:r>
              <w:tab/>
              <w:t>Sequence generation</w:t>
            </w:r>
          </w:p>
          <w:p w14:paraId="5CD39B8E" w14:textId="77777777" w:rsidR="005966F6" w:rsidRDefault="005966F6" w:rsidP="005966F6">
            <w:r>
              <w:t xml:space="preserve">The set of random-access preambles </w:t>
            </w:r>
            <w:r w:rsidRPr="00CC6828">
              <w:rPr>
                <w:position w:val="-12"/>
              </w:rPr>
              <w:object w:dxaOrig="620" w:dyaOrig="320" w14:anchorId="41F84D3D">
                <v:shape id="_x0000_i1030" type="#_x0000_t75" style="width:31pt;height:15.5pt" o:ole="">
                  <v:imagedata r:id="rId12" o:title=""/>
                </v:shape>
                <o:OLEObject Type="Embed" ProgID="Equation.3" ShapeID="_x0000_i1030" DrawAspect="Content" ObjectID="_1649074978" r:id="rId22"/>
              </w:object>
            </w:r>
            <w:r>
              <w:t xml:space="preserve"> shall be generated according to</w:t>
            </w:r>
          </w:p>
          <w:p w14:paraId="3D0371C6" w14:textId="77777777" w:rsidR="005966F6" w:rsidRDefault="005966F6" w:rsidP="005966F6">
            <w:pPr>
              <w:pStyle w:val="EQ"/>
              <w:jc w:val="center"/>
            </w:pPr>
            <w:r w:rsidRPr="00410883">
              <w:rPr>
                <w:position w:val="-38"/>
              </w:rPr>
              <w:object w:dxaOrig="3019" w:dyaOrig="859" w14:anchorId="6DB7F01A">
                <v:shape id="_x0000_i1031" type="#_x0000_t75" style="width:149.5pt;height:42.5pt" o:ole="">
                  <v:imagedata r:id="rId14" o:title=""/>
                </v:shape>
                <o:OLEObject Type="Embed" ProgID="Equation.3" ShapeID="_x0000_i1031" DrawAspect="Content" ObjectID="_1649074979" r:id="rId23"/>
              </w:object>
            </w:r>
          </w:p>
          <w:p w14:paraId="483094F1" w14:textId="77777777" w:rsidR="005966F6" w:rsidRDefault="005966F6" w:rsidP="005966F6">
            <w:r>
              <w:t>from which the frequency-domain representation shall be generated according to</w:t>
            </w:r>
          </w:p>
          <w:p w14:paraId="0ACEBD7E" w14:textId="77777777" w:rsidR="005966F6" w:rsidRDefault="005966F6" w:rsidP="005966F6">
            <w:pPr>
              <w:pStyle w:val="EQ"/>
              <w:jc w:val="center"/>
              <w:rPr>
                <w:position w:val="-36"/>
              </w:rPr>
            </w:pPr>
            <w:r w:rsidRPr="00AF66CB">
              <w:rPr>
                <w:position w:val="-30"/>
              </w:rPr>
              <w:object w:dxaOrig="2580" w:dyaOrig="740" w14:anchorId="44831892">
                <v:shape id="_x0000_i1032" type="#_x0000_t75" style="width:129pt;height:36.5pt" o:ole="">
                  <v:imagedata r:id="rId16" o:title=""/>
                </v:shape>
                <o:OLEObject Type="Embed" ProgID="Equation.3" ShapeID="_x0000_i1032" DrawAspect="Content" ObjectID="_1649074980" r:id="rId24"/>
              </w:object>
            </w:r>
          </w:p>
          <w:p w14:paraId="38483961" w14:textId="77777777" w:rsidR="005966F6" w:rsidRDefault="005966F6" w:rsidP="005966F6">
            <w:r>
              <w:t>where:</w:t>
            </w:r>
          </w:p>
          <w:p w14:paraId="45CE1754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without shared spectrum channel access, </w:t>
            </w:r>
            <w:r w:rsidRPr="006A5007">
              <w:rPr>
                <w:position w:val="-10"/>
              </w:rPr>
              <w:object w:dxaOrig="920" w:dyaOrig="300" w14:anchorId="74526E14">
                <v:shape id="_x0000_i1033" type="#_x0000_t75" style="width:46pt;height:15pt" o:ole="">
                  <v:imagedata r:id="rId18" o:title=""/>
                </v:shape>
                <o:OLEObject Type="Embed" ProgID="Equation.3" ShapeID="_x0000_i1033" DrawAspect="Content" ObjectID="_1649074981" r:id="rId25"/>
              </w:object>
            </w:r>
            <w:r>
              <w:t xml:space="preserve"> or </w:t>
            </w:r>
            <w:r w:rsidRPr="009A1E80">
              <w:rPr>
                <w:position w:val="-10"/>
              </w:rPr>
              <w:object w:dxaOrig="900" w:dyaOrig="300" w14:anchorId="1955FBB1">
                <v:shape id="_x0000_i1034" type="#_x0000_t75" style="width:46pt;height:15pt" o:ole="">
                  <v:imagedata r:id="rId20" o:title=""/>
                </v:shape>
                <o:OLEObject Type="Embed" ProgID="Equation.3" ShapeID="_x0000_i1034" DrawAspect="Content" ObjectID="_1649074982" r:id="rId26"/>
              </w:object>
            </w:r>
            <w:r>
              <w:t xml:space="preserve">  depending on the PRACH preamble format as given by Tables 6.3.3.1-1 and 6.3.3.1-2.</w:t>
            </w:r>
          </w:p>
          <w:p w14:paraId="0E61CA3C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 shared spectrum channel access, </w:t>
            </w:r>
            <w:r w:rsidRPr="009A1E80">
              <w:rPr>
                <w:position w:val="-10"/>
              </w:rPr>
              <w:object w:dxaOrig="900" w:dyaOrig="300" w14:anchorId="12A563AF">
                <v:shape id="_x0000_i1035" type="#_x0000_t75" style="width:46pt;height:15pt" o:ole="">
                  <v:imagedata r:id="rId20" o:title=""/>
                </v:shape>
                <o:OLEObject Type="Embed" ProgID="Equation.3" ShapeID="_x0000_i1035" DrawAspect="Content" ObjectID="_1649074983" r:id="rId27"/>
              </w:objec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=1151</m:t>
              </m:r>
            </m:oMath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=571</m:t>
              </m:r>
            </m:oMath>
            <w:r>
              <w:t xml:space="preserve"> depending on the PRACH preamble format as given by Tables 6.3.3.1-1 and 6.3.3.1-2.</w:t>
            </w:r>
          </w:p>
          <w:p w14:paraId="56637E7C" w14:textId="6CE7D365" w:rsidR="005966F6" w:rsidRDefault="005966F6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Our reasons for supporting this TP are as follows:</w:t>
            </w:r>
          </w:p>
          <w:p w14:paraId="14A5C1CE" w14:textId="2AD395C5" w:rsidR="005966F6" w:rsidRDefault="00AA5C03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1)</w:t>
            </w:r>
            <w:r w:rsidR="005966F6">
              <w:rPr>
                <w:lang w:val="en-GB" w:eastAsia="zh-CN"/>
              </w:rPr>
              <w:t xml:space="preserve"> The TP is consistent with the following RAN1 agreement</w:t>
            </w:r>
            <w:r w:rsidR="00CE7980">
              <w:rPr>
                <w:lang w:val="en-GB" w:eastAsia="zh-CN"/>
              </w:rPr>
              <w:t xml:space="preserve">, which </w:t>
            </w:r>
            <w:r w:rsidR="00CE7980">
              <w:rPr>
                <w:lang w:eastAsia="zh-CN"/>
              </w:rPr>
              <w:t>BTW also state</w:t>
            </w:r>
            <w:r w:rsidR="00CE7980">
              <w:rPr>
                <w:lang w:eastAsia="zh-CN"/>
              </w:rPr>
              <w:t>s</w:t>
            </w:r>
            <w:r w:rsidR="00CE7980">
              <w:rPr>
                <w:lang w:eastAsia="zh-CN"/>
              </w:rPr>
              <w:t xml:space="preserve"> that L_RA = 839 is not supported by the UE</w:t>
            </w:r>
            <w:r w:rsidR="005966F6">
              <w:rPr>
                <w:lang w:val="en-GB" w:eastAsia="zh-CN"/>
              </w:rPr>
              <w:t>:</w:t>
            </w:r>
          </w:p>
          <w:p w14:paraId="7CB82026" w14:textId="77777777" w:rsidR="005966F6" w:rsidRPr="005966F6" w:rsidRDefault="005966F6" w:rsidP="005966F6">
            <w:pPr>
              <w:spacing w:after="0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 addition to the Rel-15 design for NR short PRACH (sequence length of 139), support an enhanced PRACH design </w:t>
            </w:r>
            <w:r w:rsidRPr="005966F6">
              <w:rPr>
                <w:rFonts w:eastAsia="Times New Roman"/>
                <w:b/>
                <w:bCs/>
                <w:i/>
                <w:iCs/>
              </w:rPr>
              <w:t>for NR-U</w:t>
            </w:r>
            <w:r w:rsidRPr="005966F6">
              <w:rPr>
                <w:rFonts w:eastAsia="Times New Roman"/>
                <w:i/>
                <w:iCs/>
              </w:rPr>
              <w:t xml:space="preserve"> by adopting a single long ZC sequence of the following lengths</w:t>
            </w:r>
          </w:p>
          <w:p w14:paraId="3EB6596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For 15 kHz SCS L_RA= 1151, For 30 kHz SCS L_RA= 571</w:t>
            </w:r>
          </w:p>
          <w:p w14:paraId="74917BBE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Introduce </w:t>
            </w:r>
            <w:proofErr w:type="spellStart"/>
            <w:r w:rsidRPr="005966F6">
              <w:rPr>
                <w:rFonts w:eastAsia="Times New Roman"/>
                <w:i/>
                <w:iCs/>
              </w:rPr>
              <w:t>signalling</w:t>
            </w:r>
            <w:proofErr w:type="spellEnd"/>
            <w:r w:rsidRPr="005966F6">
              <w:rPr>
                <w:rFonts w:eastAsia="Times New Roman"/>
                <w:i/>
                <w:iCs/>
              </w:rPr>
              <w:t xml:space="preserve"> in SIB1 to indicate to UE whether Rel-15 PRACH or enhance PRACH sequences above are used</w:t>
            </w:r>
          </w:p>
          <w:p w14:paraId="0C451D5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Logical root indices, cyclic shifts and frequency position are determined as give in Tables in Appendix B provided in </w:t>
            </w:r>
            <w:hyperlink r:id="rId28" w:history="1">
              <w:r w:rsidRPr="005966F6">
                <w:rPr>
                  <w:rStyle w:val="Hyperlink"/>
                  <w:rFonts w:eastAsia="Times New Roman"/>
                  <w:i/>
                  <w:iCs/>
                </w:rPr>
                <w:t>R1-1911863</w:t>
              </w:r>
            </w:hyperlink>
          </w:p>
          <w:p w14:paraId="1857FC37" w14:textId="77777777" w:rsidR="005966F6" w:rsidRDefault="005966F6" w:rsidP="00155985">
            <w:pPr>
              <w:rPr>
                <w:lang w:eastAsia="zh-CN"/>
              </w:rPr>
            </w:pPr>
          </w:p>
          <w:p w14:paraId="54AA2979" w14:textId="02FEAA05" w:rsidR="00CE7980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 w:rsidR="005966F6">
              <w:rPr>
                <w:lang w:eastAsia="zh-CN"/>
              </w:rPr>
              <w:t xml:space="preserve"> </w:t>
            </w:r>
            <w:r w:rsidR="00CE7980">
              <w:rPr>
                <w:lang w:eastAsia="zh-CN"/>
              </w:rPr>
              <w:t xml:space="preserve">In our view this TP is targeting the </w:t>
            </w:r>
            <w:proofErr w:type="spellStart"/>
            <w:r w:rsidR="00CE7980">
              <w:rPr>
                <w:lang w:eastAsia="zh-CN"/>
              </w:rPr>
              <w:t>gNB</w:t>
            </w:r>
            <w:proofErr w:type="spellEnd"/>
            <w:r w:rsidR="00CE7980">
              <w:rPr>
                <w:lang w:eastAsia="zh-CN"/>
              </w:rPr>
              <w:t>, not the UE – i.e. configured L_RA</w:t>
            </w:r>
            <w:r w:rsidR="00CE7980">
              <w:rPr>
                <w:lang w:eastAsia="zh-CN"/>
              </w:rPr>
              <w:t>s</w:t>
            </w:r>
            <w:r w:rsidR="00CE7980">
              <w:rPr>
                <w:lang w:eastAsia="zh-CN"/>
              </w:rPr>
              <w:t xml:space="preserve"> provided by the </w:t>
            </w:r>
            <w:proofErr w:type="spellStart"/>
            <w:r w:rsidR="00CE7980">
              <w:rPr>
                <w:lang w:eastAsia="zh-CN"/>
              </w:rPr>
              <w:t>gNB</w:t>
            </w:r>
            <w:proofErr w:type="spellEnd"/>
            <w:r w:rsidR="00CE7980">
              <w:rPr>
                <w:lang w:eastAsia="zh-CN"/>
              </w:rPr>
              <w:t xml:space="preserve"> should be in line with the above TP.</w:t>
            </w:r>
          </w:p>
          <w:p w14:paraId="51B81FF3" w14:textId="64404F36" w:rsidR="005966F6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3)</w:t>
            </w:r>
            <w:bookmarkStart w:id="8" w:name="_GoBack"/>
            <w:bookmarkEnd w:id="8"/>
            <w:r w:rsidR="00CE7980">
              <w:rPr>
                <w:lang w:eastAsia="zh-CN"/>
              </w:rPr>
              <w:t xml:space="preserve"> </w:t>
            </w:r>
            <w:r w:rsidR="005966F6">
              <w:rPr>
                <w:lang w:eastAsia="zh-CN"/>
              </w:rPr>
              <w:t>In our view the purpose of UE features should not be to enforce RAN1 agreements.</w:t>
            </w:r>
          </w:p>
          <w:p w14:paraId="6417AC35" w14:textId="22908765" w:rsidR="006D4970" w:rsidRDefault="00CE798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See also our answer to Q3.</w:t>
            </w:r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CA79E" w14:textId="77777777" w:rsidR="004C3496" w:rsidRDefault="004C3496" w:rsidP="006D6109">
      <w:pPr>
        <w:spacing w:after="0"/>
      </w:pPr>
      <w:r>
        <w:separator/>
      </w:r>
    </w:p>
  </w:endnote>
  <w:endnote w:type="continuationSeparator" w:id="0">
    <w:p w14:paraId="3FECA162" w14:textId="77777777" w:rsidR="004C3496" w:rsidRDefault="004C3496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2FB99" w14:textId="77777777" w:rsidR="004C3496" w:rsidRDefault="004C3496" w:rsidP="006D6109">
      <w:pPr>
        <w:spacing w:after="0"/>
      </w:pPr>
      <w:r>
        <w:separator/>
      </w:r>
    </w:p>
  </w:footnote>
  <w:footnote w:type="continuationSeparator" w:id="0">
    <w:p w14:paraId="4CBCB5ED" w14:textId="77777777" w:rsidR="004C3496" w:rsidRDefault="004C3496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FFFFFFFF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16348E"/>
    <w:multiLevelType w:val="hybridMultilevel"/>
    <w:tmpl w:val="E85CA8AC"/>
    <w:lvl w:ilvl="0" w:tplc="38381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0F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EE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E2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08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C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C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43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C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1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14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6BF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496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2FC7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6F6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970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777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C03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980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CCD41"/>
  <w15:docId w15:val="{668BA299-56EE-4221-A49A-B4AF8AD2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  <w:style w:type="character" w:customStyle="1" w:styleId="B1Char">
    <w:name w:val="B1 Char"/>
    <w:locked/>
    <w:rsid w:val="005966F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hyperlink" Target="file:///C:\AppData\Docs\R1-1911863.zip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B35CF3B-765C-44A6-9E4F-14F7F663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2378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Robert, Michel (Nokia - FR/Paris-Saclay)</cp:lastModifiedBy>
  <cp:revision>7</cp:revision>
  <dcterms:created xsi:type="dcterms:W3CDTF">2020-04-22T07:58:00Z</dcterms:created>
  <dcterms:modified xsi:type="dcterms:W3CDTF">2020-04-22T13:35:00Z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