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, a question arose in RAN2 RRC discussions of whether the newly introduced NR-U PRACH root sequences (of length 571 and 1151) are applicable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</w:t>
      </w:r>
      <w:proofErr w:type="gramStart"/>
      <w:r>
        <w:t>summary</w:t>
      </w:r>
      <w:proofErr w:type="gramEnd"/>
      <w:r>
        <w:t xml:space="preserve">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</w:t>
            </w:r>
            <w:proofErr w:type="gramStart"/>
            <w:r>
              <w:rPr>
                <w:rFonts w:hint="eastAsia"/>
                <w:lang w:eastAsia="zh-CN"/>
              </w:rPr>
              <w:t>not  fulfill</w:t>
            </w:r>
            <w:proofErr w:type="gramEnd"/>
            <w:r>
              <w:rPr>
                <w:rFonts w:hint="eastAsia"/>
                <w:lang w:eastAsia="zh-CN"/>
              </w:rPr>
              <w:t xml:space="preserve">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>Just clarify our position, we don’t see the need to introduce the long root sequence for 2-step RACH in licensed band. If two sequences are introduced for NR-U only, we are 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</w:t>
            </w:r>
            <w:r>
              <w:rPr>
                <w:rFonts w:hint="eastAsia"/>
                <w:lang w:eastAsia="zh-CN"/>
              </w:rPr>
              <w:t>access</w:t>
            </w:r>
            <w:r>
              <w:rPr>
                <w:rFonts w:hint="eastAsia"/>
                <w:lang w:eastAsia="zh-CN"/>
              </w:rPr>
              <w:t>ing</w:t>
            </w:r>
            <w:r>
              <w:rPr>
                <w:rFonts w:hint="eastAsia"/>
                <w:lang w:eastAsia="zh-CN"/>
              </w:rPr>
              <w:t xml:space="preserve">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by </w:t>
            </w:r>
            <w:r>
              <w:rPr>
                <w:rFonts w:hint="eastAsia"/>
                <w:lang w:eastAsia="zh-CN"/>
              </w:rPr>
              <w:t>SA-style</w:t>
            </w:r>
            <w:r>
              <w:rPr>
                <w:rFonts w:hint="eastAsia"/>
                <w:lang w:eastAsia="zh-CN"/>
              </w:rPr>
              <w:t>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</w:t>
            </w:r>
            <w:proofErr w:type="gramStart"/>
            <w:r>
              <w:rPr>
                <w:rFonts w:hint="eastAsia"/>
                <w:lang w:eastAsia="zh-CN"/>
              </w:rPr>
              <w:t>then  the</w:t>
            </w:r>
            <w:proofErr w:type="gramEnd"/>
            <w:r>
              <w:rPr>
                <w:rFonts w:hint="eastAsia"/>
                <w:lang w:eastAsia="zh-CN"/>
              </w:rPr>
              <w:t xml:space="preserve">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lastRenderedPageBreak/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宋体"/>
          <w:b/>
          <w:bCs/>
          <w:color w:val="FF0000"/>
          <w:sz w:val="20"/>
          <w:szCs w:val="20"/>
          <w:lang w:val="en-GB"/>
        </w:rPr>
      </w:pPr>
      <w:r>
        <w:rPr>
          <w:rFonts w:eastAsia="宋体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宋体"/>
          <w:color w:val="FF0000"/>
          <w:sz w:val="20"/>
          <w:szCs w:val="20"/>
        </w:rPr>
      </w:pPr>
      <w:r>
        <w:rPr>
          <w:rFonts w:eastAsia="宋体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宋体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宋体" w:hAnsi="Arial"/>
          <w:lang w:val="en-GB"/>
        </w:rPr>
        <w:t>6.3.3.1</w:t>
      </w:r>
      <w:r>
        <w:rPr>
          <w:rFonts w:ascii="Arial" w:eastAsia="宋体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 xml:space="preserve">The set of random-access preambles </w:t>
      </w:r>
      <w:r>
        <w:rPr>
          <w:rFonts w:eastAsia="宋体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05pt;height:15.45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649076605" r:id="rId14"/>
        </w:object>
      </w:r>
      <w:r>
        <w:rPr>
          <w:rFonts w:eastAsia="宋体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</w:rPr>
      </w:pPr>
      <w:r>
        <w:rPr>
          <w:rFonts w:eastAsia="宋体"/>
          <w:noProof/>
          <w:position w:val="-38"/>
        </w:rPr>
        <w:object w:dxaOrig="3002" w:dyaOrig="856" w14:anchorId="6F7C1C72">
          <v:shape id="_x0000_i1026" type="#_x0000_t75" alt="" style="width:149.75pt;height:42.85pt;mso-width-percent:0;mso-height-percent:0;mso-width-percent:0;mso-height-percent:0" o:ole="">
            <v:imagedata r:id="rId15" o:title=""/>
          </v:shape>
          <o:OLEObject Type="Embed" ProgID="Equation.3" ShapeID="_x0000_i1026" DrawAspect="Content" ObjectID="_1649076606" r:id="rId16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  <w:position w:val="-36"/>
        </w:rPr>
      </w:pPr>
      <w:r>
        <w:rPr>
          <w:rFonts w:eastAsia="宋体"/>
          <w:noProof/>
          <w:position w:val="-30"/>
        </w:rPr>
        <w:object w:dxaOrig="2581" w:dyaOrig="734" w14:anchorId="791D3E6A">
          <v:shape id="_x0000_i1027" type="#_x0000_t75" alt="" style="width:129.4pt;height:37.1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649076607" r:id="rId18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宋体"/>
          <w:b/>
          <w:bCs/>
          <w:color w:val="FF0000"/>
        </w:rPr>
      </w:pPr>
      <w:proofErr w:type="gramStart"/>
      <w:r>
        <w:rPr>
          <w:rFonts w:eastAsia="宋体"/>
        </w:rPr>
        <w:t xml:space="preserve">where </w:t>
      </w:r>
      <w:proofErr w:type="gramEnd"/>
      <w:r>
        <w:rPr>
          <w:rFonts w:eastAsia="宋体"/>
          <w:noProof/>
          <w:position w:val="-10"/>
        </w:rPr>
        <w:object w:dxaOrig="924" w:dyaOrig="299" w14:anchorId="2FF3742C">
          <v:shape id="_x0000_i1028" type="#_x0000_t75" alt="" style="width:46.4pt;height:15pt;mso-width-percent:0;mso-height-percent:0;mso-width-percent:0;mso-height-percent:0" o:ole="">
            <v:imagedata r:id="rId19" o:title=""/>
          </v:shape>
          <o:OLEObject Type="Embed" ProgID="Equation.3" ShapeID="_x0000_i1028" DrawAspect="Content" ObjectID="_1649076608" r:id="rId20"/>
        </w:object>
      </w:r>
      <w:r>
        <w:rPr>
          <w:rFonts w:eastAsia="宋体"/>
        </w:rPr>
        <w:t xml:space="preserve">, </w:t>
      </w:r>
      <w:bookmarkStart w:id="7" w:name="_Hlk37354507"/>
      <w:r>
        <w:rPr>
          <w:rFonts w:eastAsia="宋体"/>
          <w:noProof/>
          <w:position w:val="-10"/>
        </w:rPr>
        <w:object w:dxaOrig="910" w:dyaOrig="299" w14:anchorId="405FAD42">
          <v:shape id="_x0000_i1029" type="#_x0000_t75" alt="" style="width:45.5pt;height:15pt;mso-width-percent:0;mso-height-percent:0;mso-width-percent:0;mso-height-percent:0" o:ole="">
            <v:imagedata r:id="rId21" o:title=""/>
          </v:shape>
          <o:OLEObject Type="Embed" ProgID="Equation.3" ShapeID="_x0000_i1029" DrawAspect="Content" ObjectID="_1649076609" r:id="rId22"/>
        </w:object>
      </w:r>
      <w:r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=1151</m:t>
        </m:r>
      </m:oMath>
      <w:r>
        <w:rPr>
          <w:rFonts w:eastAsia="宋体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=571</m:t>
        </m:r>
      </m:oMath>
      <w:r>
        <w:rPr>
          <w:rFonts w:eastAsia="宋体"/>
        </w:rPr>
        <w:t xml:space="preserve"> </w:t>
      </w:r>
      <w:bookmarkEnd w:id="7"/>
      <w:r>
        <w:rPr>
          <w:rFonts w:eastAsia="宋体"/>
        </w:rPr>
        <w:t xml:space="preserve">depending on the PRACH preamble format as given by Tables 6.3.3.1-1 and 6.3.3.1-2. </w:t>
      </w:r>
      <w:r>
        <w:rPr>
          <w:rFonts w:eastAsia="宋体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 xml:space="preserve">=839 </m:t>
        </m:r>
      </m:oMath>
      <w:r>
        <w:rPr>
          <w:rFonts w:eastAsia="宋体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=1151</m:t>
        </m:r>
      </m:oMath>
      <w:r>
        <w:rPr>
          <w:rFonts w:eastAsia="宋体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=571</m:t>
        </m:r>
      </m:oMath>
      <w:r>
        <w:rPr>
          <w:rFonts w:eastAsia="宋体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宋体"/>
          <w:color w:val="FF0000"/>
          <w:sz w:val="20"/>
          <w:szCs w:val="20"/>
          <w:lang w:val="en-GB"/>
        </w:rPr>
      </w:pPr>
      <w:r>
        <w:rPr>
          <w:rFonts w:eastAsia="宋体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宋体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宋体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lastRenderedPageBreak/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TP is not needed. UE is following the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  <w:bookmarkStart w:id="8" w:name="_GoBack"/>
            <w:bookmarkEnd w:id="8"/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</w:t>
            </w:r>
            <w:r>
              <w:lastRenderedPageBreak/>
              <w:t xml:space="preserve">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lastRenderedPageBreak/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AAD0A" w14:textId="77777777" w:rsidR="000D391F" w:rsidRDefault="000D391F" w:rsidP="006D6109">
      <w:pPr>
        <w:spacing w:after="0"/>
      </w:pPr>
      <w:r>
        <w:separator/>
      </w:r>
    </w:p>
  </w:endnote>
  <w:endnote w:type="continuationSeparator" w:id="0">
    <w:p w14:paraId="2A1301B2" w14:textId="77777777" w:rsidR="000D391F" w:rsidRDefault="000D391F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1AEBE" w14:textId="77777777" w:rsidR="000D391F" w:rsidRDefault="000D391F" w:rsidP="006D6109">
      <w:pPr>
        <w:spacing w:after="0"/>
      </w:pPr>
      <w:r>
        <w:separator/>
      </w:r>
    </w:p>
  </w:footnote>
  <w:footnote w:type="continuationSeparator" w:id="0">
    <w:p w14:paraId="15C5EE34" w14:textId="77777777" w:rsidR="000D391F" w:rsidRDefault="000D391F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CC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unhideWhenUsed="1" w:qFormat="1"/>
    <w:lsdException w:name="List 3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unhideWhenUsed="1" w:qFormat="1"/>
    <w:lsdException w:name="List 3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宋体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DocumentMapChar">
    <w:name w:val="Document Map Char"/>
    <w:link w:val="DocumentMap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3">
    <w:name w:val="正文1"/>
    <w:qFormat/>
    <w:rPr>
      <w:sz w:val="24"/>
      <w:szCs w:val="24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F32D6A-BAA4-406E-8E36-BA172BCB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MarkXiong</cp:lastModifiedBy>
  <cp:revision>3</cp:revision>
  <dcterms:created xsi:type="dcterms:W3CDTF">2020-04-22T05:07:00Z</dcterms:created>
  <dcterms:modified xsi:type="dcterms:W3CDTF">2020-04-22T05:28:00Z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</Properties>
</file>